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9353BA" w:rsidRPr="00005077">
        <w:tc>
          <w:tcPr>
            <w:tcW w:w="2268" w:type="dxa"/>
          </w:tcPr>
          <w:p w:rsidR="009353BA" w:rsidRPr="00005077" w:rsidRDefault="009353BA" w:rsidP="007242A3">
            <w:pPr>
              <w:framePr w:w="5035" w:h="1644" w:wrap="notBeside" w:vAnchor="page" w:hAnchor="page" w:x="6573" w:y="721"/>
              <w:rPr>
                <w:rFonts w:ascii="TradeGothic" w:hAnsi="TradeGothic"/>
                <w:i/>
                <w:sz w:val="18"/>
              </w:rPr>
            </w:pPr>
          </w:p>
        </w:tc>
        <w:tc>
          <w:tcPr>
            <w:tcW w:w="2999" w:type="dxa"/>
            <w:gridSpan w:val="2"/>
          </w:tcPr>
          <w:p w:rsidR="009353BA" w:rsidRPr="002E3A9A" w:rsidRDefault="009353BA" w:rsidP="002E3A9A">
            <w:pPr>
              <w:framePr w:w="5035" w:h="1644" w:wrap="notBeside" w:vAnchor="page" w:hAnchor="page" w:x="6573" w:y="721"/>
              <w:jc w:val="right"/>
              <w:rPr>
                <w:rFonts w:ascii="TradeGothic" w:hAnsi="TradeGothic"/>
                <w:sz w:val="18"/>
              </w:rPr>
            </w:pPr>
            <w:r>
              <w:rPr>
                <w:rFonts w:ascii="TradeGothic" w:hAnsi="TradeGothic"/>
                <w:sz w:val="18"/>
              </w:rPr>
              <w:t>Ekofin</w:t>
            </w:r>
          </w:p>
        </w:tc>
      </w:tr>
      <w:tr w:rsidR="009353BA" w:rsidRPr="00005077">
        <w:tc>
          <w:tcPr>
            <w:tcW w:w="2268" w:type="dxa"/>
          </w:tcPr>
          <w:p w:rsidR="009353BA" w:rsidRPr="00005077" w:rsidRDefault="009353BA"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9353BA" w:rsidRPr="00005077" w:rsidRDefault="009353BA" w:rsidP="007242A3">
            <w:pPr>
              <w:framePr w:w="5035" w:h="1644" w:wrap="notBeside" w:vAnchor="page" w:hAnchor="page" w:x="6573" w:y="721"/>
              <w:rPr>
                <w:rFonts w:ascii="TradeGothic" w:hAnsi="TradeGothic"/>
                <w:b/>
                <w:sz w:val="22"/>
              </w:rPr>
            </w:pPr>
            <w:bookmarkStart w:id="0" w:name="_GoBack"/>
            <w:bookmarkEnd w:id="0"/>
          </w:p>
        </w:tc>
      </w:tr>
      <w:tr w:rsidR="009353BA" w:rsidRPr="00005077">
        <w:tc>
          <w:tcPr>
            <w:tcW w:w="3402" w:type="dxa"/>
            <w:gridSpan w:val="2"/>
          </w:tcPr>
          <w:p w:rsidR="009353BA" w:rsidRPr="00005077" w:rsidRDefault="009353BA" w:rsidP="007242A3">
            <w:pPr>
              <w:framePr w:w="5035" w:h="1644" w:wrap="notBeside" w:vAnchor="page" w:hAnchor="page" w:x="6573" w:y="721"/>
            </w:pPr>
          </w:p>
        </w:tc>
        <w:tc>
          <w:tcPr>
            <w:tcW w:w="1865" w:type="dxa"/>
          </w:tcPr>
          <w:p w:rsidR="009353BA" w:rsidRPr="00005077" w:rsidRDefault="009353BA" w:rsidP="007242A3">
            <w:pPr>
              <w:framePr w:w="5035" w:h="1644" w:wrap="notBeside" w:vAnchor="page" w:hAnchor="page" w:x="6573" w:y="721"/>
            </w:pPr>
          </w:p>
        </w:tc>
      </w:tr>
      <w:tr w:rsidR="009353BA" w:rsidRPr="00005077">
        <w:tc>
          <w:tcPr>
            <w:tcW w:w="2268" w:type="dxa"/>
          </w:tcPr>
          <w:p w:rsidR="009353BA" w:rsidRPr="00005077" w:rsidRDefault="009353BA" w:rsidP="002B0D9A">
            <w:pPr>
              <w:framePr w:w="5035" w:h="1644" w:wrap="notBeside" w:vAnchor="page" w:hAnchor="page" w:x="6573" w:y="721"/>
            </w:pPr>
            <w:r>
              <w:t>2012-06-29</w:t>
            </w:r>
          </w:p>
        </w:tc>
        <w:tc>
          <w:tcPr>
            <w:tcW w:w="2999" w:type="dxa"/>
            <w:gridSpan w:val="2"/>
          </w:tcPr>
          <w:p w:rsidR="009353BA" w:rsidRPr="00005077" w:rsidRDefault="009353BA" w:rsidP="007242A3">
            <w:pPr>
              <w:framePr w:w="5035" w:h="1644" w:wrap="notBeside" w:vAnchor="page" w:hAnchor="page" w:x="6573" w:y="721"/>
              <w:rPr>
                <w:sz w:val="20"/>
              </w:rPr>
            </w:pPr>
            <w:r>
              <w:rPr>
                <w:sz w:val="20"/>
              </w:rPr>
              <w:t>Fi 2012/166</w:t>
            </w:r>
          </w:p>
        </w:tc>
      </w:tr>
      <w:tr w:rsidR="009353BA" w:rsidRPr="00005077">
        <w:tc>
          <w:tcPr>
            <w:tcW w:w="2268" w:type="dxa"/>
          </w:tcPr>
          <w:p w:rsidR="009353BA" w:rsidRPr="00005077" w:rsidRDefault="009353BA" w:rsidP="007242A3">
            <w:pPr>
              <w:framePr w:w="5035" w:h="1644" w:wrap="notBeside" w:vAnchor="page" w:hAnchor="page" w:x="6573" w:y="721"/>
            </w:pPr>
          </w:p>
        </w:tc>
        <w:tc>
          <w:tcPr>
            <w:tcW w:w="2999" w:type="dxa"/>
            <w:gridSpan w:val="2"/>
          </w:tcPr>
          <w:p w:rsidR="009353BA" w:rsidRPr="00005077" w:rsidRDefault="009353BA" w:rsidP="007242A3">
            <w:pPr>
              <w:framePr w:w="5035" w:h="1644" w:wrap="notBeside" w:vAnchor="page" w:hAnchor="page" w:x="6573" w:y="721"/>
            </w:pPr>
          </w:p>
        </w:tc>
      </w:tr>
    </w:tbl>
    <w:tbl>
      <w:tblPr>
        <w:tblW w:w="0" w:type="auto"/>
        <w:tblLayout w:type="fixed"/>
        <w:tblLook w:val="0000"/>
      </w:tblPr>
      <w:tblGrid>
        <w:gridCol w:w="4911"/>
      </w:tblGrid>
      <w:tr w:rsidR="009353BA" w:rsidRPr="00005077">
        <w:trPr>
          <w:trHeight w:val="284"/>
        </w:trPr>
        <w:tc>
          <w:tcPr>
            <w:tcW w:w="4911" w:type="dxa"/>
          </w:tcPr>
          <w:p w:rsidR="009353BA" w:rsidRPr="00005077" w:rsidRDefault="009353BA">
            <w:pPr>
              <w:pStyle w:val="Avsndare"/>
              <w:framePr w:h="2483" w:wrap="notBeside" w:x="1504"/>
              <w:rPr>
                <w:b/>
                <w:i w:val="0"/>
                <w:sz w:val="22"/>
              </w:rPr>
            </w:pPr>
            <w:r>
              <w:rPr>
                <w:b/>
                <w:i w:val="0"/>
                <w:sz w:val="22"/>
              </w:rPr>
              <w:t>Finansdepartementet</w:t>
            </w:r>
          </w:p>
        </w:tc>
      </w:tr>
      <w:tr w:rsidR="009353BA" w:rsidRPr="00005077">
        <w:trPr>
          <w:trHeight w:val="284"/>
        </w:trPr>
        <w:tc>
          <w:tcPr>
            <w:tcW w:w="4911" w:type="dxa"/>
          </w:tcPr>
          <w:p w:rsidR="009353BA" w:rsidRPr="00005077" w:rsidRDefault="009353BA">
            <w:pPr>
              <w:pStyle w:val="Avsndare"/>
              <w:framePr w:h="2483" w:wrap="notBeside" w:x="1504"/>
              <w:rPr>
                <w:bCs/>
                <w:iCs/>
              </w:rPr>
            </w:pPr>
          </w:p>
        </w:tc>
      </w:tr>
      <w:tr w:rsidR="009353BA" w:rsidRPr="00005077">
        <w:trPr>
          <w:trHeight w:val="284"/>
        </w:trPr>
        <w:tc>
          <w:tcPr>
            <w:tcW w:w="4911" w:type="dxa"/>
          </w:tcPr>
          <w:p w:rsidR="009353BA" w:rsidRPr="00005077" w:rsidRDefault="009353BA">
            <w:pPr>
              <w:pStyle w:val="Avsndare"/>
              <w:framePr w:h="2483" w:wrap="notBeside" w:x="1504"/>
              <w:rPr>
                <w:bCs/>
                <w:iCs/>
              </w:rPr>
            </w:pPr>
          </w:p>
        </w:tc>
      </w:tr>
      <w:tr w:rsidR="009353BA" w:rsidRPr="00005077">
        <w:trPr>
          <w:trHeight w:val="284"/>
        </w:trPr>
        <w:tc>
          <w:tcPr>
            <w:tcW w:w="4911" w:type="dxa"/>
          </w:tcPr>
          <w:p w:rsidR="009353BA" w:rsidRPr="00005077" w:rsidRDefault="009353BA">
            <w:pPr>
              <w:pStyle w:val="Avsndare"/>
              <w:framePr w:h="2483" w:wrap="notBeside" w:x="1504"/>
              <w:rPr>
                <w:bCs/>
                <w:iCs/>
              </w:rPr>
            </w:pPr>
          </w:p>
        </w:tc>
      </w:tr>
      <w:tr w:rsidR="009353BA" w:rsidRPr="00005077">
        <w:trPr>
          <w:trHeight w:val="284"/>
        </w:trPr>
        <w:tc>
          <w:tcPr>
            <w:tcW w:w="4911" w:type="dxa"/>
          </w:tcPr>
          <w:p w:rsidR="009353BA" w:rsidRPr="00005077" w:rsidRDefault="009353BA">
            <w:pPr>
              <w:pStyle w:val="Avsndare"/>
              <w:framePr w:h="2483" w:wrap="notBeside" w:x="1504"/>
              <w:rPr>
                <w:bCs/>
                <w:iCs/>
              </w:rPr>
            </w:pPr>
          </w:p>
        </w:tc>
      </w:tr>
      <w:tr w:rsidR="009353BA" w:rsidRPr="00005077">
        <w:trPr>
          <w:trHeight w:val="284"/>
        </w:trPr>
        <w:tc>
          <w:tcPr>
            <w:tcW w:w="4911" w:type="dxa"/>
          </w:tcPr>
          <w:p w:rsidR="009353BA" w:rsidRPr="00005077" w:rsidRDefault="009353BA">
            <w:pPr>
              <w:pStyle w:val="Avsndare"/>
              <w:framePr w:h="2483" w:wrap="notBeside" w:x="1504"/>
              <w:rPr>
                <w:bCs/>
                <w:iCs/>
              </w:rPr>
            </w:pPr>
          </w:p>
        </w:tc>
      </w:tr>
      <w:tr w:rsidR="009353BA" w:rsidRPr="00005077">
        <w:trPr>
          <w:trHeight w:val="284"/>
        </w:trPr>
        <w:tc>
          <w:tcPr>
            <w:tcW w:w="4911" w:type="dxa"/>
          </w:tcPr>
          <w:p w:rsidR="009353BA" w:rsidRPr="00005077" w:rsidRDefault="009353BA">
            <w:pPr>
              <w:pStyle w:val="Avsndare"/>
              <w:framePr w:h="2483" w:wrap="notBeside" w:x="1504"/>
              <w:rPr>
                <w:bCs/>
                <w:iCs/>
              </w:rPr>
            </w:pPr>
          </w:p>
        </w:tc>
      </w:tr>
    </w:tbl>
    <w:p w:rsidR="009353BA" w:rsidRDefault="009353BA">
      <w:pPr>
        <w:framePr w:w="4400" w:h="2523" w:wrap="notBeside" w:vAnchor="page" w:hAnchor="page" w:x="6453" w:y="2445"/>
        <w:ind w:left="142"/>
      </w:pPr>
      <w:r>
        <w:t>Till: Riksdagen</w:t>
      </w:r>
    </w:p>
    <w:p w:rsidR="009353BA" w:rsidRDefault="009353BA">
      <w:pPr>
        <w:framePr w:w="4400" w:h="2523" w:wrap="notBeside" w:vAnchor="page" w:hAnchor="page" w:x="6453" w:y="2445"/>
        <w:ind w:left="142"/>
      </w:pPr>
    </w:p>
    <w:p w:rsidR="009353BA" w:rsidRDefault="009353BA">
      <w:pPr>
        <w:framePr w:w="4400" w:h="2523" w:wrap="notBeside" w:vAnchor="page" w:hAnchor="page" w:x="6453" w:y="2445"/>
        <w:ind w:left="142"/>
      </w:pPr>
      <w:r>
        <w:t xml:space="preserve">Ekofinrådets möte den </w:t>
      </w:r>
    </w:p>
    <w:p w:rsidR="009353BA" w:rsidRPr="00005077" w:rsidRDefault="009353BA">
      <w:pPr>
        <w:framePr w:w="4400" w:h="2523" w:wrap="notBeside" w:vAnchor="page" w:hAnchor="page" w:x="6453" w:y="2445"/>
        <w:ind w:left="142"/>
      </w:pPr>
      <w:r>
        <w:t>10 juli 2012 i Bryssel</w:t>
      </w:r>
    </w:p>
    <w:p w:rsidR="009353BA" w:rsidRPr="00005077" w:rsidRDefault="009353BA" w:rsidP="00005077">
      <w:pPr>
        <w:pStyle w:val="RKrubrik"/>
        <w:pBdr>
          <w:bottom w:val="single" w:sz="4" w:space="1" w:color="000000"/>
        </w:pBdr>
        <w:spacing w:before="0" w:after="0"/>
      </w:pPr>
      <w:r>
        <w:t>Kommenterad dagordning</w:t>
      </w:r>
    </w:p>
    <w:p w:rsidR="009353BA" w:rsidRPr="00005077" w:rsidRDefault="009353BA">
      <w:pPr>
        <w:pStyle w:val="RKnormal"/>
        <w:rPr>
          <w:sz w:val="20"/>
        </w:rPr>
      </w:pPr>
      <w:r>
        <w:rPr>
          <w:sz w:val="20"/>
        </w:rPr>
        <w:t>- enligt den preliminära dagordning som framkom i Coreper den 20 juni</w:t>
      </w:r>
    </w:p>
    <w:p w:rsidR="009353BA" w:rsidRDefault="009353BA" w:rsidP="00B40850">
      <w:pPr>
        <w:pStyle w:val="Heading2"/>
        <w:rPr>
          <w:lang w:eastAsia="sv-SE"/>
        </w:rPr>
      </w:pPr>
      <w:r>
        <w:rPr>
          <w:lang w:eastAsia="sv-SE"/>
        </w:rPr>
        <w:t>1.</w:t>
      </w:r>
      <w:r>
        <w:rPr>
          <w:lang w:eastAsia="sv-SE"/>
        </w:rPr>
        <w:tab/>
        <w:t>Godkännande av den preliminära dagordningen</w:t>
      </w:r>
    </w:p>
    <w:p w:rsidR="009353BA" w:rsidRPr="00B40850" w:rsidRDefault="009353BA" w:rsidP="00B40850">
      <w:pPr>
        <w:pStyle w:val="Heading2"/>
        <w:rPr>
          <w:u w:val="single"/>
          <w:lang w:eastAsia="sv-SE"/>
        </w:rPr>
      </w:pPr>
      <w:r>
        <w:rPr>
          <w:u w:val="single"/>
          <w:lang w:eastAsia="sv-SE"/>
        </w:rPr>
        <w:t>Lagstiftningsöverläggningar</w:t>
      </w:r>
    </w:p>
    <w:p w:rsidR="009353BA" w:rsidRPr="00557D39" w:rsidRDefault="009353BA" w:rsidP="00557D39">
      <w:pPr>
        <w:pStyle w:val="Heading2"/>
        <w:rPr>
          <w:rStyle w:val="Strong"/>
          <w:b/>
          <w:bCs w:val="0"/>
        </w:rPr>
      </w:pPr>
      <w:r w:rsidRPr="00557D39">
        <w:rPr>
          <w:rStyle w:val="Strong"/>
          <w:b/>
          <w:bCs w:val="0"/>
        </w:rPr>
        <w:t>2.</w:t>
      </w:r>
      <w:r w:rsidRPr="00557D39">
        <w:rPr>
          <w:rStyle w:val="Strong"/>
          <w:b/>
          <w:bCs w:val="0"/>
        </w:rPr>
        <w:tab/>
        <w:t xml:space="preserve">Godkännande av </w:t>
      </w:r>
      <w:r>
        <w:rPr>
          <w:rStyle w:val="Strong"/>
          <w:b/>
          <w:bCs w:val="0"/>
        </w:rPr>
        <w:t>listan</w:t>
      </w:r>
      <w:r w:rsidRPr="00557D39">
        <w:rPr>
          <w:rStyle w:val="Strong"/>
          <w:b/>
          <w:bCs w:val="0"/>
        </w:rPr>
        <w:t xml:space="preserve"> över A-punkter</w:t>
      </w:r>
    </w:p>
    <w:p w:rsidR="009353BA" w:rsidRDefault="009353BA" w:rsidP="003501A4">
      <w:pPr>
        <w:pStyle w:val="Heading2"/>
        <w:ind w:left="1134" w:hanging="1134"/>
        <w:rPr>
          <w:lang w:eastAsia="sv-SE"/>
        </w:rPr>
      </w:pPr>
      <w:r>
        <w:rPr>
          <w:lang w:eastAsia="sv-SE"/>
        </w:rPr>
        <w:t xml:space="preserve">3. </w:t>
      </w:r>
      <w:r>
        <w:rPr>
          <w:lang w:eastAsia="sv-SE"/>
        </w:rPr>
        <w:tab/>
        <w:t>Ekonomisk styrning – Tvåpacket</w:t>
      </w:r>
    </w:p>
    <w:p w:rsidR="009353BA" w:rsidRDefault="009353BA" w:rsidP="00B40850">
      <w:pPr>
        <w:pStyle w:val="Heading4"/>
        <w:rPr>
          <w:lang w:eastAsia="sv-SE"/>
        </w:rPr>
      </w:pPr>
      <w:r>
        <w:rPr>
          <w:lang w:eastAsia="sv-SE"/>
        </w:rPr>
        <w:tab/>
        <w:t>- Riktlinjedebatt</w:t>
      </w:r>
    </w:p>
    <w:p w:rsidR="009353BA" w:rsidRDefault="009353BA" w:rsidP="000153CB">
      <w:pPr>
        <w:pStyle w:val="RKnormal"/>
        <w:spacing w:line="240" w:lineRule="auto"/>
      </w:pPr>
      <w:r>
        <w:t>Rådet ska ha en riktlinjedebatt om två förslag till förordningar om stärkt ekonomisk styrning i euroländerna.</w:t>
      </w:r>
    </w:p>
    <w:p w:rsidR="009353BA" w:rsidRDefault="009353BA" w:rsidP="000153CB">
      <w:pPr>
        <w:spacing w:line="240" w:lineRule="auto"/>
      </w:pPr>
    </w:p>
    <w:p w:rsidR="009353BA" w:rsidRPr="00930DDB" w:rsidRDefault="009353BA" w:rsidP="000153CB">
      <w:pPr>
        <w:spacing w:line="240" w:lineRule="auto"/>
      </w:pPr>
      <w:r w:rsidRPr="00930DDB">
        <w:t>Samråd har skett med Finansutskottet</w:t>
      </w:r>
      <w:r>
        <w:t xml:space="preserve"> 17 januari 2012</w:t>
      </w:r>
      <w:r w:rsidRPr="00930DDB">
        <w:t xml:space="preserve">. Samråd med EU-nämnden har skett vid </w:t>
      </w:r>
      <w:r>
        <w:t>ett flertal</w:t>
      </w:r>
      <w:r w:rsidRPr="00930DDB">
        <w:t xml:space="preserve"> tillfällen, senast </w:t>
      </w:r>
      <w:r>
        <w:t>17 februari 2012</w:t>
      </w:r>
      <w:r w:rsidRPr="00930DDB">
        <w:t xml:space="preserve">. </w:t>
      </w:r>
    </w:p>
    <w:p w:rsidR="009353BA" w:rsidRDefault="009353BA" w:rsidP="000153CB">
      <w:pPr>
        <w:spacing w:line="240" w:lineRule="auto"/>
      </w:pPr>
    </w:p>
    <w:p w:rsidR="009353BA" w:rsidRDefault="009353BA" w:rsidP="000153CB">
      <w:pPr>
        <w:spacing w:line="240" w:lineRule="auto"/>
      </w:pPr>
      <w:r>
        <w:t xml:space="preserve">De två förslagen till förordningar rör förstärkning av budgetövervakningen i euroområdet och stärkt övervakning av </w:t>
      </w:r>
      <w:r w:rsidRPr="00FC54BE">
        <w:t>euroländer som har, eller hotas av, allvarliga problem med sin finansiella stabilitet (se vidare Fakta-PM 2011/12:FPM70).</w:t>
      </w:r>
    </w:p>
    <w:p w:rsidR="009353BA" w:rsidRDefault="009353BA" w:rsidP="000153CB">
      <w:pPr>
        <w:spacing w:line="240" w:lineRule="auto"/>
      </w:pPr>
    </w:p>
    <w:p w:rsidR="009353BA" w:rsidRPr="00FC54BE" w:rsidRDefault="009353BA" w:rsidP="000153CB">
      <w:pPr>
        <w:spacing w:line="240" w:lineRule="auto"/>
      </w:pPr>
      <w:r>
        <w:t xml:space="preserve">Ekofinrådet nådde den 21 februari en överenskommelse om en allmän inriktning. Då Europaparlamentet nu avslutat sin behandling av förslagen ska förhandlingar mellan rådet och Europaparlamentet (trilogförhandlingar) inledas. Det finns emellertid ännu inte något kompromissförslag att ta ställning till. </w:t>
      </w:r>
    </w:p>
    <w:p w:rsidR="009353BA" w:rsidRDefault="009353BA" w:rsidP="000153CB">
      <w:pPr>
        <w:pStyle w:val="RKnormal"/>
        <w:spacing w:line="240" w:lineRule="auto"/>
      </w:pPr>
    </w:p>
    <w:p w:rsidR="009353BA" w:rsidRPr="00557D39" w:rsidRDefault="009353BA" w:rsidP="00FE1F44">
      <w:pPr>
        <w:pStyle w:val="RKnormal"/>
        <w:spacing w:line="240" w:lineRule="auto"/>
        <w:rPr>
          <w:lang w:eastAsia="sv-SE"/>
        </w:rPr>
      </w:pPr>
      <w:r w:rsidRPr="00FC54BE">
        <w:t xml:space="preserve">Regeringen anser att den senaste tidens utveckling tydligt </w:t>
      </w:r>
      <w:r>
        <w:t>visar</w:t>
      </w:r>
      <w:r w:rsidRPr="00FC54BE">
        <w:t xml:space="preserve"> på behovet av </w:t>
      </w:r>
      <w:r>
        <w:t>förbättrad</w:t>
      </w:r>
      <w:r w:rsidRPr="00FC54BE">
        <w:t xml:space="preserve"> efterlevnad av det ekonomisk</w:t>
      </w:r>
      <w:r>
        <w:t>-politiska</w:t>
      </w:r>
      <w:r w:rsidRPr="00FC54BE">
        <w:t xml:space="preserve"> regelverket i EU, och i synnerhet inom euroområdet. Det är därför rimligt att euroländerna vidtar åtgärder </w:t>
      </w:r>
      <w:r>
        <w:t>för att möta</w:t>
      </w:r>
      <w:r w:rsidRPr="00FC54BE">
        <w:t xml:space="preserve"> de allvarliga utmaningar som valutasamarbetet nu står inför, bland annat genom åtgärder som gör det befintliga regelverket tydligare</w:t>
      </w:r>
      <w:r>
        <w:t xml:space="preserve"> och striktare</w:t>
      </w:r>
      <w:r w:rsidRPr="00FC54BE">
        <w:t>. Detta förbättrar förutsättningarna för medlem</w:t>
      </w:r>
      <w:r>
        <w:t>s</w:t>
      </w:r>
      <w:r w:rsidRPr="00FC54BE">
        <w:t>staternas efterlevnad av reglerna.</w:t>
      </w:r>
    </w:p>
    <w:p w:rsidR="009353BA" w:rsidRPr="00451C5D" w:rsidRDefault="009353BA" w:rsidP="00B40850">
      <w:pPr>
        <w:pStyle w:val="Heading2"/>
      </w:pPr>
      <w:r>
        <w:t>4</w:t>
      </w:r>
      <w:r w:rsidRPr="0008297A">
        <w:t>.</w:t>
      </w:r>
      <w:r w:rsidRPr="0008297A">
        <w:tab/>
      </w:r>
      <w:r>
        <w:t>Reviderade kapitaltäckningsregler (CRDIV/CRR)</w:t>
      </w:r>
    </w:p>
    <w:p w:rsidR="009353BA" w:rsidRPr="00451C5D" w:rsidRDefault="009353BA" w:rsidP="00B40850">
      <w:pPr>
        <w:pStyle w:val="Heading4"/>
      </w:pPr>
      <w:r w:rsidRPr="00451C5D">
        <w:tab/>
        <w:t xml:space="preserve">- </w:t>
      </w:r>
      <w:r>
        <w:t>Information från ordförandeskapet</w:t>
      </w:r>
    </w:p>
    <w:p w:rsidR="009353BA" w:rsidRDefault="009353BA" w:rsidP="00FE1F44">
      <w:pPr>
        <w:pStyle w:val="RKnormal"/>
      </w:pPr>
      <w:r>
        <w:t xml:space="preserve">Ordförandeskapet ska informera om det pågående arbetet med reviderade kapitaltäckningsregler. </w:t>
      </w:r>
    </w:p>
    <w:p w:rsidR="009353BA" w:rsidRDefault="009353BA" w:rsidP="00FE1F44">
      <w:pPr>
        <w:pStyle w:val="RKnormal"/>
      </w:pPr>
    </w:p>
    <w:p w:rsidR="009353BA" w:rsidRPr="002312E4" w:rsidRDefault="009353BA" w:rsidP="00FE1F44">
      <w:r>
        <w:t xml:space="preserve">Samråd har skett med såväl Finansutskottet som EU-nämnden. </w:t>
      </w:r>
      <w:r w:rsidRPr="002312E4">
        <w:t>Finansutskottet informera</w:t>
      </w:r>
      <w:r>
        <w:t>des</w:t>
      </w:r>
      <w:r w:rsidRPr="002312E4">
        <w:t xml:space="preserve"> senast den 12 juni 2012. </w:t>
      </w:r>
      <w:r>
        <w:t>S</w:t>
      </w:r>
      <w:r w:rsidRPr="002312E4">
        <w:t xml:space="preserve">amråd med EU-nämnden </w:t>
      </w:r>
      <w:r>
        <w:t xml:space="preserve">skedde </w:t>
      </w:r>
      <w:r w:rsidRPr="002312E4">
        <w:t xml:space="preserve">senast den 11 maj 2012. </w:t>
      </w:r>
    </w:p>
    <w:p w:rsidR="009353BA" w:rsidRDefault="009353BA" w:rsidP="00FE1F44">
      <w:pPr>
        <w:pStyle w:val="RKnormal"/>
      </w:pPr>
    </w:p>
    <w:p w:rsidR="009353BA" w:rsidRPr="00680E75" w:rsidRDefault="009353BA" w:rsidP="00FE1F44">
      <w:pPr>
        <w:pStyle w:val="RKnormal"/>
        <w:rPr>
          <w:color w:val="000000"/>
        </w:rPr>
      </w:pPr>
      <w:r w:rsidRPr="00680E75">
        <w:t>Förslagen syftar till att införa den globala överenskommelsen Basel 3 och att harmonisera gällande kapitaltäckningsregler</w:t>
      </w:r>
      <w:r>
        <w:t xml:space="preserve"> (se faktapromemoria 2010/11:FPM148).</w:t>
      </w:r>
      <w:r w:rsidRPr="00B70631">
        <w:rPr>
          <w:color w:val="000000"/>
        </w:rPr>
        <w:t xml:space="preserve"> </w:t>
      </w:r>
      <w:r w:rsidRPr="00680E75">
        <w:rPr>
          <w:color w:val="000000"/>
        </w:rPr>
        <w:t xml:space="preserve">Regeringen är positiv till Basel 3-överenskommelsen och att den ska implementeras i EU. Därför är det viktigt att innehållet i överenskommelsen inte urvattnas när den genomförs som gällande rätt inom EU. </w:t>
      </w:r>
    </w:p>
    <w:p w:rsidR="009353BA" w:rsidRDefault="009353BA" w:rsidP="00FE1F44"/>
    <w:p w:rsidR="009353BA" w:rsidRPr="00680E75" w:rsidRDefault="009353BA" w:rsidP="000153CB">
      <w:r w:rsidRPr="00680E75">
        <w:t>Förslagen består av två delar: ett direktiv och en förordning. De berör EU-reglerna för bland annat kreditinstituts och värdepappersbolags (instituts) kapitaltäckning, skuldsättningsgrad och likviditet. Dessutom innehåller förslaget delar som är inriktade mot bolagsstyrningsfrågor och sanktioner. Förordningen och direktivet ska ersätta de två gällande direktiven 2006/48/EG om rätten att starta och driva verksamhet i kreditinstitut och 2006/49/EG om kapitalkrav för värdepappersbolag och kreditinstitut</w:t>
      </w:r>
      <w:r>
        <w:t xml:space="preserve">. </w:t>
      </w:r>
    </w:p>
    <w:p w:rsidR="009353BA" w:rsidRPr="00680E75" w:rsidRDefault="009353BA" w:rsidP="000153CB">
      <w:pPr>
        <w:pStyle w:val="RKnormal"/>
        <w:rPr>
          <w:color w:val="000000"/>
        </w:rPr>
      </w:pPr>
    </w:p>
    <w:p w:rsidR="009353BA" w:rsidRPr="00680E75" w:rsidRDefault="009353BA" w:rsidP="000153CB">
      <w:pPr>
        <w:pStyle w:val="RKnormal"/>
        <w:rPr>
          <w:color w:val="000000"/>
        </w:rPr>
      </w:pPr>
      <w:r w:rsidRPr="00680E75">
        <w:rPr>
          <w:color w:val="000000"/>
        </w:rPr>
        <w:t>Den 15 maj 201</w:t>
      </w:r>
      <w:r>
        <w:rPr>
          <w:color w:val="000000"/>
        </w:rPr>
        <w:t>2</w:t>
      </w:r>
      <w:r w:rsidRPr="00680E75">
        <w:rPr>
          <w:color w:val="000000"/>
        </w:rPr>
        <w:t xml:space="preserve"> enades Ekofin om en allmän inriktning. Genom den allmänna inriktningen har medlemsstaterna förbättrade möjligheter (jämfört med tidigare förslag) att lägga på en systemriskbuffert på utvalda institut utan att behöva EU-kommissionens godkännande. Regeringen anser att flexibiliteten i det liggande förslaget är en godtagbar kompromiss. Förslaget innebär att Sverige kan genomföra lejonparten av det kapitalpåslag på de fyra storbankerna som man tillsammans med riksdagen, finansinspektionen och riksbanken beslutade om i november 2011, utan att behöva EU-kommissionens godkännande. Vidare har regeringen i den allmänna inriktningen fått igenom att lån med pant i bostadsrätter likställs med lån med pant i egna hem, genom att bostadsrätt definieras som bostadsfastighet. </w:t>
      </w:r>
    </w:p>
    <w:p w:rsidR="009353BA" w:rsidRPr="00680E75" w:rsidRDefault="009353BA" w:rsidP="000153CB">
      <w:pPr>
        <w:pStyle w:val="RKnormal"/>
        <w:rPr>
          <w:color w:val="000000"/>
        </w:rPr>
      </w:pPr>
    </w:p>
    <w:p w:rsidR="009353BA" w:rsidRPr="00425952" w:rsidRDefault="009353BA" w:rsidP="000153CB">
      <w:pPr>
        <w:pStyle w:val="RKnormal"/>
        <w:rPr>
          <w:color w:val="000000"/>
        </w:rPr>
      </w:pPr>
      <w:r w:rsidRPr="00680E75">
        <w:rPr>
          <w:color w:val="000000"/>
        </w:rPr>
        <w:t xml:space="preserve">Det pågår för närvarande trilogförhandlingar med </w:t>
      </w:r>
      <w:r>
        <w:rPr>
          <w:color w:val="000000"/>
        </w:rPr>
        <w:t>Europa</w:t>
      </w:r>
      <w:r w:rsidRPr="00680E75">
        <w:rPr>
          <w:color w:val="000000"/>
        </w:rPr>
        <w:t xml:space="preserve">parlamentet. </w:t>
      </w:r>
    </w:p>
    <w:p w:rsidR="009353BA" w:rsidRDefault="009353BA" w:rsidP="00BE0F0A">
      <w:pPr>
        <w:pStyle w:val="RKnormal"/>
        <w:spacing w:line="240" w:lineRule="auto"/>
        <w:rPr>
          <w:color w:val="000000"/>
        </w:rPr>
      </w:pPr>
    </w:p>
    <w:p w:rsidR="009353BA" w:rsidRDefault="009353BA" w:rsidP="000153CB">
      <w:pPr>
        <w:pStyle w:val="RKnormal"/>
        <w:rPr>
          <w:color w:val="000000"/>
        </w:rPr>
      </w:pPr>
      <w:r w:rsidRPr="00680E75">
        <w:rPr>
          <w:color w:val="000000"/>
        </w:rPr>
        <w:t xml:space="preserve">Regeringen anser att förslagen bidrar till att stärka den finansiella stabiliteten. Regeringen stöder att det rådande regelverket med två direktiv i stora delar blir en förordning eftersom det bidrar till att skapa ett mer enhetligt regelverk inom EU och </w:t>
      </w:r>
      <w:r>
        <w:rPr>
          <w:color w:val="000000"/>
        </w:rPr>
        <w:t xml:space="preserve">att stärka </w:t>
      </w:r>
      <w:r w:rsidRPr="00680E75">
        <w:rPr>
          <w:color w:val="000000"/>
        </w:rPr>
        <w:t>den inre marknaden på det finansiella området.</w:t>
      </w:r>
    </w:p>
    <w:p w:rsidR="009353BA" w:rsidRDefault="009353BA" w:rsidP="00557D39">
      <w:pPr>
        <w:pStyle w:val="Heading2"/>
        <w:ind w:left="1134" w:hanging="1134"/>
        <w:rPr>
          <w:lang w:eastAsia="sv-SE"/>
        </w:rPr>
      </w:pPr>
      <w:r>
        <w:t>5</w:t>
      </w:r>
      <w:r w:rsidRPr="0008297A">
        <w:t>.</w:t>
      </w:r>
      <w:r w:rsidRPr="0008297A">
        <w:tab/>
      </w:r>
      <w:r>
        <w:rPr>
          <w:lang w:eastAsia="sv-SE"/>
        </w:rPr>
        <w:t>Förslag till direktiv om inrättande av ram för rekonstruktion och avveckling av kreditinstitut och värdepappersföretag</w:t>
      </w:r>
    </w:p>
    <w:p w:rsidR="009353BA" w:rsidRDefault="009353BA" w:rsidP="00557D39">
      <w:pPr>
        <w:pStyle w:val="Heading4"/>
        <w:rPr>
          <w:lang w:eastAsia="sv-SE"/>
        </w:rPr>
      </w:pPr>
      <w:r>
        <w:rPr>
          <w:lang w:eastAsia="sv-SE"/>
        </w:rPr>
        <w:tab/>
        <w:t>- Föredragning av kommissionen</w:t>
      </w:r>
    </w:p>
    <w:p w:rsidR="009353BA" w:rsidRPr="00491300" w:rsidRDefault="009353BA" w:rsidP="00D344AF">
      <w:pPr>
        <w:pStyle w:val="RKnormal"/>
      </w:pPr>
      <w:r w:rsidRPr="00491300">
        <w:t xml:space="preserve">Kommissionen har den 6 juni föreslagit ett direktiv om ett EU-ramverk för hantering av </w:t>
      </w:r>
      <w:r>
        <w:t xml:space="preserve">kreditinstitut </w:t>
      </w:r>
      <w:r w:rsidRPr="00491300">
        <w:t>och värdepappersbolag i kris. På mötet kommer KOM att informera om detta.</w:t>
      </w:r>
    </w:p>
    <w:p w:rsidR="009353BA" w:rsidRDefault="009353BA" w:rsidP="00D344AF"/>
    <w:p w:rsidR="009353BA" w:rsidRDefault="009353BA" w:rsidP="00D344AF">
      <w:pPr>
        <w:rPr>
          <w:i/>
        </w:rPr>
      </w:pPr>
      <w:r>
        <w:t xml:space="preserve">Finansutskottet har informerats om förslagen den 12 juni. EU-nämnden har informerats den 15 juni inför Ekofinmötet den 22 juni där punkten sedermera ströks från dagordningen. </w:t>
      </w:r>
    </w:p>
    <w:p w:rsidR="009353BA" w:rsidRDefault="009353BA" w:rsidP="00D344AF">
      <w:pPr>
        <w:pStyle w:val="RKnormal"/>
        <w:spacing w:line="240" w:lineRule="auto"/>
        <w:rPr>
          <w:color w:val="000000"/>
        </w:rPr>
      </w:pPr>
    </w:p>
    <w:p w:rsidR="009353BA" w:rsidRPr="00491300" w:rsidRDefault="009353BA" w:rsidP="00D344AF">
      <w:pPr>
        <w:pStyle w:val="RKnormal"/>
        <w:spacing w:line="240" w:lineRule="auto"/>
        <w:rPr>
          <w:color w:val="000000"/>
        </w:rPr>
      </w:pPr>
      <w:r w:rsidRPr="00491300">
        <w:rPr>
          <w:color w:val="000000"/>
        </w:rPr>
        <w:t xml:space="preserve">Kommissionen har föreslagit ett direktiv om ett EU-ramverk för hantering av banker och värdepappersbolag i kris. Direktivet syftar till att säkerställa att myndigheter har trovärdiga verktyg för att avveckla institut på ett sätt som minimerar spridningsrisker samtidigt utan att hota tillgången på grundläggande finansiella tjänster. Aktieägarna, vissa borgenärer och bankindustrin i stort </w:t>
      </w:r>
      <w:r>
        <w:rPr>
          <w:color w:val="000000"/>
        </w:rPr>
        <w:t>(</w:t>
      </w:r>
      <w:r w:rsidRPr="00491300">
        <w:rPr>
          <w:color w:val="000000"/>
        </w:rPr>
        <w:t>genom någon form av stabilitetsfond</w:t>
      </w:r>
      <w:r>
        <w:rPr>
          <w:color w:val="000000"/>
        </w:rPr>
        <w:t>)</w:t>
      </w:r>
      <w:r w:rsidRPr="00491300">
        <w:rPr>
          <w:color w:val="000000"/>
        </w:rPr>
        <w:t xml:space="preserve"> ska bära kostnaderna för ett eventuellt omhändertagande av en bank i kris. På så sätt ska incitamenten för ett överdrivet risktagande, s.k. moral hazard, minskas. </w:t>
      </w:r>
    </w:p>
    <w:p w:rsidR="009353BA" w:rsidRPr="00491300" w:rsidRDefault="009353BA" w:rsidP="00D344AF">
      <w:pPr>
        <w:pStyle w:val="RKnormal"/>
        <w:spacing w:line="240" w:lineRule="auto"/>
        <w:rPr>
          <w:color w:val="000000"/>
        </w:rPr>
      </w:pPr>
    </w:p>
    <w:p w:rsidR="009353BA" w:rsidRPr="00491300" w:rsidRDefault="009353BA" w:rsidP="00D344AF">
      <w:pPr>
        <w:pStyle w:val="RKnormal"/>
        <w:spacing w:line="240" w:lineRule="auto"/>
        <w:rPr>
          <w:color w:val="000000"/>
        </w:rPr>
      </w:pPr>
      <w:r w:rsidRPr="00491300">
        <w:rPr>
          <w:color w:val="000000"/>
        </w:rPr>
        <w:t>Genom direktivet föreslår kommissionen åtgärder inom följande områden: förberedande och förebyggande åtgärder, åtgärder för tidigt ingripande, avvecklingsåtgärder, samordning av gränsöverskridande krishantering, finansiering av kostnaderna för avveckling och sanktioner.</w:t>
      </w:r>
    </w:p>
    <w:p w:rsidR="009353BA" w:rsidRDefault="009353BA" w:rsidP="00D344AF">
      <w:pPr>
        <w:pStyle w:val="RKnormal"/>
        <w:spacing w:line="240" w:lineRule="auto"/>
        <w:rPr>
          <w:color w:val="000000"/>
        </w:rPr>
      </w:pPr>
    </w:p>
    <w:p w:rsidR="009353BA" w:rsidRDefault="009353BA" w:rsidP="00D344AF">
      <w:pPr>
        <w:pStyle w:val="RKnormal"/>
        <w:spacing w:line="240" w:lineRule="auto"/>
      </w:pPr>
      <w:r w:rsidRPr="00491300">
        <w:rPr>
          <w:color w:val="000000"/>
        </w:rPr>
        <w:t>Staten måste ha möjlighet att agera snabbt och kraftfullt för att återställa förtroendet för banksystemet, även med finansiella medel. SE välkomnar därför KOM:s förslag till ramverk och att en minimiharmonisering av krishantering av banker sker inom EU.</w:t>
      </w:r>
      <w:r>
        <w:rPr>
          <w:color w:val="000000"/>
        </w:rPr>
        <w:t xml:space="preserve"> </w:t>
      </w:r>
    </w:p>
    <w:p w:rsidR="009353BA" w:rsidRPr="00451C5D" w:rsidRDefault="009353BA" w:rsidP="00557D39">
      <w:pPr>
        <w:pStyle w:val="Heading2"/>
      </w:pPr>
      <w:r>
        <w:t xml:space="preserve">6. </w:t>
      </w:r>
      <w:r>
        <w:tab/>
        <w:t>Övriga frågor</w:t>
      </w:r>
      <w:r w:rsidRPr="0008297A">
        <w:rPr>
          <w:i/>
        </w:rPr>
        <w:t xml:space="preserve"> </w:t>
      </w:r>
    </w:p>
    <w:p w:rsidR="009353BA" w:rsidRPr="00451C5D" w:rsidRDefault="009353BA" w:rsidP="00557D39">
      <w:pPr>
        <w:pStyle w:val="Heading4"/>
      </w:pPr>
      <w:r w:rsidRPr="00451C5D">
        <w:tab/>
        <w:t xml:space="preserve">- </w:t>
      </w:r>
      <w:r>
        <w:t>(ev.) Aktuella lagstiftningsförslag</w:t>
      </w:r>
    </w:p>
    <w:p w:rsidR="009353BA" w:rsidRPr="00BE618E" w:rsidRDefault="009353BA" w:rsidP="00557D39">
      <w:pPr>
        <w:keepNext/>
        <w:keepLines/>
      </w:pPr>
      <w:r>
        <w:t xml:space="preserve">Ordförandeskapet kommer eventuellt att informera om förhandlingarna kring några aktuella lagstiftningsförslag. </w:t>
      </w:r>
    </w:p>
    <w:p w:rsidR="009353BA" w:rsidRPr="003501A4" w:rsidRDefault="009353BA" w:rsidP="003501A4">
      <w:pPr>
        <w:pStyle w:val="Heading2"/>
        <w:rPr>
          <w:u w:val="single"/>
        </w:rPr>
      </w:pPr>
      <w:r>
        <w:rPr>
          <w:u w:val="single"/>
        </w:rPr>
        <w:t>Icke-lagstiftande verksamhet</w:t>
      </w:r>
    </w:p>
    <w:p w:rsidR="009353BA" w:rsidRPr="00557D39" w:rsidRDefault="009353BA" w:rsidP="00557D39">
      <w:pPr>
        <w:pStyle w:val="Heading2"/>
        <w:rPr>
          <w:rStyle w:val="Strong"/>
          <w:b/>
          <w:bCs w:val="0"/>
        </w:rPr>
      </w:pPr>
      <w:r w:rsidRPr="00557D39">
        <w:rPr>
          <w:rStyle w:val="Strong"/>
          <w:b/>
          <w:bCs w:val="0"/>
        </w:rPr>
        <w:t>6.</w:t>
      </w:r>
      <w:r w:rsidRPr="00557D39">
        <w:rPr>
          <w:rStyle w:val="Strong"/>
          <w:b/>
          <w:bCs w:val="0"/>
        </w:rPr>
        <w:tab/>
        <w:t xml:space="preserve">Godkännande av </w:t>
      </w:r>
      <w:r>
        <w:rPr>
          <w:rStyle w:val="Strong"/>
          <w:b/>
          <w:bCs w:val="0"/>
        </w:rPr>
        <w:t>listan</w:t>
      </w:r>
      <w:r w:rsidRPr="00557D39">
        <w:rPr>
          <w:rStyle w:val="Strong"/>
          <w:b/>
          <w:bCs w:val="0"/>
        </w:rPr>
        <w:t xml:space="preserve"> över A-punkter</w:t>
      </w:r>
    </w:p>
    <w:p w:rsidR="009353BA" w:rsidRPr="00451C5D" w:rsidRDefault="009353BA" w:rsidP="00B40850">
      <w:pPr>
        <w:pStyle w:val="Heading2"/>
      </w:pPr>
      <w:r>
        <w:t>7</w:t>
      </w:r>
      <w:r w:rsidRPr="0008297A">
        <w:t>.</w:t>
      </w:r>
      <w:r w:rsidRPr="0008297A">
        <w:tab/>
      </w:r>
      <w:r>
        <w:t>Föredragning av cypriotiska ordförandeskapets arbetsprogram</w:t>
      </w:r>
      <w:r w:rsidRPr="0008297A">
        <w:rPr>
          <w:i/>
        </w:rPr>
        <w:t xml:space="preserve"> </w:t>
      </w:r>
    </w:p>
    <w:p w:rsidR="009353BA" w:rsidRDefault="009353BA" w:rsidP="00B40850">
      <w:pPr>
        <w:pStyle w:val="Heading4"/>
      </w:pPr>
      <w:r w:rsidRPr="00451C5D">
        <w:tab/>
        <w:t xml:space="preserve">- </w:t>
      </w:r>
      <w:r>
        <w:t>Diskussion</w:t>
      </w:r>
    </w:p>
    <w:p w:rsidR="009353BA" w:rsidRDefault="009353BA" w:rsidP="00240AB6">
      <w:r>
        <w:t xml:space="preserve">Det cypriotiska ordförandeskapet ska presentera sitt arbetsprogram för sitt ordförandeskap i Ekofinrådet under andra halvan av 2012. </w:t>
      </w:r>
    </w:p>
    <w:p w:rsidR="009353BA" w:rsidRDefault="009353BA" w:rsidP="00240AB6"/>
    <w:p w:rsidR="009353BA" w:rsidRDefault="009353BA" w:rsidP="00240AB6">
      <w:r>
        <w:t xml:space="preserve">Programmet har inte presenterats i skrivande stund. </w:t>
      </w:r>
    </w:p>
    <w:p w:rsidR="009353BA" w:rsidRPr="00451C5D" w:rsidRDefault="009353BA" w:rsidP="003501A4">
      <w:pPr>
        <w:pStyle w:val="Heading2"/>
        <w:ind w:left="1134" w:hanging="1134"/>
      </w:pPr>
      <w:r>
        <w:t>8</w:t>
      </w:r>
      <w:r w:rsidRPr="0008297A">
        <w:t>.</w:t>
      </w:r>
      <w:r w:rsidRPr="0008297A">
        <w:tab/>
      </w:r>
      <w:r>
        <w:t>Uppföljning av Europeiska rådet 28-29 juni 2012</w:t>
      </w:r>
    </w:p>
    <w:p w:rsidR="009353BA" w:rsidRDefault="009353BA" w:rsidP="00B40850">
      <w:pPr>
        <w:pStyle w:val="Heading4"/>
      </w:pPr>
      <w:r w:rsidRPr="00451C5D">
        <w:tab/>
        <w:t xml:space="preserve">- </w:t>
      </w:r>
      <w:r>
        <w:t>Diskussion</w:t>
      </w:r>
    </w:p>
    <w:p w:rsidR="009353BA" w:rsidRDefault="009353BA" w:rsidP="00FE1F44">
      <w:pPr>
        <w:pStyle w:val="RKnormal"/>
      </w:pPr>
      <w:r>
        <w:t xml:space="preserve">Ekofin ska följa upp beslut tagna vid Europeiska rådet 28-29 juli. </w:t>
      </w:r>
    </w:p>
    <w:p w:rsidR="009353BA" w:rsidRDefault="009353BA" w:rsidP="00FE1F44">
      <w:pPr>
        <w:pStyle w:val="RKnormal"/>
      </w:pPr>
    </w:p>
    <w:p w:rsidR="009353BA" w:rsidRDefault="009353BA" w:rsidP="00FE1F44">
      <w:r>
        <w:t xml:space="preserve">Statsministern samrådde med EU-nämnden inför Europeiska rådet den 27 juni och ska återrapportera från mötet till riksdagen den 2 juli. </w:t>
      </w:r>
    </w:p>
    <w:p w:rsidR="009353BA" w:rsidRDefault="009353BA" w:rsidP="00FE1F44">
      <w:pPr>
        <w:pStyle w:val="RKnormal"/>
        <w:spacing w:line="240" w:lineRule="auto"/>
        <w:rPr>
          <w:color w:val="000000"/>
        </w:rPr>
      </w:pPr>
    </w:p>
    <w:p w:rsidR="009353BA" w:rsidRPr="00FE1F44" w:rsidRDefault="009353BA" w:rsidP="00FE1F44">
      <w:pPr>
        <w:pStyle w:val="RKnormal"/>
        <w:spacing w:line="240" w:lineRule="auto"/>
      </w:pPr>
      <w:r>
        <w:rPr>
          <w:color w:val="000000"/>
        </w:rPr>
        <w:t>Vilka frågor som blir aktuella för Ekofinrådet att följa upp är inte känt då Europeiska rådets möte inte avslutats i skrivande stund.</w:t>
      </w:r>
    </w:p>
    <w:p w:rsidR="009353BA" w:rsidRPr="00451C5D" w:rsidRDefault="009353BA" w:rsidP="003501A4">
      <w:pPr>
        <w:pStyle w:val="Heading2"/>
        <w:ind w:left="1134" w:hanging="1134"/>
      </w:pPr>
      <w:r>
        <w:t>9</w:t>
      </w:r>
      <w:r w:rsidRPr="0008297A">
        <w:t>.</w:t>
      </w:r>
      <w:r w:rsidRPr="0008297A">
        <w:tab/>
      </w:r>
      <w:r>
        <w:t>Europeiska planeringsterminen</w:t>
      </w:r>
    </w:p>
    <w:p w:rsidR="009353BA" w:rsidRDefault="009353BA" w:rsidP="003D764C">
      <w:pPr>
        <w:pStyle w:val="Heading4"/>
        <w:ind w:left="1134"/>
      </w:pPr>
      <w:r>
        <w:t>a) –</w:t>
      </w:r>
      <w:r w:rsidRPr="00451C5D">
        <w:t xml:space="preserve"> </w:t>
      </w:r>
      <w:r>
        <w:t>Antagande av rådets rekommendationer om 2012 års nationella reformprogram och rådets yttrande om de uppdaterade stabilitets- och konvergensprogrammen</w:t>
      </w:r>
    </w:p>
    <w:p w:rsidR="009353BA" w:rsidRPr="003D764C" w:rsidRDefault="009353BA" w:rsidP="003D764C">
      <w:pPr>
        <w:pStyle w:val="Heading4"/>
        <w:ind w:left="1134"/>
      </w:pPr>
      <w:r>
        <w:t>b) – Antagande av rådets rekommendation om genomförande av de allmänna riktlinjerna för den ekonomiska politiken för euroländer</w:t>
      </w:r>
    </w:p>
    <w:p w:rsidR="009353BA" w:rsidRDefault="009353BA" w:rsidP="0005793A">
      <w:pPr>
        <w:pStyle w:val="RKnormal"/>
        <w:spacing w:line="240" w:lineRule="auto"/>
      </w:pPr>
      <w:r>
        <w:t xml:space="preserve">Ekofinrådet ska anta landspecifika rekommendationer till medlemsstaterna inom ramen för den europeiska terminen. </w:t>
      </w:r>
      <w:r>
        <w:rPr>
          <w:color w:val="000000"/>
        </w:rPr>
        <w:t>Rådet ska även anta en rekommendation som riktar sig till de medlemsstater som har euron som valuta. Endast euroländer har rösträtt avseende denna rekommendation.</w:t>
      </w:r>
      <w:r>
        <w:t xml:space="preserve"> </w:t>
      </w:r>
    </w:p>
    <w:p w:rsidR="009353BA" w:rsidRPr="001111DB" w:rsidRDefault="009353BA" w:rsidP="0005793A">
      <w:pPr>
        <w:pStyle w:val="RKnormal"/>
        <w:spacing w:line="240" w:lineRule="auto"/>
      </w:pPr>
    </w:p>
    <w:p w:rsidR="009353BA" w:rsidRDefault="009353BA" w:rsidP="0005793A">
      <w:pPr>
        <w:spacing w:line="240" w:lineRule="auto"/>
        <w:rPr>
          <w:i/>
        </w:rPr>
      </w:pPr>
      <w:r>
        <w:t xml:space="preserve">Samråd kring rekommendationerna har skett med EU-nämnden den 15 juni 2012. </w:t>
      </w:r>
    </w:p>
    <w:p w:rsidR="009353BA" w:rsidRDefault="009353BA" w:rsidP="0005793A">
      <w:pPr>
        <w:pStyle w:val="RKnormal"/>
        <w:spacing w:line="240" w:lineRule="auto"/>
        <w:rPr>
          <w:color w:val="000000"/>
        </w:rPr>
      </w:pPr>
    </w:p>
    <w:p w:rsidR="009353BA" w:rsidRDefault="009353BA" w:rsidP="0069688D">
      <w:pPr>
        <w:pStyle w:val="RKnormal"/>
        <w:spacing w:line="240" w:lineRule="auto"/>
        <w:rPr>
          <w:color w:val="000000"/>
        </w:rPr>
      </w:pPr>
      <w:r>
        <w:rPr>
          <w:color w:val="000000"/>
        </w:rPr>
        <w:t xml:space="preserve">Rekommendationerna baseras på de allmänna riktlinjerna för den ekonomiska politiken och sysselsättningsriktlinjerna och hänför sig till ländernas nationella reformprogram och stabilitets- eller konvergensprogram. </w:t>
      </w:r>
    </w:p>
    <w:p w:rsidR="009353BA" w:rsidRDefault="009353BA" w:rsidP="0005793A">
      <w:pPr>
        <w:pStyle w:val="RKnormal"/>
        <w:spacing w:line="240" w:lineRule="auto"/>
        <w:rPr>
          <w:color w:val="000000"/>
        </w:rPr>
      </w:pPr>
    </w:p>
    <w:p w:rsidR="009353BA" w:rsidRPr="00495864" w:rsidRDefault="009353BA" w:rsidP="0005793A">
      <w:pPr>
        <w:pStyle w:val="RKnormal"/>
        <w:spacing w:line="240" w:lineRule="auto"/>
        <w:rPr>
          <w:color w:val="000000"/>
        </w:rPr>
      </w:pPr>
      <w:r>
        <w:rPr>
          <w:color w:val="000000"/>
        </w:rPr>
        <w:t>Rekommendationerna godkändes vid Ekofinrådet 22 juni. Efter behandling i</w:t>
      </w:r>
      <w:r w:rsidRPr="00495864">
        <w:rPr>
          <w:color w:val="000000"/>
        </w:rPr>
        <w:t xml:space="preserve"> </w:t>
      </w:r>
      <w:r>
        <w:rPr>
          <w:color w:val="000000"/>
        </w:rPr>
        <w:t xml:space="preserve">Europeiska rådet den 28-29 juni ska rekommendationerna slutligt antas av Ekofinrådet den 10 juli. </w:t>
      </w:r>
    </w:p>
    <w:p w:rsidR="009353BA" w:rsidRDefault="009353BA" w:rsidP="0005793A">
      <w:pPr>
        <w:spacing w:line="240" w:lineRule="auto"/>
        <w:rPr>
          <w:color w:val="000000"/>
        </w:rPr>
      </w:pPr>
    </w:p>
    <w:p w:rsidR="009353BA" w:rsidRPr="0005793A" w:rsidRDefault="009353BA" w:rsidP="0005793A">
      <w:pPr>
        <w:spacing w:line="240" w:lineRule="auto"/>
        <w:rPr>
          <w:color w:val="000000"/>
        </w:rPr>
      </w:pPr>
      <w:r w:rsidRPr="0005793A">
        <w:rPr>
          <w:color w:val="000000"/>
        </w:rPr>
        <w:t xml:space="preserve">Sverige har ställt sig bakom EU:s regler för den ekonomisk-politiska samordningen, där det bland annat framgår att medlemsstaterna ska betrakta den ekonomiska politiken som en fråga av gemensamt intresse och samordna denna inom rådet.  </w:t>
      </w:r>
    </w:p>
    <w:p w:rsidR="009353BA" w:rsidRPr="0005793A" w:rsidRDefault="009353BA" w:rsidP="0005793A">
      <w:pPr>
        <w:pStyle w:val="ListParagraph"/>
        <w:spacing w:after="0" w:line="240" w:lineRule="auto"/>
        <w:ind w:left="0"/>
        <w:rPr>
          <w:rFonts w:ascii="OrigGarmnd BT" w:hAnsi="OrigGarmnd BT"/>
          <w:color w:val="000000"/>
          <w:sz w:val="24"/>
          <w:szCs w:val="20"/>
        </w:rPr>
      </w:pPr>
    </w:p>
    <w:p w:rsidR="009353BA" w:rsidRPr="0005793A" w:rsidRDefault="009353BA" w:rsidP="0005793A">
      <w:pPr>
        <w:spacing w:line="240" w:lineRule="auto"/>
        <w:rPr>
          <w:color w:val="000000"/>
        </w:rPr>
      </w:pPr>
      <w:r w:rsidRPr="0005793A">
        <w:rPr>
          <w:color w:val="000000"/>
        </w:rPr>
        <w:t>Inom ramen för den ekonomisk-politiska samordningen riktas rekommendationer till medlemsstaterna. Regeringen ser rekommendationerna som ett instrument för att uppmuntra till en ansvarfull ekonomisk politik och uppfyllelse av de mål som sätts upp inom ramen för samordningen av den ekonomiska politiken. Rekommendationerna ska samtidigt respektera nationell praxis och de nationella systemen för lönebildning.</w:t>
      </w:r>
    </w:p>
    <w:p w:rsidR="009353BA" w:rsidRPr="0005793A" w:rsidRDefault="009353BA" w:rsidP="0005793A">
      <w:pPr>
        <w:pStyle w:val="ListParagraph"/>
        <w:spacing w:after="0" w:line="240" w:lineRule="auto"/>
        <w:ind w:left="0"/>
        <w:rPr>
          <w:rFonts w:ascii="OrigGarmnd BT" w:hAnsi="OrigGarmnd BT"/>
          <w:color w:val="000000"/>
          <w:sz w:val="24"/>
          <w:szCs w:val="20"/>
        </w:rPr>
      </w:pPr>
    </w:p>
    <w:p w:rsidR="009353BA" w:rsidRPr="0005793A" w:rsidRDefault="009353BA" w:rsidP="0005793A">
      <w:pPr>
        <w:spacing w:line="240" w:lineRule="auto"/>
        <w:rPr>
          <w:color w:val="000000"/>
        </w:rPr>
      </w:pPr>
      <w:r w:rsidRPr="0005793A">
        <w:rPr>
          <w:color w:val="000000"/>
        </w:rPr>
        <w:t>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w:t>
      </w:r>
    </w:p>
    <w:p w:rsidR="009353BA" w:rsidRPr="0005793A" w:rsidRDefault="009353BA" w:rsidP="0005793A">
      <w:pPr>
        <w:pStyle w:val="ListParagraph"/>
        <w:spacing w:after="0" w:line="240" w:lineRule="auto"/>
        <w:ind w:left="0"/>
        <w:rPr>
          <w:rFonts w:ascii="OrigGarmnd BT" w:hAnsi="OrigGarmnd BT"/>
          <w:color w:val="000000"/>
          <w:sz w:val="24"/>
          <w:szCs w:val="20"/>
        </w:rPr>
      </w:pPr>
    </w:p>
    <w:p w:rsidR="009353BA" w:rsidRPr="0005793A" w:rsidRDefault="009353BA" w:rsidP="0005793A">
      <w:pPr>
        <w:spacing w:line="240" w:lineRule="auto"/>
        <w:rPr>
          <w:color w:val="000000"/>
        </w:rPr>
      </w:pPr>
      <w:r w:rsidRPr="0005793A">
        <w:rPr>
          <w:color w:val="000000"/>
        </w:rPr>
        <w:t xml:space="preserve">Regeringen ställer sig bakom att rekommendationer ges till medlemsländerna. Det är sedan upp till varje medlemsland att välja hur man förhåller sig till rekommendationerna.  </w:t>
      </w:r>
    </w:p>
    <w:p w:rsidR="009353BA" w:rsidRPr="0005793A" w:rsidRDefault="009353BA" w:rsidP="0005793A">
      <w:pPr>
        <w:pStyle w:val="ListParagraph"/>
        <w:spacing w:after="0" w:line="240" w:lineRule="auto"/>
        <w:ind w:left="0"/>
        <w:rPr>
          <w:rFonts w:ascii="OrigGarmnd BT" w:hAnsi="OrigGarmnd BT"/>
          <w:color w:val="000000"/>
          <w:sz w:val="24"/>
          <w:szCs w:val="20"/>
        </w:rPr>
      </w:pPr>
    </w:p>
    <w:p w:rsidR="009353BA" w:rsidRPr="0005793A" w:rsidRDefault="009353BA" w:rsidP="0005793A">
      <w:pPr>
        <w:pStyle w:val="RKnormal"/>
        <w:spacing w:line="240" w:lineRule="auto"/>
        <w:rPr>
          <w:color w:val="000000"/>
        </w:rPr>
      </w:pPr>
      <w:r w:rsidRPr="0005793A">
        <w:rPr>
          <w:color w:val="000000"/>
        </w:rPr>
        <w:t>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w:t>
      </w:r>
    </w:p>
    <w:p w:rsidR="009353BA" w:rsidRPr="00451C5D" w:rsidRDefault="009353BA" w:rsidP="00B40850">
      <w:pPr>
        <w:pStyle w:val="Heading2"/>
      </w:pPr>
      <w:r>
        <w:t>10.</w:t>
      </w:r>
      <w:r w:rsidRPr="0008297A">
        <w:tab/>
      </w:r>
      <w:r>
        <w:t>Övriga frågor</w:t>
      </w:r>
    </w:p>
    <w:p w:rsidR="009353BA" w:rsidRDefault="009353BA" w:rsidP="00B40850">
      <w:pPr>
        <w:pStyle w:val="Heading4"/>
      </w:pPr>
      <w:r w:rsidRPr="00451C5D">
        <w:tab/>
        <w:t xml:space="preserve">- </w:t>
      </w:r>
      <w:r>
        <w:t xml:space="preserve">Godkännande av rådets rekommendationer och yttranden. </w:t>
      </w:r>
    </w:p>
    <w:p w:rsidR="009353BA" w:rsidRPr="00005077" w:rsidRDefault="009353BA" w:rsidP="003D764C">
      <w:pPr>
        <w:pStyle w:val="RKnormal"/>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p w:rsidR="009353BA" w:rsidRDefault="009353BA" w:rsidP="00886D94">
      <w:pPr>
        <w:pStyle w:val="RKnormal"/>
      </w:pPr>
    </w:p>
    <w:sectPr w:rsidR="009353BA"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3BA" w:rsidRDefault="009353BA">
      <w:r>
        <w:separator/>
      </w:r>
    </w:p>
  </w:endnote>
  <w:endnote w:type="continuationSeparator" w:id="0">
    <w:p w:rsidR="009353BA" w:rsidRDefault="009353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3BA" w:rsidRDefault="009353BA">
      <w:r>
        <w:separator/>
      </w:r>
    </w:p>
  </w:footnote>
  <w:footnote w:type="continuationSeparator" w:id="0">
    <w:p w:rsidR="009353BA" w:rsidRDefault="00935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BA" w:rsidRDefault="009353BA"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9353BA">
      <w:trPr>
        <w:cantSplit/>
      </w:trPr>
      <w:tc>
        <w:tcPr>
          <w:tcW w:w="3119" w:type="dxa"/>
        </w:tcPr>
        <w:p w:rsidR="009353BA" w:rsidRDefault="009353BA" w:rsidP="00005077">
          <w:pPr>
            <w:pStyle w:val="Header"/>
            <w:spacing w:line="200" w:lineRule="atLeast"/>
            <w:ind w:right="360" w:firstLine="360"/>
            <w:rPr>
              <w:rFonts w:ascii="TradeGothic" w:hAnsi="TradeGothic"/>
              <w:b/>
              <w:bCs/>
              <w:sz w:val="16"/>
            </w:rPr>
          </w:pPr>
        </w:p>
      </w:tc>
      <w:tc>
        <w:tcPr>
          <w:tcW w:w="4111" w:type="dxa"/>
          <w:tcMar>
            <w:left w:w="567" w:type="dxa"/>
          </w:tcMar>
        </w:tcPr>
        <w:p w:rsidR="009353BA" w:rsidRDefault="009353BA">
          <w:pPr>
            <w:pStyle w:val="Header"/>
            <w:ind w:right="360"/>
          </w:pPr>
        </w:p>
      </w:tc>
      <w:tc>
        <w:tcPr>
          <w:tcW w:w="1525" w:type="dxa"/>
        </w:tcPr>
        <w:p w:rsidR="009353BA" w:rsidRDefault="009353BA">
          <w:pPr>
            <w:pStyle w:val="Header"/>
            <w:ind w:right="360"/>
          </w:pPr>
        </w:p>
      </w:tc>
    </w:tr>
  </w:tbl>
  <w:p w:rsidR="009353BA" w:rsidRDefault="009353B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BA" w:rsidRDefault="009353BA"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9353BA">
      <w:trPr>
        <w:cantSplit/>
      </w:trPr>
      <w:tc>
        <w:tcPr>
          <w:tcW w:w="3119" w:type="dxa"/>
        </w:tcPr>
        <w:p w:rsidR="009353BA" w:rsidRDefault="009353BA" w:rsidP="00005077">
          <w:pPr>
            <w:pStyle w:val="Header"/>
            <w:spacing w:line="200" w:lineRule="atLeast"/>
            <w:ind w:right="360" w:firstLine="360"/>
            <w:rPr>
              <w:rFonts w:ascii="TradeGothic" w:hAnsi="TradeGothic"/>
              <w:b/>
              <w:bCs/>
              <w:sz w:val="16"/>
            </w:rPr>
          </w:pPr>
        </w:p>
      </w:tc>
      <w:tc>
        <w:tcPr>
          <w:tcW w:w="4111" w:type="dxa"/>
          <w:tcMar>
            <w:left w:w="567" w:type="dxa"/>
          </w:tcMar>
        </w:tcPr>
        <w:p w:rsidR="009353BA" w:rsidRDefault="009353BA">
          <w:pPr>
            <w:pStyle w:val="Header"/>
            <w:ind w:right="360"/>
          </w:pPr>
        </w:p>
      </w:tc>
      <w:tc>
        <w:tcPr>
          <w:tcW w:w="1525" w:type="dxa"/>
        </w:tcPr>
        <w:p w:rsidR="009353BA" w:rsidRDefault="009353BA">
          <w:pPr>
            <w:pStyle w:val="Header"/>
            <w:ind w:right="360"/>
          </w:pPr>
        </w:p>
      </w:tc>
    </w:tr>
  </w:tbl>
  <w:p w:rsidR="009353BA" w:rsidRDefault="009353B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BA" w:rsidRDefault="009353BA">
    <w:pPr>
      <w:framePr w:w="2948" w:h="1321" w:hRule="exact" w:wrap="notBeside" w:vAnchor="page" w:hAnchor="page" w:x="1362" w:y="653"/>
    </w:pPr>
    <w:r w:rsidRPr="007A1CC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9353BA" w:rsidRPr="00005077" w:rsidRDefault="009353BA">
    <w:pPr>
      <w:pStyle w:val="RKrubrik"/>
      <w:keepNext w:val="0"/>
      <w:tabs>
        <w:tab w:val="clear" w:pos="1134"/>
        <w:tab w:val="clear" w:pos="2835"/>
      </w:tabs>
      <w:spacing w:before="0" w:after="0" w:line="320" w:lineRule="atLeast"/>
      <w:rPr>
        <w:bCs/>
      </w:rPr>
    </w:pPr>
  </w:p>
  <w:p w:rsidR="009353BA" w:rsidRPr="00005077" w:rsidRDefault="009353BA">
    <w:pPr>
      <w:rPr>
        <w:rFonts w:ascii="TradeGothic" w:hAnsi="TradeGothic"/>
        <w:b/>
        <w:bCs/>
        <w:spacing w:val="12"/>
        <w:sz w:val="22"/>
      </w:rPr>
    </w:pPr>
  </w:p>
  <w:p w:rsidR="009353BA" w:rsidRPr="00005077" w:rsidRDefault="009353BA">
    <w:pPr>
      <w:pStyle w:val="RKrubrik"/>
      <w:keepNext w:val="0"/>
      <w:tabs>
        <w:tab w:val="clear" w:pos="1134"/>
        <w:tab w:val="clear" w:pos="2835"/>
      </w:tabs>
      <w:spacing w:before="0" w:after="0" w:line="320" w:lineRule="atLeast"/>
      <w:rPr>
        <w:bCs/>
      </w:rPr>
    </w:pPr>
  </w:p>
  <w:p w:rsidR="009353BA" w:rsidRPr="00005077" w:rsidRDefault="009353B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02A6"/>
    <w:multiLevelType w:val="hybridMultilevel"/>
    <w:tmpl w:val="71C88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D4600CB"/>
    <w:multiLevelType w:val="hybridMultilevel"/>
    <w:tmpl w:val="565093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0743934"/>
    <w:multiLevelType w:val="hybridMultilevel"/>
    <w:tmpl w:val="77487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0B849D6"/>
    <w:multiLevelType w:val="hybridMultilevel"/>
    <w:tmpl w:val="42B224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153CB"/>
    <w:rsid w:val="00023614"/>
    <w:rsid w:val="0005793A"/>
    <w:rsid w:val="0008297A"/>
    <w:rsid w:val="001111DB"/>
    <w:rsid w:val="00132AE2"/>
    <w:rsid w:val="00150384"/>
    <w:rsid w:val="001805B7"/>
    <w:rsid w:val="0022002D"/>
    <w:rsid w:val="002312E4"/>
    <w:rsid w:val="00240AB6"/>
    <w:rsid w:val="0029325F"/>
    <w:rsid w:val="002B0D9A"/>
    <w:rsid w:val="002E3A9A"/>
    <w:rsid w:val="003501A4"/>
    <w:rsid w:val="003525C1"/>
    <w:rsid w:val="00366260"/>
    <w:rsid w:val="003D764C"/>
    <w:rsid w:val="00425952"/>
    <w:rsid w:val="00451C5D"/>
    <w:rsid w:val="00491300"/>
    <w:rsid w:val="00495864"/>
    <w:rsid w:val="004A328D"/>
    <w:rsid w:val="005052E8"/>
    <w:rsid w:val="00557D39"/>
    <w:rsid w:val="0058762B"/>
    <w:rsid w:val="00647CBD"/>
    <w:rsid w:val="00680E75"/>
    <w:rsid w:val="0069688D"/>
    <w:rsid w:val="006E4E11"/>
    <w:rsid w:val="007242A3"/>
    <w:rsid w:val="00727A57"/>
    <w:rsid w:val="007A1CCD"/>
    <w:rsid w:val="007A6855"/>
    <w:rsid w:val="007B78C9"/>
    <w:rsid w:val="007F10CC"/>
    <w:rsid w:val="008446C3"/>
    <w:rsid w:val="008868D1"/>
    <w:rsid w:val="00886D94"/>
    <w:rsid w:val="008C604C"/>
    <w:rsid w:val="00930DDB"/>
    <w:rsid w:val="009353BA"/>
    <w:rsid w:val="00A33BCE"/>
    <w:rsid w:val="00B13D55"/>
    <w:rsid w:val="00B40850"/>
    <w:rsid w:val="00B70631"/>
    <w:rsid w:val="00BE0F0A"/>
    <w:rsid w:val="00BE618E"/>
    <w:rsid w:val="00C47ECF"/>
    <w:rsid w:val="00CA7F46"/>
    <w:rsid w:val="00D133D7"/>
    <w:rsid w:val="00D344AF"/>
    <w:rsid w:val="00D43F68"/>
    <w:rsid w:val="00D843D8"/>
    <w:rsid w:val="00EC25F9"/>
    <w:rsid w:val="00ED583F"/>
    <w:rsid w:val="00EE5A76"/>
    <w:rsid w:val="00FC54BE"/>
    <w:rsid w:val="00FE1F44"/>
    <w:rsid w:val="00FF706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04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C604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8C604C"/>
    <w:pPr>
      <w:spacing w:after="120" w:line="240" w:lineRule="atLeast"/>
      <w:outlineLvl w:val="2"/>
    </w:pPr>
    <w:rPr>
      <w:b w:val="0"/>
    </w:rPr>
  </w:style>
  <w:style w:type="paragraph" w:styleId="Heading4">
    <w:name w:val="heading 4"/>
    <w:basedOn w:val="Heading3"/>
    <w:next w:val="RKnormal"/>
    <w:link w:val="Heading4Char"/>
    <w:uiPriority w:val="99"/>
    <w:qFormat/>
    <w:rsid w:val="003501A4"/>
    <w:pPr>
      <w:spacing w:before="120" w:after="2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4C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534C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534C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534C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8C604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C604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534C1"/>
    <w:rPr>
      <w:rFonts w:ascii="OrigGarmnd BT" w:hAnsi="OrigGarmnd BT"/>
      <w:sz w:val="24"/>
      <w:szCs w:val="20"/>
      <w:lang w:eastAsia="en-US"/>
    </w:rPr>
  </w:style>
  <w:style w:type="paragraph" w:styleId="Header">
    <w:name w:val="header"/>
    <w:basedOn w:val="Normal"/>
    <w:link w:val="HeaderChar"/>
    <w:uiPriority w:val="99"/>
    <w:rsid w:val="008C604C"/>
    <w:pPr>
      <w:tabs>
        <w:tab w:val="center" w:pos="4153"/>
        <w:tab w:val="right" w:pos="8306"/>
      </w:tabs>
    </w:pPr>
  </w:style>
  <w:style w:type="character" w:customStyle="1" w:styleId="HeaderChar">
    <w:name w:val="Header Char"/>
    <w:basedOn w:val="DefaultParagraphFont"/>
    <w:link w:val="Header"/>
    <w:uiPriority w:val="99"/>
    <w:semiHidden/>
    <w:rsid w:val="003534C1"/>
    <w:rPr>
      <w:rFonts w:ascii="OrigGarmnd BT" w:hAnsi="OrigGarmnd BT"/>
      <w:sz w:val="24"/>
      <w:szCs w:val="20"/>
      <w:lang w:eastAsia="en-US"/>
    </w:rPr>
  </w:style>
  <w:style w:type="paragraph" w:customStyle="1" w:styleId="RKnormal">
    <w:name w:val="RKnormal"/>
    <w:basedOn w:val="Normal"/>
    <w:link w:val="RKnormalChar"/>
    <w:uiPriority w:val="99"/>
    <w:rsid w:val="008C604C"/>
    <w:pPr>
      <w:tabs>
        <w:tab w:val="left" w:pos="2835"/>
      </w:tabs>
      <w:spacing w:line="240" w:lineRule="atLeast"/>
    </w:pPr>
  </w:style>
  <w:style w:type="paragraph" w:customStyle="1" w:styleId="RKrubrik">
    <w:name w:val="RKrubrik"/>
    <w:basedOn w:val="RKnormal"/>
    <w:next w:val="RKnormal"/>
    <w:uiPriority w:val="99"/>
    <w:rsid w:val="008C604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C604C"/>
    <w:rPr>
      <w:rFonts w:cs="Times New Roman"/>
    </w:rPr>
  </w:style>
  <w:style w:type="character" w:styleId="Strong">
    <w:name w:val="Strong"/>
    <w:basedOn w:val="DefaultParagraphFont"/>
    <w:uiPriority w:val="99"/>
    <w:qFormat/>
    <w:rsid w:val="00B40850"/>
    <w:rPr>
      <w:rFonts w:cs="Times New Roman"/>
      <w:b/>
      <w:bCs/>
    </w:rPr>
  </w:style>
  <w:style w:type="paragraph" w:styleId="BalloonText">
    <w:name w:val="Balloon Text"/>
    <w:basedOn w:val="Normal"/>
    <w:link w:val="BalloonTextChar"/>
    <w:uiPriority w:val="99"/>
    <w:rsid w:val="003501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501A4"/>
    <w:rPr>
      <w:rFonts w:ascii="Tahoma" w:hAnsi="Tahoma" w:cs="Tahoma"/>
      <w:sz w:val="16"/>
      <w:szCs w:val="16"/>
      <w:lang w:eastAsia="en-US"/>
    </w:rPr>
  </w:style>
  <w:style w:type="character" w:customStyle="1" w:styleId="RKnormalChar">
    <w:name w:val="RKnormal Char"/>
    <w:link w:val="RKnormal"/>
    <w:uiPriority w:val="99"/>
    <w:locked/>
    <w:rsid w:val="007F10CC"/>
    <w:rPr>
      <w:rFonts w:ascii="OrigGarmnd BT" w:hAnsi="OrigGarmnd BT"/>
      <w:sz w:val="24"/>
      <w:lang w:eastAsia="en-US"/>
    </w:rPr>
  </w:style>
  <w:style w:type="paragraph" w:styleId="ListParagraph">
    <w:name w:val="List Paragraph"/>
    <w:basedOn w:val="Normal"/>
    <w:uiPriority w:val="99"/>
    <w:qFormat/>
    <w:rsid w:val="00886D94"/>
    <w:pPr>
      <w:overflowPunct/>
      <w:autoSpaceDE/>
      <w:autoSpaceDN/>
      <w:adjustRightInd/>
      <w:spacing w:after="200" w:line="276" w:lineRule="auto"/>
      <w:ind w:left="720"/>
      <w:contextualSpacing/>
      <w:textAlignment w:val="auto"/>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4990242">
      <w:marLeft w:val="0"/>
      <w:marRight w:val="0"/>
      <w:marTop w:val="0"/>
      <w:marBottom w:val="0"/>
      <w:divBdr>
        <w:top w:val="none" w:sz="0" w:space="0" w:color="auto"/>
        <w:left w:val="none" w:sz="0" w:space="0" w:color="auto"/>
        <w:bottom w:val="none" w:sz="0" w:space="0" w:color="auto"/>
        <w:right w:val="none" w:sz="0" w:space="0" w:color="auto"/>
      </w:divBdr>
    </w:div>
    <w:div w:id="44990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1258</Words>
  <Characters>8094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jb0525aa</cp:lastModifiedBy>
  <cp:revision>2</cp:revision>
  <cp:lastPrinted>2012-06-29T09:24:00Z</cp:lastPrinted>
  <dcterms:created xsi:type="dcterms:W3CDTF">2012-06-29T10:30:00Z</dcterms:created>
  <dcterms:modified xsi:type="dcterms:W3CDTF">2012-06-29T10:30:00Z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0x01010053E1D612BA3F4E21AA250ECD751942B30076006A980CB3AA46B5B538A2CD4737C6</vt:lpwstr>
  </property>
  <property fmtid="{D5CDD505-2E9C-101B-9397-08002B2CF9AE}" pid="6" name="Order">
    <vt:r8>2.07039340472797E-302</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_dlc_DocIdItemGuid">
    <vt:lpwstr>4e1cdcd4-eada-4fe9-9d2c-90ad64b6397d</vt:lpwstr>
  </property>
  <property fmtid="{D5CDD505-2E9C-101B-9397-08002B2CF9AE}" pid="12" name="RKOrdnaCheckInComment">
    <vt:lpwstr/>
  </property>
  <property fmtid="{D5CDD505-2E9C-101B-9397-08002B2CF9AE}" pid="13" name="RKOrdnaClass">
    <vt:lpwstr>3</vt:lpwstr>
  </property>
  <property fmtid="{D5CDD505-2E9C-101B-9397-08002B2CF9AE}" pid="14" name="ja01b8bc4bea4d6683c0d8279d494392">
    <vt:lpwstr>Finansdepartementet0b2f41b1-db50-472c-80a1-d21b0254fb2b</vt:lpwstr>
  </property>
  <property fmtid="{D5CDD505-2E9C-101B-9397-08002B2CF9AE}" pid="15" name="TaxCatchAll">
    <vt:lpwstr>20;#;#1;#</vt:lpwstr>
  </property>
  <property fmtid="{D5CDD505-2E9C-101B-9397-08002B2CF9AE}" pid="16" name="p9288b129226400383b88cd27048369c">
    <vt:lpwstr>4.1. Europeiska unionen3702a388-75a8-47ca-a3cb-a45aec6679e6</vt:lpwstr>
  </property>
  <property fmtid="{D5CDD505-2E9C-101B-9397-08002B2CF9AE}" pid="17" name="Nyckelord">
    <vt:lpwstr/>
  </property>
  <property fmtid="{D5CDD505-2E9C-101B-9397-08002B2CF9AE}" pid="18" name="Diarienummer">
    <vt:lpwstr/>
  </property>
  <property fmtid="{D5CDD505-2E9C-101B-9397-08002B2CF9AE}" pid="19" name="Sekretess m.m.">
    <vt:lpwstr/>
  </property>
  <property fmtid="{D5CDD505-2E9C-101B-9397-08002B2CF9AE}" pid="20" name="_dlc_DocId">
    <vt:lpwstr>M623RS5WZCRU-33-556</vt:lpwstr>
  </property>
  <property fmtid="{D5CDD505-2E9C-101B-9397-08002B2CF9AE}" pid="21" name="_dlc_DocIdUrl">
    <vt:lpwstr>http://rkdhs-fi/ECOFIN/_layouts/DocIdRedir.aspx?ID=M623RS5WZCRU-33-556, M623RS5WZCRU-33-556</vt:lpwstr>
  </property>
</Properties>
</file>