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49F32" w14:textId="77777777" w:rsidR="00FB32B9" w:rsidRDefault="00A83025" w:rsidP="00FB32B9">
      <w:pPr>
        <w:pStyle w:val="UDrubrik"/>
        <w:tabs>
          <w:tab w:val="left" w:pos="1701"/>
          <w:tab w:val="left" w:pos="1985"/>
        </w:tabs>
        <w:rPr>
          <w:rFonts w:cs="Arial"/>
          <w:sz w:val="28"/>
        </w:rPr>
      </w:pPr>
      <w:bookmarkStart w:id="0" w:name="_GoBack"/>
      <w:bookmarkEnd w:id="0"/>
    </w:p>
    <w:p w14:paraId="42B49F33" w14:textId="77777777" w:rsidR="00FB32B9" w:rsidRDefault="00A83025" w:rsidP="00FB32B9">
      <w:pPr>
        <w:pStyle w:val="UDrubrik"/>
        <w:tabs>
          <w:tab w:val="left" w:pos="1701"/>
          <w:tab w:val="left" w:pos="1985"/>
        </w:tabs>
        <w:rPr>
          <w:rFonts w:cs="Arial"/>
          <w:sz w:val="28"/>
        </w:rPr>
      </w:pPr>
    </w:p>
    <w:p w14:paraId="42B49F34" w14:textId="77777777" w:rsidR="00FB32B9" w:rsidRDefault="00A83025" w:rsidP="00FB32B9">
      <w:pPr>
        <w:pStyle w:val="UDrubrik"/>
        <w:tabs>
          <w:tab w:val="left" w:pos="1701"/>
          <w:tab w:val="left" w:pos="1985"/>
        </w:tabs>
        <w:rPr>
          <w:rFonts w:cs="Arial"/>
          <w:sz w:val="28"/>
        </w:rPr>
      </w:pPr>
    </w:p>
    <w:p w14:paraId="42B49F35" w14:textId="77777777" w:rsidR="00FB32B9" w:rsidRDefault="00A83025" w:rsidP="00FB32B9">
      <w:pPr>
        <w:pStyle w:val="UDrubrik"/>
        <w:tabs>
          <w:tab w:val="left" w:pos="1701"/>
          <w:tab w:val="left" w:pos="1985"/>
        </w:tabs>
        <w:rPr>
          <w:rFonts w:cs="Arial"/>
          <w:sz w:val="28"/>
        </w:rPr>
      </w:pPr>
    </w:p>
    <w:p w14:paraId="42B49F36" w14:textId="4744876D" w:rsidR="00FB32B9" w:rsidRDefault="00A22D83" w:rsidP="00FB32B9">
      <w:pPr>
        <w:pStyle w:val="UDrubrik"/>
        <w:tabs>
          <w:tab w:val="left" w:pos="1701"/>
          <w:tab w:val="left" w:pos="1985"/>
        </w:tabs>
        <w:rPr>
          <w:rFonts w:cs="Arial"/>
          <w:sz w:val="28"/>
        </w:rPr>
      </w:pPr>
      <w:r>
        <w:rPr>
          <w:rFonts w:cs="Arial"/>
          <w:sz w:val="28"/>
        </w:rPr>
        <w:t xml:space="preserve">Troliga A-punkter inför </w:t>
      </w:r>
      <w:r w:rsidR="00DF2A1C">
        <w:rPr>
          <w:rFonts w:cs="Arial"/>
          <w:sz w:val="28"/>
        </w:rPr>
        <w:t>kommande rådsmöten som godkände</w:t>
      </w:r>
      <w:r>
        <w:rPr>
          <w:rFonts w:cs="Arial"/>
          <w:sz w:val="28"/>
        </w:rPr>
        <w:t xml:space="preserve">s vid Coreper II </w:t>
      </w:r>
      <w:r w:rsidR="00DF2A1C">
        <w:rPr>
          <w:rFonts w:cs="Arial"/>
          <w:sz w:val="28"/>
        </w:rPr>
        <w:t>onsdagen den 2 september 2015, vecka 36</w:t>
      </w:r>
      <w:r>
        <w:rPr>
          <w:rFonts w:cs="Arial"/>
          <w:sz w:val="28"/>
        </w:rPr>
        <w:t>.</w:t>
      </w:r>
    </w:p>
    <w:p w14:paraId="42B49F37" w14:textId="77777777" w:rsidR="00FB32B9" w:rsidRDefault="00A83025" w:rsidP="00FB32B9">
      <w:pPr>
        <w:pStyle w:val="Brdtext"/>
      </w:pPr>
    </w:p>
    <w:p w14:paraId="42B49F38" w14:textId="602C592A" w:rsidR="00FB32B9" w:rsidRDefault="00A22D83" w:rsidP="00FB32B9">
      <w:pPr>
        <w:pStyle w:val="Brdtext"/>
      </w:pPr>
      <w:r>
        <w:t xml:space="preserve">Överlämnas för skriftligt samråd till </w:t>
      </w:r>
      <w:r w:rsidR="00DF2A1C">
        <w:t>fredagen</w:t>
      </w:r>
      <w:r>
        <w:t xml:space="preserve"> den </w:t>
      </w:r>
      <w:r w:rsidR="00DF2A1C">
        <w:t>4 september 2015, kl 14.00.</w:t>
      </w:r>
    </w:p>
    <w:p w14:paraId="42B49F39" w14:textId="77777777" w:rsidR="00FB32B9" w:rsidRDefault="00A22D8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2B49F3A" w14:textId="77777777" w:rsidR="00D957FB" w:rsidRPr="00FB32B9" w:rsidRDefault="00A22D83">
          <w:pPr>
            <w:pStyle w:val="Innehllsfrteckningsrubrik"/>
            <w:rPr>
              <w:color w:val="auto"/>
            </w:rPr>
          </w:pPr>
          <w:r w:rsidRPr="00FB32B9">
            <w:rPr>
              <w:color w:val="auto"/>
            </w:rPr>
            <w:t>Innehållsförteckning</w:t>
          </w:r>
        </w:p>
        <w:p w14:paraId="42B49F3B" w14:textId="77777777" w:rsidR="00DA7250" w:rsidRPr="00DA7250" w:rsidRDefault="00A83025" w:rsidP="00DA7250">
          <w:pPr>
            <w:rPr>
              <w:lang w:val="en-US" w:eastAsia="ja-JP"/>
            </w:rPr>
          </w:pPr>
        </w:p>
        <w:p w14:paraId="1D122846" w14:textId="77777777" w:rsidR="00844128" w:rsidRDefault="00A22D8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9051258" w:history="1">
            <w:r w:rsidR="00844128" w:rsidRPr="00DA2079">
              <w:rPr>
                <w:rStyle w:val="Hyperlnk"/>
                <w:noProof/>
              </w:rPr>
              <w:t>1.</w:t>
            </w:r>
            <w:r w:rsidR="00844128">
              <w:rPr>
                <w:rFonts w:asciiTheme="minorHAnsi" w:eastAsiaTheme="minorEastAsia" w:hAnsiTheme="minorHAnsi" w:cstheme="minorBidi"/>
                <w:noProof/>
                <w:lang w:eastAsia="sv-SE"/>
              </w:rPr>
              <w:tab/>
            </w:r>
            <w:r w:rsidR="00844128" w:rsidRPr="00DA2079">
              <w:rPr>
                <w:rStyle w:val="Hyperlnk"/>
                <w:noProof/>
              </w:rPr>
              <w:t>Affaire devant le Tribunal de l'Union européenne Affaire T-262/15 (Dmitry Konstantinovich Kiselev contre le Conseil de l'Union européenne)</w:t>
            </w:r>
            <w:r w:rsidR="00844128">
              <w:rPr>
                <w:noProof/>
                <w:webHidden/>
              </w:rPr>
              <w:tab/>
            </w:r>
            <w:r w:rsidR="00844128">
              <w:rPr>
                <w:noProof/>
                <w:webHidden/>
              </w:rPr>
              <w:fldChar w:fldCharType="begin"/>
            </w:r>
            <w:r w:rsidR="00844128">
              <w:rPr>
                <w:noProof/>
                <w:webHidden/>
              </w:rPr>
              <w:instrText xml:space="preserve"> PAGEREF _Toc429051258 \h </w:instrText>
            </w:r>
            <w:r w:rsidR="00844128">
              <w:rPr>
                <w:noProof/>
                <w:webHidden/>
              </w:rPr>
            </w:r>
            <w:r w:rsidR="00844128">
              <w:rPr>
                <w:noProof/>
                <w:webHidden/>
              </w:rPr>
              <w:fldChar w:fldCharType="separate"/>
            </w:r>
            <w:r w:rsidR="00844128">
              <w:rPr>
                <w:noProof/>
                <w:webHidden/>
              </w:rPr>
              <w:t>4</w:t>
            </w:r>
            <w:r w:rsidR="00844128">
              <w:rPr>
                <w:noProof/>
                <w:webHidden/>
              </w:rPr>
              <w:fldChar w:fldCharType="end"/>
            </w:r>
          </w:hyperlink>
        </w:p>
        <w:p w14:paraId="5C9FBB01"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59" w:history="1">
            <w:r w:rsidR="00844128" w:rsidRPr="00DA2079">
              <w:rPr>
                <w:rStyle w:val="Hyperlnk"/>
                <w:noProof/>
              </w:rPr>
              <w:t>2.</w:t>
            </w:r>
            <w:r w:rsidR="00844128">
              <w:rPr>
                <w:rFonts w:asciiTheme="minorHAnsi" w:eastAsiaTheme="minorEastAsia" w:hAnsiTheme="minorHAnsi" w:cstheme="minorBidi"/>
                <w:noProof/>
                <w:lang w:eastAsia="sv-SE"/>
              </w:rPr>
              <w:tab/>
            </w:r>
            <w:r w:rsidR="00844128" w:rsidRPr="00DA2079">
              <w:rPr>
                <w:rStyle w:val="Hyperlnk"/>
                <w:noProof/>
              </w:rPr>
              <w:t>Affaire devant la Cour de Justice de l'Union européenne Affaire C-266/15 P (Central Bank of Iran contre le Conseil de l'Union européenne)</w:t>
            </w:r>
            <w:r w:rsidR="00844128">
              <w:rPr>
                <w:noProof/>
                <w:webHidden/>
              </w:rPr>
              <w:tab/>
            </w:r>
            <w:r w:rsidR="00844128">
              <w:rPr>
                <w:noProof/>
                <w:webHidden/>
              </w:rPr>
              <w:fldChar w:fldCharType="begin"/>
            </w:r>
            <w:r w:rsidR="00844128">
              <w:rPr>
                <w:noProof/>
                <w:webHidden/>
              </w:rPr>
              <w:instrText xml:space="preserve"> PAGEREF _Toc429051259 \h </w:instrText>
            </w:r>
            <w:r w:rsidR="00844128">
              <w:rPr>
                <w:noProof/>
                <w:webHidden/>
              </w:rPr>
            </w:r>
            <w:r w:rsidR="00844128">
              <w:rPr>
                <w:noProof/>
                <w:webHidden/>
              </w:rPr>
              <w:fldChar w:fldCharType="separate"/>
            </w:r>
            <w:r w:rsidR="00844128">
              <w:rPr>
                <w:noProof/>
                <w:webHidden/>
              </w:rPr>
              <w:t>4</w:t>
            </w:r>
            <w:r w:rsidR="00844128">
              <w:rPr>
                <w:noProof/>
                <w:webHidden/>
              </w:rPr>
              <w:fldChar w:fldCharType="end"/>
            </w:r>
          </w:hyperlink>
        </w:p>
        <w:p w14:paraId="76D5EA54"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0" w:history="1">
            <w:r w:rsidR="00844128" w:rsidRPr="00DA2079">
              <w:rPr>
                <w:rStyle w:val="Hyperlnk"/>
                <w:noProof/>
              </w:rPr>
              <w:t>3.</w:t>
            </w:r>
            <w:r w:rsidR="00844128">
              <w:rPr>
                <w:rFonts w:asciiTheme="minorHAnsi" w:eastAsiaTheme="minorEastAsia" w:hAnsiTheme="minorHAnsi" w:cstheme="minorBidi"/>
                <w:noProof/>
                <w:lang w:eastAsia="sv-SE"/>
              </w:rPr>
              <w:tab/>
            </w:r>
            <w:r w:rsidR="00844128" w:rsidRPr="00DA2079">
              <w:rPr>
                <w:rStyle w:val="Hyperlnk"/>
                <w:noProof/>
              </w:rPr>
              <w:t>Convocation d'une Conférence des représentants des gouvernements des États membres =Nomination de juges et d'un avocat général à la Cour de justice =Nomination de juges au Tribunal</w:t>
            </w:r>
            <w:r w:rsidR="00844128">
              <w:rPr>
                <w:noProof/>
                <w:webHidden/>
              </w:rPr>
              <w:tab/>
            </w:r>
            <w:r w:rsidR="00844128">
              <w:rPr>
                <w:noProof/>
                <w:webHidden/>
              </w:rPr>
              <w:fldChar w:fldCharType="begin"/>
            </w:r>
            <w:r w:rsidR="00844128">
              <w:rPr>
                <w:noProof/>
                <w:webHidden/>
              </w:rPr>
              <w:instrText xml:space="preserve"> PAGEREF _Toc429051260 \h </w:instrText>
            </w:r>
            <w:r w:rsidR="00844128">
              <w:rPr>
                <w:noProof/>
                <w:webHidden/>
              </w:rPr>
            </w:r>
            <w:r w:rsidR="00844128">
              <w:rPr>
                <w:noProof/>
                <w:webHidden/>
              </w:rPr>
              <w:fldChar w:fldCharType="separate"/>
            </w:r>
            <w:r w:rsidR="00844128">
              <w:rPr>
                <w:noProof/>
                <w:webHidden/>
              </w:rPr>
              <w:t>4</w:t>
            </w:r>
            <w:r w:rsidR="00844128">
              <w:rPr>
                <w:noProof/>
                <w:webHidden/>
              </w:rPr>
              <w:fldChar w:fldCharType="end"/>
            </w:r>
          </w:hyperlink>
        </w:p>
        <w:p w14:paraId="078B97F9"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1" w:history="1">
            <w:r w:rsidR="00844128" w:rsidRPr="00DA2079">
              <w:rPr>
                <w:rStyle w:val="Hyperlnk"/>
                <w:noProof/>
              </w:rPr>
              <w:t>4.</w:t>
            </w:r>
            <w:r w:rsidR="00844128">
              <w:rPr>
                <w:rFonts w:asciiTheme="minorHAnsi" w:eastAsiaTheme="minorEastAsia" w:hAnsiTheme="minorHAnsi" w:cstheme="minorBidi"/>
                <w:noProof/>
                <w:lang w:eastAsia="sv-SE"/>
              </w:rPr>
              <w:tab/>
            </w:r>
            <w:r w:rsidR="00844128" w:rsidRPr="00DA2079">
              <w:rPr>
                <w:rStyle w:val="Hyperlnk"/>
                <w:noProof/>
              </w:rPr>
              <w:t>Projet de décision du Conseil portant nomination d'un suppléant italien du Comité des régions</w:t>
            </w:r>
            <w:r w:rsidR="00844128">
              <w:rPr>
                <w:noProof/>
                <w:webHidden/>
              </w:rPr>
              <w:tab/>
            </w:r>
            <w:r w:rsidR="00844128">
              <w:rPr>
                <w:noProof/>
                <w:webHidden/>
              </w:rPr>
              <w:fldChar w:fldCharType="begin"/>
            </w:r>
            <w:r w:rsidR="00844128">
              <w:rPr>
                <w:noProof/>
                <w:webHidden/>
              </w:rPr>
              <w:instrText xml:space="preserve"> PAGEREF _Toc429051261 \h </w:instrText>
            </w:r>
            <w:r w:rsidR="00844128">
              <w:rPr>
                <w:noProof/>
                <w:webHidden/>
              </w:rPr>
            </w:r>
            <w:r w:rsidR="00844128">
              <w:rPr>
                <w:noProof/>
                <w:webHidden/>
              </w:rPr>
              <w:fldChar w:fldCharType="separate"/>
            </w:r>
            <w:r w:rsidR="00844128">
              <w:rPr>
                <w:noProof/>
                <w:webHidden/>
              </w:rPr>
              <w:t>5</w:t>
            </w:r>
            <w:r w:rsidR="00844128">
              <w:rPr>
                <w:noProof/>
                <w:webHidden/>
              </w:rPr>
              <w:fldChar w:fldCharType="end"/>
            </w:r>
          </w:hyperlink>
        </w:p>
        <w:p w14:paraId="1151DDE3"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2" w:history="1">
            <w:r w:rsidR="00844128" w:rsidRPr="00DA2079">
              <w:rPr>
                <w:rStyle w:val="Hyperlnk"/>
                <w:noProof/>
              </w:rPr>
              <w:t>5.</w:t>
            </w:r>
            <w:r w:rsidR="00844128">
              <w:rPr>
                <w:rFonts w:asciiTheme="minorHAnsi" w:eastAsiaTheme="minorEastAsia" w:hAnsiTheme="minorHAnsi" w:cstheme="minorBidi"/>
                <w:noProof/>
                <w:lang w:eastAsia="sv-SE"/>
              </w:rPr>
              <w:tab/>
            </w:r>
            <w:r w:rsidR="00844128" w:rsidRPr="00DA2079">
              <w:rPr>
                <w:rStyle w:val="Hyperlnk"/>
                <w:noProof/>
              </w:rPr>
              <w:t>Projet de décision du Conseil portant nomination d'un membre estonien et d'un suppléant estonien du Comité des régions</w:t>
            </w:r>
            <w:r w:rsidR="00844128">
              <w:rPr>
                <w:noProof/>
                <w:webHidden/>
              </w:rPr>
              <w:tab/>
            </w:r>
            <w:r w:rsidR="00844128">
              <w:rPr>
                <w:noProof/>
                <w:webHidden/>
              </w:rPr>
              <w:fldChar w:fldCharType="begin"/>
            </w:r>
            <w:r w:rsidR="00844128">
              <w:rPr>
                <w:noProof/>
                <w:webHidden/>
              </w:rPr>
              <w:instrText xml:space="preserve"> PAGEREF _Toc429051262 \h </w:instrText>
            </w:r>
            <w:r w:rsidR="00844128">
              <w:rPr>
                <w:noProof/>
                <w:webHidden/>
              </w:rPr>
            </w:r>
            <w:r w:rsidR="00844128">
              <w:rPr>
                <w:noProof/>
                <w:webHidden/>
              </w:rPr>
              <w:fldChar w:fldCharType="separate"/>
            </w:r>
            <w:r w:rsidR="00844128">
              <w:rPr>
                <w:noProof/>
                <w:webHidden/>
              </w:rPr>
              <w:t>5</w:t>
            </w:r>
            <w:r w:rsidR="00844128">
              <w:rPr>
                <w:noProof/>
                <w:webHidden/>
              </w:rPr>
              <w:fldChar w:fldCharType="end"/>
            </w:r>
          </w:hyperlink>
        </w:p>
        <w:p w14:paraId="0CBA0A4F"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3" w:history="1">
            <w:r w:rsidR="00844128" w:rsidRPr="00DA2079">
              <w:rPr>
                <w:rStyle w:val="Hyperlnk"/>
                <w:noProof/>
              </w:rPr>
              <w:t>6.</w:t>
            </w:r>
            <w:r w:rsidR="00844128">
              <w:rPr>
                <w:rFonts w:asciiTheme="minorHAnsi" w:eastAsiaTheme="minorEastAsia" w:hAnsiTheme="minorHAnsi" w:cstheme="minorBidi"/>
                <w:noProof/>
                <w:lang w:eastAsia="sv-SE"/>
              </w:rPr>
              <w:tab/>
            </w:r>
            <w:r w:rsidR="00844128" w:rsidRPr="00DA2079">
              <w:rPr>
                <w:rStyle w:val="Hyperlnk"/>
                <w:noProof/>
              </w:rPr>
              <w:t>Présentation, par la Slovénie,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_Toc429051263 \h </w:instrText>
            </w:r>
            <w:r w:rsidR="00844128">
              <w:rPr>
                <w:noProof/>
                <w:webHidden/>
              </w:rPr>
            </w:r>
            <w:r w:rsidR="00844128">
              <w:rPr>
                <w:noProof/>
                <w:webHidden/>
              </w:rPr>
              <w:fldChar w:fldCharType="separate"/>
            </w:r>
            <w:r w:rsidR="00844128">
              <w:rPr>
                <w:noProof/>
                <w:webHidden/>
              </w:rPr>
              <w:t>6</w:t>
            </w:r>
            <w:r w:rsidR="00844128">
              <w:rPr>
                <w:noProof/>
                <w:webHidden/>
              </w:rPr>
              <w:fldChar w:fldCharType="end"/>
            </w:r>
          </w:hyperlink>
        </w:p>
        <w:p w14:paraId="582A3F0E"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4" w:history="1">
            <w:r w:rsidR="00844128" w:rsidRPr="00DA2079">
              <w:rPr>
                <w:rStyle w:val="Hyperlnk"/>
                <w:noProof/>
              </w:rPr>
              <w:t>7.</w:t>
            </w:r>
            <w:r w:rsidR="00844128">
              <w:rPr>
                <w:rFonts w:asciiTheme="minorHAnsi" w:eastAsiaTheme="minorEastAsia" w:hAnsiTheme="minorHAnsi" w:cstheme="minorBidi"/>
                <w:noProof/>
                <w:lang w:eastAsia="sv-SE"/>
              </w:rPr>
              <w:tab/>
            </w:r>
            <w:r w:rsidR="00844128" w:rsidRPr="00DA2079">
              <w:rPr>
                <w:rStyle w:val="Hyperlnk"/>
                <w:noProof/>
              </w:rPr>
              <w:t>Présentation, par la Lettonie,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_Toc429051264 \h </w:instrText>
            </w:r>
            <w:r w:rsidR="00844128">
              <w:rPr>
                <w:noProof/>
                <w:webHidden/>
              </w:rPr>
            </w:r>
            <w:r w:rsidR="00844128">
              <w:rPr>
                <w:noProof/>
                <w:webHidden/>
              </w:rPr>
              <w:fldChar w:fldCharType="separate"/>
            </w:r>
            <w:r w:rsidR="00844128">
              <w:rPr>
                <w:noProof/>
                <w:webHidden/>
              </w:rPr>
              <w:t>6</w:t>
            </w:r>
            <w:r w:rsidR="00844128">
              <w:rPr>
                <w:noProof/>
                <w:webHidden/>
              </w:rPr>
              <w:fldChar w:fldCharType="end"/>
            </w:r>
          </w:hyperlink>
        </w:p>
        <w:p w14:paraId="67C1EB6D"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5" w:history="1">
            <w:r w:rsidR="00844128" w:rsidRPr="00DA2079">
              <w:rPr>
                <w:rStyle w:val="Hyperlnk"/>
                <w:noProof/>
              </w:rPr>
              <w:t>8.</w:t>
            </w:r>
            <w:r w:rsidR="00844128">
              <w:rPr>
                <w:rFonts w:asciiTheme="minorHAnsi" w:eastAsiaTheme="minorEastAsia" w:hAnsiTheme="minorHAnsi" w:cstheme="minorBidi"/>
                <w:noProof/>
                <w:lang w:eastAsia="sv-SE"/>
              </w:rPr>
              <w:tab/>
            </w:r>
            <w:r w:rsidR="00844128" w:rsidRPr="00DA2079">
              <w:rPr>
                <w:rStyle w:val="Hyperlnk"/>
                <w:noProof/>
              </w:rPr>
              <w:t>Présentation, par la Lituanie,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_Toc429051265 \h </w:instrText>
            </w:r>
            <w:r w:rsidR="00844128">
              <w:rPr>
                <w:noProof/>
                <w:webHidden/>
              </w:rPr>
            </w:r>
            <w:r w:rsidR="00844128">
              <w:rPr>
                <w:noProof/>
                <w:webHidden/>
              </w:rPr>
              <w:fldChar w:fldCharType="separate"/>
            </w:r>
            <w:r w:rsidR="00844128">
              <w:rPr>
                <w:noProof/>
                <w:webHidden/>
              </w:rPr>
              <w:t>6</w:t>
            </w:r>
            <w:r w:rsidR="00844128">
              <w:rPr>
                <w:noProof/>
                <w:webHidden/>
              </w:rPr>
              <w:fldChar w:fldCharType="end"/>
            </w:r>
          </w:hyperlink>
        </w:p>
        <w:p w14:paraId="1571B1A8" w14:textId="77777777" w:rsidR="00844128" w:rsidRDefault="00A83025">
          <w:pPr>
            <w:pStyle w:val="Innehll1"/>
            <w:tabs>
              <w:tab w:val="left" w:pos="440"/>
              <w:tab w:val="right" w:leader="dot" w:pos="9062"/>
            </w:tabs>
            <w:rPr>
              <w:rFonts w:asciiTheme="minorHAnsi" w:eastAsiaTheme="minorEastAsia" w:hAnsiTheme="minorHAnsi" w:cstheme="minorBidi"/>
              <w:noProof/>
              <w:lang w:eastAsia="sv-SE"/>
            </w:rPr>
          </w:pPr>
          <w:hyperlink w:anchor="_Toc429051266" w:history="1">
            <w:r w:rsidR="00844128" w:rsidRPr="00DA2079">
              <w:rPr>
                <w:rStyle w:val="Hyperlnk"/>
                <w:noProof/>
              </w:rPr>
              <w:t>9.</w:t>
            </w:r>
            <w:r w:rsidR="00844128">
              <w:rPr>
                <w:rFonts w:asciiTheme="minorHAnsi" w:eastAsiaTheme="minorEastAsia" w:hAnsiTheme="minorHAnsi" w:cstheme="minorBidi"/>
                <w:noProof/>
                <w:lang w:eastAsia="sv-SE"/>
              </w:rPr>
              <w:tab/>
            </w:r>
            <w:r w:rsidR="00844128" w:rsidRPr="00DA2079">
              <w:rPr>
                <w:rStyle w:val="Hyperlnk"/>
                <w:noProof/>
              </w:rPr>
              <w:t>Présentation, par les Pays-Bas,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_Toc429051266 \h </w:instrText>
            </w:r>
            <w:r w:rsidR="00844128">
              <w:rPr>
                <w:noProof/>
                <w:webHidden/>
              </w:rPr>
            </w:r>
            <w:r w:rsidR="00844128">
              <w:rPr>
                <w:noProof/>
                <w:webHidden/>
              </w:rPr>
              <w:fldChar w:fldCharType="separate"/>
            </w:r>
            <w:r w:rsidR="00844128">
              <w:rPr>
                <w:noProof/>
                <w:webHidden/>
              </w:rPr>
              <w:t>6</w:t>
            </w:r>
            <w:r w:rsidR="00844128">
              <w:rPr>
                <w:noProof/>
                <w:webHidden/>
              </w:rPr>
              <w:fldChar w:fldCharType="end"/>
            </w:r>
          </w:hyperlink>
        </w:p>
        <w:p w14:paraId="45B93393"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67" w:history="1">
            <w:r w:rsidR="00844128" w:rsidRPr="00DA2079">
              <w:rPr>
                <w:rStyle w:val="Hyperlnk"/>
                <w:noProof/>
              </w:rPr>
              <w:t>10.</w:t>
            </w:r>
            <w:r w:rsidR="00844128">
              <w:rPr>
                <w:rFonts w:asciiTheme="minorHAnsi" w:eastAsiaTheme="minorEastAsia" w:hAnsiTheme="minorHAnsi" w:cstheme="minorBidi"/>
                <w:noProof/>
                <w:lang w:eastAsia="sv-SE"/>
              </w:rPr>
              <w:tab/>
            </w:r>
            <w:r w:rsidR="00844128" w:rsidRPr="00DA2079">
              <w:rPr>
                <w:rStyle w:val="Hyperlnk"/>
                <w:noProof/>
              </w:rPr>
              <w:t>Présentation, par la Grèce,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_Toc429051267 \h </w:instrText>
            </w:r>
            <w:r w:rsidR="00844128">
              <w:rPr>
                <w:noProof/>
                <w:webHidden/>
              </w:rPr>
            </w:r>
            <w:r w:rsidR="00844128">
              <w:rPr>
                <w:noProof/>
                <w:webHidden/>
              </w:rPr>
              <w:fldChar w:fldCharType="separate"/>
            </w:r>
            <w:r w:rsidR="00844128">
              <w:rPr>
                <w:noProof/>
                <w:webHidden/>
              </w:rPr>
              <w:t>6</w:t>
            </w:r>
            <w:r w:rsidR="00844128">
              <w:rPr>
                <w:noProof/>
                <w:webHidden/>
              </w:rPr>
              <w:fldChar w:fldCharType="end"/>
            </w:r>
          </w:hyperlink>
        </w:p>
        <w:p w14:paraId="6CFC7B6C"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68" w:history="1">
            <w:r w:rsidR="00844128" w:rsidRPr="00DA2079">
              <w:rPr>
                <w:rStyle w:val="Hyperlnk"/>
                <w:noProof/>
              </w:rPr>
              <w:t>11.</w:t>
            </w:r>
            <w:r w:rsidR="00844128">
              <w:rPr>
                <w:rFonts w:asciiTheme="minorHAnsi" w:eastAsiaTheme="minorEastAsia" w:hAnsiTheme="minorHAnsi" w:cstheme="minorBidi"/>
                <w:noProof/>
                <w:lang w:eastAsia="sv-SE"/>
              </w:rPr>
              <w:tab/>
            </w:r>
            <w:r w:rsidR="00844128" w:rsidRPr="00DA2079">
              <w:rPr>
                <w:rStyle w:val="Hyperlnk"/>
                <w:noProof/>
              </w:rPr>
              <w:t>Présentation, par la France,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_Toc429051268 \h </w:instrText>
            </w:r>
            <w:r w:rsidR="00844128">
              <w:rPr>
                <w:noProof/>
                <w:webHidden/>
              </w:rPr>
            </w:r>
            <w:r w:rsidR="00844128">
              <w:rPr>
                <w:noProof/>
                <w:webHidden/>
              </w:rPr>
              <w:fldChar w:fldCharType="separate"/>
            </w:r>
            <w:r w:rsidR="00844128">
              <w:rPr>
                <w:noProof/>
                <w:webHidden/>
              </w:rPr>
              <w:t>7</w:t>
            </w:r>
            <w:r w:rsidR="00844128">
              <w:rPr>
                <w:noProof/>
                <w:webHidden/>
              </w:rPr>
              <w:fldChar w:fldCharType="end"/>
            </w:r>
          </w:hyperlink>
        </w:p>
        <w:p w14:paraId="2D17C317"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69" w:history="1">
            <w:r w:rsidR="00844128" w:rsidRPr="00DA2079">
              <w:rPr>
                <w:rStyle w:val="Hyperlnk"/>
                <w:noProof/>
              </w:rPr>
              <w:t>12.</w:t>
            </w:r>
            <w:r w:rsidR="00844128">
              <w:rPr>
                <w:rFonts w:asciiTheme="minorHAnsi" w:eastAsiaTheme="minorEastAsia" w:hAnsiTheme="minorHAnsi" w:cstheme="minorBidi"/>
                <w:noProof/>
                <w:lang w:eastAsia="sv-SE"/>
              </w:rPr>
              <w:tab/>
            </w:r>
            <w:r w:rsidR="00844128" w:rsidRPr="00DA2079">
              <w:rPr>
                <w:rStyle w:val="Hyperlnk"/>
                <w:noProof/>
              </w:rPr>
              <w:t>Présentation, par Chypre,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_Toc429051269 \h </w:instrText>
            </w:r>
            <w:r w:rsidR="00844128">
              <w:rPr>
                <w:noProof/>
                <w:webHidden/>
              </w:rPr>
            </w:r>
            <w:r w:rsidR="00844128">
              <w:rPr>
                <w:noProof/>
                <w:webHidden/>
              </w:rPr>
              <w:fldChar w:fldCharType="separate"/>
            </w:r>
            <w:r w:rsidR="00844128">
              <w:rPr>
                <w:noProof/>
                <w:webHidden/>
              </w:rPr>
              <w:t>7</w:t>
            </w:r>
            <w:r w:rsidR="00844128">
              <w:rPr>
                <w:noProof/>
                <w:webHidden/>
              </w:rPr>
              <w:fldChar w:fldCharType="end"/>
            </w:r>
          </w:hyperlink>
        </w:p>
        <w:p w14:paraId="03A40F91"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0" w:history="1">
            <w:r w:rsidR="00844128" w:rsidRPr="00DA2079">
              <w:rPr>
                <w:rStyle w:val="Hyperlnk"/>
                <w:noProof/>
              </w:rPr>
              <w:t>13.</w:t>
            </w:r>
            <w:r w:rsidR="00844128">
              <w:rPr>
                <w:rFonts w:asciiTheme="minorHAnsi" w:eastAsiaTheme="minorEastAsia" w:hAnsiTheme="minorHAnsi" w:cstheme="minorBidi"/>
                <w:noProof/>
                <w:lang w:eastAsia="sv-SE"/>
              </w:rPr>
              <w:tab/>
            </w:r>
            <w:r w:rsidR="00844128" w:rsidRPr="00DA2079">
              <w:rPr>
                <w:rStyle w:val="Hyperlnk"/>
                <w:noProof/>
              </w:rPr>
              <w:t>Présentation, par l'Italie,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_Toc429051270 \h </w:instrText>
            </w:r>
            <w:r w:rsidR="00844128">
              <w:rPr>
                <w:noProof/>
                <w:webHidden/>
              </w:rPr>
            </w:r>
            <w:r w:rsidR="00844128">
              <w:rPr>
                <w:noProof/>
                <w:webHidden/>
              </w:rPr>
              <w:fldChar w:fldCharType="separate"/>
            </w:r>
            <w:r w:rsidR="00844128">
              <w:rPr>
                <w:noProof/>
                <w:webHidden/>
              </w:rPr>
              <w:t>7</w:t>
            </w:r>
            <w:r w:rsidR="00844128">
              <w:rPr>
                <w:noProof/>
                <w:webHidden/>
              </w:rPr>
              <w:fldChar w:fldCharType="end"/>
            </w:r>
          </w:hyperlink>
        </w:p>
        <w:p w14:paraId="47F5E8B8"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1" w:history="1">
            <w:r w:rsidR="00844128" w:rsidRPr="00DA2079">
              <w:rPr>
                <w:rStyle w:val="Hyperlnk"/>
                <w:noProof/>
              </w:rPr>
              <w:t>14.</w:t>
            </w:r>
            <w:r w:rsidR="00844128">
              <w:rPr>
                <w:rFonts w:asciiTheme="minorHAnsi" w:eastAsiaTheme="minorEastAsia" w:hAnsiTheme="minorHAnsi" w:cstheme="minorBidi"/>
                <w:noProof/>
                <w:lang w:eastAsia="sv-SE"/>
              </w:rPr>
              <w:tab/>
            </w:r>
            <w:r w:rsidR="00844128" w:rsidRPr="00DA2079">
              <w:rPr>
                <w:rStyle w:val="Hyperlnk"/>
                <w:noProof/>
              </w:rPr>
              <w:t>Présentation d'un nouveau projet de dessin pour une pièce commémorative slovaque commémorant la première présidence de la République slovaque du Conseil de l'Union européenne</w:t>
            </w:r>
            <w:r w:rsidR="00844128">
              <w:rPr>
                <w:noProof/>
                <w:webHidden/>
              </w:rPr>
              <w:tab/>
            </w:r>
            <w:r w:rsidR="00844128">
              <w:rPr>
                <w:noProof/>
                <w:webHidden/>
              </w:rPr>
              <w:fldChar w:fldCharType="begin"/>
            </w:r>
            <w:r w:rsidR="00844128">
              <w:rPr>
                <w:noProof/>
                <w:webHidden/>
              </w:rPr>
              <w:instrText xml:space="preserve"> PAGEREF _Toc429051271 \h </w:instrText>
            </w:r>
            <w:r w:rsidR="00844128">
              <w:rPr>
                <w:noProof/>
                <w:webHidden/>
              </w:rPr>
            </w:r>
            <w:r w:rsidR="00844128">
              <w:rPr>
                <w:noProof/>
                <w:webHidden/>
              </w:rPr>
              <w:fldChar w:fldCharType="separate"/>
            </w:r>
            <w:r w:rsidR="00844128">
              <w:rPr>
                <w:noProof/>
                <w:webHidden/>
              </w:rPr>
              <w:t>7</w:t>
            </w:r>
            <w:r w:rsidR="00844128">
              <w:rPr>
                <w:noProof/>
                <w:webHidden/>
              </w:rPr>
              <w:fldChar w:fldCharType="end"/>
            </w:r>
          </w:hyperlink>
        </w:p>
        <w:p w14:paraId="3FEDB9C7"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2" w:history="1">
            <w:r w:rsidR="00844128" w:rsidRPr="00DA2079">
              <w:rPr>
                <w:rStyle w:val="Hyperlnk"/>
                <w:noProof/>
              </w:rPr>
              <w:t>15.</w:t>
            </w:r>
            <w:r w:rsidR="00844128">
              <w:rPr>
                <w:rFonts w:asciiTheme="minorHAnsi" w:eastAsiaTheme="minorEastAsia" w:hAnsiTheme="minorHAnsi" w:cstheme="minorBidi"/>
                <w:noProof/>
                <w:lang w:eastAsia="sv-SE"/>
              </w:rPr>
              <w:tab/>
            </w:r>
            <w:r w:rsidR="00844128" w:rsidRPr="00DA2079">
              <w:rPr>
                <w:rStyle w:val="Hyperlnk"/>
                <w:noProof/>
              </w:rPr>
              <w:t>Correction du projet de dessin de la nouvelle pièce commémorative finlandaise de 2015</w:t>
            </w:r>
            <w:r w:rsidR="00844128">
              <w:rPr>
                <w:noProof/>
                <w:webHidden/>
              </w:rPr>
              <w:tab/>
            </w:r>
            <w:r w:rsidR="00844128">
              <w:rPr>
                <w:noProof/>
                <w:webHidden/>
              </w:rPr>
              <w:fldChar w:fldCharType="begin"/>
            </w:r>
            <w:r w:rsidR="00844128">
              <w:rPr>
                <w:noProof/>
                <w:webHidden/>
              </w:rPr>
              <w:instrText xml:space="preserve"> PAGEREF _Toc429051272 \h </w:instrText>
            </w:r>
            <w:r w:rsidR="00844128">
              <w:rPr>
                <w:noProof/>
                <w:webHidden/>
              </w:rPr>
            </w:r>
            <w:r w:rsidR="00844128">
              <w:rPr>
                <w:noProof/>
                <w:webHidden/>
              </w:rPr>
              <w:fldChar w:fldCharType="separate"/>
            </w:r>
            <w:r w:rsidR="00844128">
              <w:rPr>
                <w:noProof/>
                <w:webHidden/>
              </w:rPr>
              <w:t>8</w:t>
            </w:r>
            <w:r w:rsidR="00844128">
              <w:rPr>
                <w:noProof/>
                <w:webHidden/>
              </w:rPr>
              <w:fldChar w:fldCharType="end"/>
            </w:r>
          </w:hyperlink>
        </w:p>
        <w:p w14:paraId="1DFCE674"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3" w:history="1">
            <w:r w:rsidR="00844128" w:rsidRPr="00DA2079">
              <w:rPr>
                <w:rStyle w:val="Hyperlnk"/>
                <w:noProof/>
              </w:rPr>
              <w:t>16.</w:t>
            </w:r>
            <w:r w:rsidR="00844128">
              <w:rPr>
                <w:rFonts w:asciiTheme="minorHAnsi" w:eastAsiaTheme="minorEastAsia" w:hAnsiTheme="minorHAnsi" w:cstheme="minorBidi"/>
                <w:noProof/>
                <w:lang w:eastAsia="sv-SE"/>
              </w:rPr>
              <w:tab/>
            </w:r>
            <w:r w:rsidR="00844128" w:rsidRPr="00DA2079">
              <w:rPr>
                <w:rStyle w:val="Hyperlnk"/>
                <w:noProof/>
              </w:rPr>
              <w:t>Dessin de la pièce commémorative irlandaise de 2 euros (2016)</w:t>
            </w:r>
            <w:r w:rsidR="00844128">
              <w:rPr>
                <w:noProof/>
                <w:webHidden/>
              </w:rPr>
              <w:tab/>
            </w:r>
            <w:r w:rsidR="00844128">
              <w:rPr>
                <w:noProof/>
                <w:webHidden/>
              </w:rPr>
              <w:fldChar w:fldCharType="begin"/>
            </w:r>
            <w:r w:rsidR="00844128">
              <w:rPr>
                <w:noProof/>
                <w:webHidden/>
              </w:rPr>
              <w:instrText xml:space="preserve"> PAGEREF _Toc429051273 \h </w:instrText>
            </w:r>
            <w:r w:rsidR="00844128">
              <w:rPr>
                <w:noProof/>
                <w:webHidden/>
              </w:rPr>
            </w:r>
            <w:r w:rsidR="00844128">
              <w:rPr>
                <w:noProof/>
                <w:webHidden/>
              </w:rPr>
              <w:fldChar w:fldCharType="separate"/>
            </w:r>
            <w:r w:rsidR="00844128">
              <w:rPr>
                <w:noProof/>
                <w:webHidden/>
              </w:rPr>
              <w:t>8</w:t>
            </w:r>
            <w:r w:rsidR="00844128">
              <w:rPr>
                <w:noProof/>
                <w:webHidden/>
              </w:rPr>
              <w:fldChar w:fldCharType="end"/>
            </w:r>
          </w:hyperlink>
        </w:p>
        <w:p w14:paraId="0A21BDD8"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4" w:history="1">
            <w:r w:rsidR="00844128" w:rsidRPr="00DA2079">
              <w:rPr>
                <w:rStyle w:val="Hyperlnk"/>
                <w:noProof/>
              </w:rPr>
              <w:t>17.</w:t>
            </w:r>
            <w:r w:rsidR="00844128">
              <w:rPr>
                <w:rFonts w:asciiTheme="minorHAnsi" w:eastAsiaTheme="minorEastAsia" w:hAnsiTheme="minorHAnsi" w:cstheme="minorBidi"/>
                <w:noProof/>
                <w:lang w:eastAsia="sv-SE"/>
              </w:rPr>
              <w:tab/>
            </w:r>
            <w:r w:rsidR="00844128" w:rsidRPr="00DA2079">
              <w:rPr>
                <w:rStyle w:val="Hyperlnk"/>
                <w:noProof/>
              </w:rPr>
              <w:t>Présentation, par l'Irlande, du projet de dessin national pour la pièce commémorative commune libellée en euros</w:t>
            </w:r>
            <w:r w:rsidR="00844128">
              <w:rPr>
                <w:noProof/>
                <w:webHidden/>
              </w:rPr>
              <w:tab/>
            </w:r>
            <w:r w:rsidR="00844128">
              <w:rPr>
                <w:noProof/>
                <w:webHidden/>
              </w:rPr>
              <w:fldChar w:fldCharType="begin"/>
            </w:r>
            <w:r w:rsidR="00844128">
              <w:rPr>
                <w:noProof/>
                <w:webHidden/>
              </w:rPr>
              <w:instrText xml:space="preserve"> PAGEREF _Toc429051274 \h </w:instrText>
            </w:r>
            <w:r w:rsidR="00844128">
              <w:rPr>
                <w:noProof/>
                <w:webHidden/>
              </w:rPr>
            </w:r>
            <w:r w:rsidR="00844128">
              <w:rPr>
                <w:noProof/>
                <w:webHidden/>
              </w:rPr>
              <w:fldChar w:fldCharType="separate"/>
            </w:r>
            <w:r w:rsidR="00844128">
              <w:rPr>
                <w:noProof/>
                <w:webHidden/>
              </w:rPr>
              <w:t>8</w:t>
            </w:r>
            <w:r w:rsidR="00844128">
              <w:rPr>
                <w:noProof/>
                <w:webHidden/>
              </w:rPr>
              <w:fldChar w:fldCharType="end"/>
            </w:r>
          </w:hyperlink>
        </w:p>
        <w:p w14:paraId="4B7CC8CE"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5" w:history="1">
            <w:r w:rsidR="00844128" w:rsidRPr="00DA2079">
              <w:rPr>
                <w:rStyle w:val="Hyperlnk"/>
                <w:noProof/>
              </w:rPr>
              <w:t>18.</w:t>
            </w:r>
            <w:r w:rsidR="00844128">
              <w:rPr>
                <w:rFonts w:asciiTheme="minorHAnsi" w:eastAsiaTheme="minorEastAsia" w:hAnsiTheme="minorHAnsi" w:cstheme="minorBidi"/>
                <w:noProof/>
                <w:lang w:eastAsia="sv-SE"/>
              </w:rPr>
              <w:tab/>
            </w:r>
            <w:r w:rsidR="00844128" w:rsidRPr="00DA2079">
              <w:rPr>
                <w:rStyle w:val="Hyperlnk"/>
                <w:noProof/>
              </w:rPr>
              <w:t>Stratégie de l'UE pour la région alpine - organisation des travaux au sein du Conseil</w:t>
            </w:r>
            <w:r w:rsidR="00844128">
              <w:rPr>
                <w:noProof/>
                <w:webHidden/>
              </w:rPr>
              <w:tab/>
            </w:r>
            <w:r w:rsidR="00844128">
              <w:rPr>
                <w:noProof/>
                <w:webHidden/>
              </w:rPr>
              <w:fldChar w:fldCharType="begin"/>
            </w:r>
            <w:r w:rsidR="00844128">
              <w:rPr>
                <w:noProof/>
                <w:webHidden/>
              </w:rPr>
              <w:instrText xml:space="preserve"> PAGEREF _Toc429051275 \h </w:instrText>
            </w:r>
            <w:r w:rsidR="00844128">
              <w:rPr>
                <w:noProof/>
                <w:webHidden/>
              </w:rPr>
            </w:r>
            <w:r w:rsidR="00844128">
              <w:rPr>
                <w:noProof/>
                <w:webHidden/>
              </w:rPr>
              <w:fldChar w:fldCharType="separate"/>
            </w:r>
            <w:r w:rsidR="00844128">
              <w:rPr>
                <w:noProof/>
                <w:webHidden/>
              </w:rPr>
              <w:t>8</w:t>
            </w:r>
            <w:r w:rsidR="00844128">
              <w:rPr>
                <w:noProof/>
                <w:webHidden/>
              </w:rPr>
              <w:fldChar w:fldCharType="end"/>
            </w:r>
          </w:hyperlink>
        </w:p>
        <w:p w14:paraId="0D306FAA"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6" w:history="1">
            <w:r w:rsidR="00844128" w:rsidRPr="00DA2079">
              <w:rPr>
                <w:rStyle w:val="Hyperlnk"/>
                <w:noProof/>
              </w:rPr>
              <w:t>19.</w:t>
            </w:r>
            <w:r w:rsidR="00844128">
              <w:rPr>
                <w:rFonts w:asciiTheme="minorHAnsi" w:eastAsiaTheme="minorEastAsia" w:hAnsiTheme="minorHAnsi" w:cstheme="minorBidi"/>
                <w:noProof/>
                <w:lang w:eastAsia="sv-SE"/>
              </w:rPr>
              <w:tab/>
            </w:r>
            <w:r w:rsidR="00844128" w:rsidRPr="00DA2079">
              <w:rPr>
                <w:rStyle w:val="Hyperlnk"/>
                <w:noProof/>
              </w:rPr>
              <w:t>Projet de conclusions du Conseil sur la mise en œuvre du plan d'action antidrogue de l'UE (2013-2016) en ce qui concerne des normes minimales de qualité pour la réduction de la demande de drogue dans l'Union européenne</w:t>
            </w:r>
            <w:r w:rsidR="00844128">
              <w:rPr>
                <w:noProof/>
                <w:webHidden/>
              </w:rPr>
              <w:tab/>
            </w:r>
            <w:r w:rsidR="00844128">
              <w:rPr>
                <w:noProof/>
                <w:webHidden/>
              </w:rPr>
              <w:fldChar w:fldCharType="begin"/>
            </w:r>
            <w:r w:rsidR="00844128">
              <w:rPr>
                <w:noProof/>
                <w:webHidden/>
              </w:rPr>
              <w:instrText xml:space="preserve"> PAGEREF _Toc429051276 \h </w:instrText>
            </w:r>
            <w:r w:rsidR="00844128">
              <w:rPr>
                <w:noProof/>
                <w:webHidden/>
              </w:rPr>
            </w:r>
            <w:r w:rsidR="00844128">
              <w:rPr>
                <w:noProof/>
                <w:webHidden/>
              </w:rPr>
              <w:fldChar w:fldCharType="separate"/>
            </w:r>
            <w:r w:rsidR="00844128">
              <w:rPr>
                <w:noProof/>
                <w:webHidden/>
              </w:rPr>
              <w:t>9</w:t>
            </w:r>
            <w:r w:rsidR="00844128">
              <w:rPr>
                <w:noProof/>
                <w:webHidden/>
              </w:rPr>
              <w:fldChar w:fldCharType="end"/>
            </w:r>
          </w:hyperlink>
        </w:p>
        <w:p w14:paraId="163884A8"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7" w:history="1">
            <w:r w:rsidR="00844128" w:rsidRPr="00DA2079">
              <w:rPr>
                <w:rStyle w:val="Hyperlnk"/>
                <w:noProof/>
              </w:rPr>
              <w:t>20.</w:t>
            </w:r>
            <w:r w:rsidR="00844128">
              <w:rPr>
                <w:rFonts w:asciiTheme="minorHAnsi" w:eastAsiaTheme="minorEastAsia" w:hAnsiTheme="minorHAnsi" w:cstheme="minorBidi"/>
                <w:noProof/>
                <w:lang w:eastAsia="sv-SE"/>
              </w:rPr>
              <w:tab/>
            </w:r>
            <w:r w:rsidR="00844128" w:rsidRPr="00DA2079">
              <w:rPr>
                <w:rStyle w:val="Hyperlnk"/>
                <w:noProof/>
              </w:rPr>
              <w:t>Projet de Décision du Conseil établissant la position à prendre au nom de l’Union européenne au sein du comité des marchés publics quant à l’accession de la République de Moldavie à l’accord sur les marchés publics</w:t>
            </w:r>
            <w:r w:rsidR="00844128">
              <w:rPr>
                <w:noProof/>
                <w:webHidden/>
              </w:rPr>
              <w:tab/>
            </w:r>
            <w:r w:rsidR="00844128">
              <w:rPr>
                <w:noProof/>
                <w:webHidden/>
              </w:rPr>
              <w:fldChar w:fldCharType="begin"/>
            </w:r>
            <w:r w:rsidR="00844128">
              <w:rPr>
                <w:noProof/>
                <w:webHidden/>
              </w:rPr>
              <w:instrText xml:space="preserve"> PAGEREF _Toc429051277 \h </w:instrText>
            </w:r>
            <w:r w:rsidR="00844128">
              <w:rPr>
                <w:noProof/>
                <w:webHidden/>
              </w:rPr>
            </w:r>
            <w:r w:rsidR="00844128">
              <w:rPr>
                <w:noProof/>
                <w:webHidden/>
              </w:rPr>
              <w:fldChar w:fldCharType="separate"/>
            </w:r>
            <w:r w:rsidR="00844128">
              <w:rPr>
                <w:noProof/>
                <w:webHidden/>
              </w:rPr>
              <w:t>9</w:t>
            </w:r>
            <w:r w:rsidR="00844128">
              <w:rPr>
                <w:noProof/>
                <w:webHidden/>
              </w:rPr>
              <w:fldChar w:fldCharType="end"/>
            </w:r>
          </w:hyperlink>
        </w:p>
        <w:p w14:paraId="1145E7D7"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8" w:history="1">
            <w:r w:rsidR="00844128" w:rsidRPr="00DA2079">
              <w:rPr>
                <w:rStyle w:val="Hyperlnk"/>
                <w:noProof/>
              </w:rPr>
              <w:t>21.</w:t>
            </w:r>
            <w:r w:rsidR="00844128">
              <w:rPr>
                <w:rFonts w:asciiTheme="minorHAnsi" w:eastAsiaTheme="minorEastAsia" w:hAnsiTheme="minorHAnsi" w:cstheme="minorBidi"/>
                <w:noProof/>
                <w:lang w:eastAsia="sv-SE"/>
              </w:rPr>
              <w:tab/>
            </w:r>
            <w:r w:rsidR="00844128" w:rsidRPr="00DA2079">
              <w:rPr>
                <w:rStyle w:val="Hyperlnk"/>
                <w:noProof/>
              </w:rPr>
              <w:t>Règlement financier applicable au budget général de l'Institut d'études de sécurité de l'Union européenne</w:t>
            </w:r>
            <w:r w:rsidR="00844128">
              <w:rPr>
                <w:noProof/>
                <w:webHidden/>
              </w:rPr>
              <w:tab/>
            </w:r>
            <w:r w:rsidR="00844128">
              <w:rPr>
                <w:noProof/>
                <w:webHidden/>
              </w:rPr>
              <w:fldChar w:fldCharType="begin"/>
            </w:r>
            <w:r w:rsidR="00844128">
              <w:rPr>
                <w:noProof/>
                <w:webHidden/>
              </w:rPr>
              <w:instrText xml:space="preserve"> PAGEREF _Toc429051278 \h </w:instrText>
            </w:r>
            <w:r w:rsidR="00844128">
              <w:rPr>
                <w:noProof/>
                <w:webHidden/>
              </w:rPr>
            </w:r>
            <w:r w:rsidR="00844128">
              <w:rPr>
                <w:noProof/>
                <w:webHidden/>
              </w:rPr>
              <w:fldChar w:fldCharType="separate"/>
            </w:r>
            <w:r w:rsidR="00844128">
              <w:rPr>
                <w:noProof/>
                <w:webHidden/>
              </w:rPr>
              <w:t>10</w:t>
            </w:r>
            <w:r w:rsidR="00844128">
              <w:rPr>
                <w:noProof/>
                <w:webHidden/>
              </w:rPr>
              <w:fldChar w:fldCharType="end"/>
            </w:r>
          </w:hyperlink>
        </w:p>
        <w:p w14:paraId="41DBEF88" w14:textId="77777777" w:rsidR="00844128" w:rsidRDefault="00A83025">
          <w:pPr>
            <w:pStyle w:val="Innehll1"/>
            <w:tabs>
              <w:tab w:val="left" w:pos="660"/>
              <w:tab w:val="right" w:leader="dot" w:pos="9062"/>
            </w:tabs>
            <w:rPr>
              <w:rFonts w:asciiTheme="minorHAnsi" w:eastAsiaTheme="minorEastAsia" w:hAnsiTheme="minorHAnsi" w:cstheme="minorBidi"/>
              <w:noProof/>
              <w:lang w:eastAsia="sv-SE"/>
            </w:rPr>
          </w:pPr>
          <w:hyperlink w:anchor="_Toc429051279" w:history="1">
            <w:r w:rsidR="00844128" w:rsidRPr="00DA2079">
              <w:rPr>
                <w:rStyle w:val="Hyperlnk"/>
                <w:noProof/>
              </w:rPr>
              <w:t>22.</w:t>
            </w:r>
            <w:r w:rsidR="00844128">
              <w:rPr>
                <w:rFonts w:asciiTheme="minorHAnsi" w:eastAsiaTheme="minorEastAsia" w:hAnsiTheme="minorHAnsi" w:cstheme="minorBidi"/>
                <w:noProof/>
                <w:lang w:eastAsia="sv-SE"/>
              </w:rPr>
              <w:tab/>
            </w:r>
            <w:r w:rsidR="00844128" w:rsidRPr="00DA2079">
              <w:rPr>
                <w:rStyle w:val="Hyperlnk"/>
                <w:noProof/>
              </w:rPr>
              <w:t>Décision du Conseil concernant le soutien de l'Union aux activités de la commission préparatoire de l'Organisation du traité d'interdiction complète des essais nucléaires (OTICE) afin de renforcer ses capacités en matière de surveillance et de vérification, dans le cadre de la mise en œuvre de la stratégie de l'UE contre la prolifération des armes de destruction massive</w:t>
            </w:r>
            <w:r w:rsidR="00844128">
              <w:rPr>
                <w:noProof/>
                <w:webHidden/>
              </w:rPr>
              <w:tab/>
            </w:r>
            <w:r w:rsidR="00844128">
              <w:rPr>
                <w:noProof/>
                <w:webHidden/>
              </w:rPr>
              <w:fldChar w:fldCharType="begin"/>
            </w:r>
            <w:r w:rsidR="00844128">
              <w:rPr>
                <w:noProof/>
                <w:webHidden/>
              </w:rPr>
              <w:instrText xml:space="preserve"> PAGEREF _Toc429051279 \h </w:instrText>
            </w:r>
            <w:r w:rsidR="00844128">
              <w:rPr>
                <w:noProof/>
                <w:webHidden/>
              </w:rPr>
            </w:r>
            <w:r w:rsidR="00844128">
              <w:rPr>
                <w:noProof/>
                <w:webHidden/>
              </w:rPr>
              <w:fldChar w:fldCharType="separate"/>
            </w:r>
            <w:r w:rsidR="00844128">
              <w:rPr>
                <w:noProof/>
                <w:webHidden/>
              </w:rPr>
              <w:t>10</w:t>
            </w:r>
            <w:r w:rsidR="00844128">
              <w:rPr>
                <w:noProof/>
                <w:webHidden/>
              </w:rPr>
              <w:fldChar w:fldCharType="end"/>
            </w:r>
          </w:hyperlink>
        </w:p>
        <w:p w14:paraId="42B49F53" w14:textId="77777777" w:rsidR="00D957FB" w:rsidRDefault="00A22D83">
          <w:r>
            <w:rPr>
              <w:b/>
              <w:bCs/>
              <w:noProof/>
            </w:rPr>
            <w:fldChar w:fldCharType="end"/>
          </w:r>
        </w:p>
      </w:sdtContent>
    </w:sdt>
    <w:p w14:paraId="42B49F54" w14:textId="77777777" w:rsidR="00D957FB" w:rsidRDefault="00A22D83">
      <w:pPr>
        <w:ind w:left="0"/>
      </w:pPr>
      <w:r>
        <w:br w:type="page"/>
      </w:r>
    </w:p>
    <w:p w14:paraId="42B49F55" w14:textId="77777777" w:rsidR="00643D86" w:rsidRDefault="00A83025" w:rsidP="00643D86">
      <w:pPr>
        <w:pStyle w:val="Rubrik1"/>
        <w:numPr>
          <w:ilvl w:val="0"/>
          <w:numId w:val="0"/>
        </w:numPr>
      </w:pPr>
      <w:bookmarkStart w:id="1" w:name="_Toc364854645"/>
    </w:p>
    <w:p w14:paraId="42B49F56" w14:textId="77777777" w:rsidR="00643D86" w:rsidRDefault="00A22D83" w:rsidP="00643D86">
      <w:pPr>
        <w:pStyle w:val="Rubrik1"/>
      </w:pPr>
      <w:bookmarkStart w:id="2" w:name="_Toc429051258"/>
      <w:r>
        <w:rPr>
          <w:noProof/>
        </w:rPr>
        <w:t>Affaire devant le Tribunal de l'Union européenne</w:t>
      </w:r>
      <w:r>
        <w:rPr>
          <w:noProof/>
        </w:rPr>
        <w:br/>
        <w:t>Affaire T-262/15 (Dmitry Konstantinovich Kiselev contre le Conseil de l'Union européenne)</w:t>
      </w:r>
      <w:bookmarkEnd w:id="2"/>
    </w:p>
    <w:p w14:paraId="42B49F57" w14:textId="20658ACF" w:rsidR="00643D86" w:rsidRDefault="00A22D83" w:rsidP="00643D86">
      <w:pPr>
        <w:rPr>
          <w:lang w:val="en-US"/>
        </w:rPr>
      </w:pPr>
      <w:r>
        <w:rPr>
          <w:noProof/>
          <w:lang w:val="en-US"/>
        </w:rPr>
        <w:t>11452</w:t>
      </w:r>
      <w:r>
        <w:rPr>
          <w:lang w:val="en-US"/>
        </w:rPr>
        <w:t>/15 JUR 554 RELEX 658 CFSP/PESC 467 COEST 251</w:t>
      </w:r>
    </w:p>
    <w:p w14:paraId="42B49F58" w14:textId="77777777" w:rsidR="00643D86" w:rsidRDefault="00A22D83" w:rsidP="00643D86">
      <w:r>
        <w:rPr>
          <w:b/>
        </w:rPr>
        <w:t>Ansvarigt statsråd</w:t>
      </w:r>
      <w:r>
        <w:rPr>
          <w:b/>
        </w:rPr>
        <w:br/>
      </w:r>
      <w:r>
        <w:rPr>
          <w:noProof/>
        </w:rPr>
        <w:t>Margot Wallström</w:t>
      </w:r>
    </w:p>
    <w:p w14:paraId="42B49F5C" w14:textId="5F73E8E6" w:rsidR="00714FB8" w:rsidRDefault="00A22D83" w:rsidP="00DF2A1C">
      <w:r w:rsidRPr="00B44CE2">
        <w:rPr>
          <w:b/>
        </w:rPr>
        <w:t>Annotering</w:t>
      </w:r>
      <w:r>
        <w:rPr>
          <w:b/>
        </w:rPr>
        <w:br/>
      </w:r>
      <w:r>
        <w:rPr>
          <w:b/>
          <w:bCs/>
        </w:rPr>
        <w:t xml:space="preserve">Avsikt med behandlingen i rådet: </w:t>
      </w:r>
      <w:r>
        <w:t xml:space="preserve">Information om ett inkommet mål vid tribunalen där rådet har utsett ombud. </w:t>
      </w:r>
    </w:p>
    <w:p w14:paraId="42B49F5E" w14:textId="77777777" w:rsidR="00714FB8" w:rsidRDefault="00A22D83">
      <w:pPr>
        <w:spacing w:after="280" w:afterAutospacing="1"/>
      </w:pPr>
      <w:r>
        <w:rPr>
          <w:b/>
          <w:bCs/>
        </w:rPr>
        <w:t>Hur regeringen ställer sig till den blivande A-punkten:</w:t>
      </w:r>
      <w:r>
        <w:t xml:space="preserve"> Regeringen har ingen erinran mot denna informationspunkt. </w:t>
      </w:r>
    </w:p>
    <w:p w14:paraId="42B49F63" w14:textId="3CAE7E91" w:rsidR="00FB32B9" w:rsidRDefault="00A22D83">
      <w:pPr>
        <w:spacing w:after="280" w:afterAutospacing="1"/>
        <w:rPr>
          <w:noProof/>
        </w:rPr>
      </w:pPr>
      <w:r>
        <w:rPr>
          <w:b/>
          <w:bCs/>
        </w:rPr>
        <w:t>Bakgrund:</w:t>
      </w:r>
      <w:r>
        <w:t xml:space="preserve"> Målet vid tribunalen rör en talan om ogiltigförklaring av rådets beslut (Gusp) 2015/432 av den 13 mars 2015 om ändring av beslut 2014/145/Gusp om restriktiva åtgärder mot åtgärder som undergräver eller hotar Ukrainas territoriella integritet, suveränitet och oberoende och av rådets genomförandeförordning (EU) 2015/427 av den 13 mars 2015 om genomförande av förordning (EU) nr 269/2014 om restriktiva åtgärder med avseende på åtgärder som undergräver eller hotar Ukrainas territoriella integritet, suveränitet och oberoende, i den mån dessa akter tillämpas på sökanden.   </w:t>
      </w:r>
    </w:p>
    <w:p w14:paraId="42B49F64" w14:textId="77777777" w:rsidR="00643D86" w:rsidRDefault="00A22D83" w:rsidP="00643D86">
      <w:pPr>
        <w:pStyle w:val="Rubrik1"/>
      </w:pPr>
      <w:bookmarkStart w:id="3" w:name="_Toc429051259"/>
      <w:r>
        <w:rPr>
          <w:noProof/>
        </w:rPr>
        <w:t>Affaire devant la Cour de Justice de l'Union européenne</w:t>
      </w:r>
      <w:r>
        <w:rPr>
          <w:noProof/>
        </w:rPr>
        <w:br/>
        <w:t>Affaire C-266/15 P (Central Bank of Iran contre le Conseil de l'Union européenne)</w:t>
      </w:r>
      <w:bookmarkEnd w:id="3"/>
    </w:p>
    <w:p w14:paraId="3A56DEC2" w14:textId="43790A7A" w:rsidR="00DF2A1C" w:rsidRDefault="00A22D83" w:rsidP="00643D86">
      <w:pPr>
        <w:rPr>
          <w:b/>
        </w:rPr>
      </w:pPr>
      <w:r>
        <w:rPr>
          <w:noProof/>
          <w:lang w:val="en-US"/>
        </w:rPr>
        <w:t>11453</w:t>
      </w:r>
      <w:r>
        <w:rPr>
          <w:lang w:val="en-US"/>
        </w:rPr>
        <w:t>/15 JUR 555 RELEX 659 CFSP/PESC 468 CONOP 97</w:t>
      </w:r>
    </w:p>
    <w:p w14:paraId="42B49F66" w14:textId="31AC8BB9" w:rsidR="00643D86" w:rsidRDefault="00A22D83" w:rsidP="00643D86">
      <w:r>
        <w:rPr>
          <w:b/>
        </w:rPr>
        <w:t>Ansvarigt statsråd</w:t>
      </w:r>
      <w:r>
        <w:rPr>
          <w:b/>
        </w:rPr>
        <w:br/>
      </w:r>
      <w:r>
        <w:rPr>
          <w:noProof/>
        </w:rPr>
        <w:t>Margot Wallström</w:t>
      </w:r>
    </w:p>
    <w:p w14:paraId="42B49F6A" w14:textId="14412329" w:rsidR="00714FB8" w:rsidRDefault="00A22D83" w:rsidP="00DF2A1C">
      <w:r w:rsidRPr="00B44CE2">
        <w:rPr>
          <w:b/>
        </w:rPr>
        <w:t>Annotering</w:t>
      </w:r>
      <w:r>
        <w:rPr>
          <w:b/>
        </w:rPr>
        <w:br/>
      </w:r>
      <w:r>
        <w:rPr>
          <w:b/>
          <w:bCs/>
        </w:rPr>
        <w:t>Avsikt med behandlingen i rådet:</w:t>
      </w:r>
      <w:r>
        <w:t xml:space="preserve"> Information om ett mål som har överklagats från tribunalen till EU-domstolen.</w:t>
      </w:r>
    </w:p>
    <w:p w14:paraId="42B49F6B" w14:textId="4CBD706F" w:rsidR="00714FB8" w:rsidRDefault="00A22D83">
      <w:pPr>
        <w:spacing w:after="280" w:afterAutospacing="1"/>
      </w:pPr>
      <w:r>
        <w:rPr>
          <w:b/>
          <w:bCs/>
        </w:rPr>
        <w:t>Hur regeringen ställer sig till den blivande A-punkten:</w:t>
      </w:r>
      <w:r>
        <w:t xml:space="preserve"> Regeringen har ingen erinran mot denna informationspunkt. </w:t>
      </w:r>
    </w:p>
    <w:p w14:paraId="42B49F6D" w14:textId="663CF28A" w:rsidR="00FB32B9" w:rsidRDefault="00A22D83">
      <w:pPr>
        <w:spacing w:after="280" w:afterAutospacing="1"/>
        <w:rPr>
          <w:noProof/>
        </w:rPr>
      </w:pPr>
      <w:r>
        <w:rPr>
          <w:b/>
          <w:bCs/>
        </w:rPr>
        <w:t xml:space="preserve">Bakgrund: </w:t>
      </w:r>
      <w:r>
        <w:t>Målet rör en talan av Central Bank of Iran om ogiltigförklaring av rådets beslut 2012/635/Gusp av den 15 oktober 2012 om ändring av beslut 2010/413/Gusp om restriktiva åtgärder mot Iran och av rådets genomförandeförordning (EU) nr 945/2012 av den 15 oktober 2012 om genomförande av förordning (EU) nr 267/2012 om restriktiva åtgärder mot Iran. </w:t>
      </w:r>
    </w:p>
    <w:p w14:paraId="42B49F6E" w14:textId="77777777" w:rsidR="00643D86" w:rsidRDefault="00A22D83" w:rsidP="00643D86">
      <w:pPr>
        <w:pStyle w:val="Rubrik1"/>
      </w:pPr>
      <w:bookmarkStart w:id="4" w:name="_Toc429051260"/>
      <w:r>
        <w:rPr>
          <w:noProof/>
        </w:rPr>
        <w:t>Convocation d'une Conférence des représentants des gouvernements des États membres</w:t>
      </w:r>
      <w:r>
        <w:rPr>
          <w:noProof/>
        </w:rPr>
        <w:br/>
        <w:t>=Nomination de juges et d'un avocat général à la Cour de justice</w:t>
      </w:r>
      <w:r>
        <w:rPr>
          <w:noProof/>
        </w:rPr>
        <w:br/>
        <w:t>=Nomination de juges au Tribunal</w:t>
      </w:r>
      <w:bookmarkEnd w:id="4"/>
    </w:p>
    <w:p w14:paraId="06D0C4B3" w14:textId="0E6DA7FC" w:rsidR="00DF2A1C" w:rsidRDefault="00A22D83" w:rsidP="00643D86">
      <w:pPr>
        <w:rPr>
          <w:b/>
        </w:rPr>
      </w:pPr>
      <w:r>
        <w:rPr>
          <w:noProof/>
          <w:lang w:val="en-US"/>
        </w:rPr>
        <w:t>10930</w:t>
      </w:r>
      <w:r>
        <w:rPr>
          <w:lang w:val="en-US"/>
        </w:rPr>
        <w:t>/15 INST 244 JUR 489 COUR 30</w:t>
      </w:r>
    </w:p>
    <w:p w14:paraId="42B49F70" w14:textId="1D5290F0" w:rsidR="00643D86" w:rsidRDefault="00A22D83" w:rsidP="00643D86">
      <w:r>
        <w:rPr>
          <w:b/>
        </w:rPr>
        <w:t>Ansvarigt statsråd</w:t>
      </w:r>
      <w:r w:rsidR="00DF2A1C">
        <w:rPr>
          <w:b/>
        </w:rPr>
        <w:t xml:space="preserve">: </w:t>
      </w:r>
      <w:r w:rsidR="00E016A6">
        <w:rPr>
          <w:b/>
        </w:rPr>
        <w:br/>
      </w:r>
      <w:r>
        <w:rPr>
          <w:noProof/>
        </w:rPr>
        <w:t>Margot Wallström</w:t>
      </w:r>
    </w:p>
    <w:p w14:paraId="42B49F74" w14:textId="237117F8" w:rsidR="00714FB8" w:rsidRDefault="00A22D83" w:rsidP="00DF2A1C">
      <w:r w:rsidRPr="00B44CE2">
        <w:rPr>
          <w:b/>
        </w:rPr>
        <w:t>Annotering</w:t>
      </w:r>
      <w:r>
        <w:rPr>
          <w:b/>
        </w:rPr>
        <w:br/>
      </w:r>
      <w:r>
        <w:rPr>
          <w:b/>
          <w:bCs/>
        </w:rPr>
        <w:t>Avsikt med behandlingen i rådet:</w:t>
      </w:r>
      <w:r>
        <w:t xml:space="preserve"> godkänna att det sammankallas till en regeringskonferens i marginalen av Corepermötet den 16 september 2015 i syfte att utnämna domare och generaladvokater till EU-domstolen samt domare till tribunalen.</w:t>
      </w:r>
    </w:p>
    <w:p w14:paraId="42B49F75" w14:textId="77777777" w:rsidR="00714FB8" w:rsidRDefault="00A22D83">
      <w:pPr>
        <w:spacing w:after="280" w:afterAutospacing="1"/>
      </w:pPr>
      <w:r>
        <w:rPr>
          <w:b/>
          <w:bCs/>
        </w:rPr>
        <w:t>Hur regeringen ställer sig till den blivande A-punkten:</w:t>
      </w:r>
      <w:r>
        <w:t xml:space="preserve"> Regeringen har ingen erinran mot denna punkt. </w:t>
      </w:r>
    </w:p>
    <w:p w14:paraId="42B49F76" w14:textId="77777777" w:rsidR="00714FB8" w:rsidRDefault="00A22D83">
      <w:pPr>
        <w:spacing w:after="280" w:afterAutospacing="1"/>
      </w:pPr>
      <w:r>
        <w:rPr>
          <w:b/>
          <w:bCs/>
        </w:rPr>
        <w:t>Bakgrund:</w:t>
      </w:r>
      <w:r>
        <w:t xml:space="preserve"> Enligt artiklarna 253 FEUF och 254 FEUF utses domare och generaladvokater i EU-domstolen samt domare i tribunalen av medlemsstaternas regeringar i samförstånd på sex år. Detta sker idag enligt fast praxis efter nominering av respektive medlemsstat. Enligt artikel 255 FEUF ska en rådgivande kommitté avge yttrande om kandidaternas lämplighet, innan medlemsstaterna i samförstånd beslutar utnämningar. </w:t>
      </w:r>
    </w:p>
    <w:p w14:paraId="42B49F77" w14:textId="77777777" w:rsidR="00714FB8" w:rsidRDefault="00A22D83">
      <w:pPr>
        <w:spacing w:after="280" w:afterAutospacing="1"/>
      </w:pPr>
      <w:r>
        <w:t xml:space="preserve">I april 2014 informerades medlemsstaterna om att mandaten för 14 domare och 4 generaladvokater i EU-domstolen löper ut den 6 oktober 2015. Vidare erinrades om att antalet generaladvokater vid EU-domstolen fr.o.m. den 7 oktober 2015 kommer att utökas till 11. Vidare informerades medlemsstaterna i april 2015 om att mandaten för 14 domare i tribunalen löper ut den 31 augusti 2016. </w:t>
      </w:r>
    </w:p>
    <w:p w14:paraId="42B49F79" w14:textId="11DF2ACC" w:rsidR="00FB32B9" w:rsidRDefault="00A22D83">
      <w:pPr>
        <w:spacing w:after="280" w:afterAutospacing="1"/>
        <w:rPr>
          <w:noProof/>
        </w:rPr>
      </w:pPr>
      <w:r>
        <w:t xml:space="preserve">Tio domare och fyra generaladvokater vid EU-domstolen, varav en av de två nya tjänsterna, har redan utsetts vid regeringskonferenser den 24 september 2014, den 1 april 2015 och den 12 juni 2015. Ytterligare nomineringar av fyra domare och en generaladvokat till EU-domstolen samt tre domare till tribunalen har nu gjorts av berörda medlemsstater. Dessa nominerade kandidater har av den rådgivande kommittén enligt artikel 255 FEUF bedömts som lämpliga för uppdragen.  </w:t>
      </w:r>
    </w:p>
    <w:p w14:paraId="42B49F7A" w14:textId="77777777" w:rsidR="00643D86" w:rsidRDefault="00A22D83" w:rsidP="00643D86">
      <w:pPr>
        <w:pStyle w:val="Rubrik1"/>
      </w:pPr>
      <w:bookmarkStart w:id="5" w:name="_Toc429051261"/>
      <w:r>
        <w:rPr>
          <w:noProof/>
        </w:rPr>
        <w:t>Projet de décision du Conseil portant nomination d'un suppléant italien du Comité des régions</w:t>
      </w:r>
      <w:bookmarkEnd w:id="5"/>
    </w:p>
    <w:p w14:paraId="42B49F7B" w14:textId="038F059B" w:rsidR="00643D86" w:rsidRDefault="00A22D83" w:rsidP="00643D86">
      <w:pPr>
        <w:rPr>
          <w:lang w:val="en-US"/>
        </w:rPr>
      </w:pPr>
      <w:r>
        <w:rPr>
          <w:noProof/>
          <w:lang w:val="en-US"/>
        </w:rPr>
        <w:t>=</w:t>
      </w:r>
      <w:r>
        <w:rPr>
          <w:lang w:val="en-US"/>
        </w:rPr>
        <w:t>Examen du projet de décision (+)</w:t>
      </w:r>
      <w:r w:rsidR="00DF2A1C">
        <w:rPr>
          <w:lang w:val="en-US"/>
        </w:rPr>
        <w:br/>
      </w:r>
      <w:r>
        <w:rPr>
          <w:lang w:val="en-US"/>
        </w:rPr>
        <w:t>11006/15 CDR 6</w:t>
      </w:r>
      <w:r w:rsidR="00E016A6">
        <w:rPr>
          <w:lang w:val="en-US"/>
        </w:rPr>
        <w:t xml:space="preserve"> </w:t>
      </w:r>
      <w:r>
        <w:rPr>
          <w:lang w:val="en-US"/>
        </w:rPr>
        <w:t>111005/15 CDR 60</w:t>
      </w:r>
    </w:p>
    <w:p w14:paraId="42B49F7C" w14:textId="77777777" w:rsidR="00643D86" w:rsidRDefault="00A22D83" w:rsidP="00643D86">
      <w:r>
        <w:rPr>
          <w:b/>
        </w:rPr>
        <w:t>Ansvarigt statsråd</w:t>
      </w:r>
      <w:r>
        <w:rPr>
          <w:b/>
        </w:rPr>
        <w:br/>
      </w:r>
      <w:r>
        <w:rPr>
          <w:noProof/>
        </w:rPr>
        <w:t>Ardalan Shekarabi</w:t>
      </w:r>
    </w:p>
    <w:p w14:paraId="42B49F7F" w14:textId="77777777" w:rsidR="00643D86" w:rsidRDefault="00A22D83" w:rsidP="00643D86">
      <w:r w:rsidRPr="00B44CE2">
        <w:rPr>
          <w:b/>
        </w:rPr>
        <w:t>Annotering</w:t>
      </w:r>
      <w:r>
        <w:rPr>
          <w:b/>
        </w:rPr>
        <w:br/>
      </w:r>
      <w:r>
        <w:t>Föranleder ingen annotering.</w:t>
      </w:r>
    </w:p>
    <w:p w14:paraId="42B49F80" w14:textId="77777777" w:rsidR="00643D86" w:rsidRDefault="00A22D83" w:rsidP="00643D86">
      <w:pPr>
        <w:pStyle w:val="Rubrik1"/>
      </w:pPr>
      <w:bookmarkStart w:id="6" w:name="_Toc429051262"/>
      <w:r>
        <w:rPr>
          <w:noProof/>
        </w:rPr>
        <w:t>Projet de décision du Conseil portant nomination d'un membre estonien et d'un suppléant estonien du Comité des régions</w:t>
      </w:r>
      <w:bookmarkEnd w:id="6"/>
    </w:p>
    <w:p w14:paraId="42B49F81" w14:textId="20D6CA8D" w:rsidR="00643D86" w:rsidRDefault="00A22D83" w:rsidP="00643D86">
      <w:pPr>
        <w:rPr>
          <w:lang w:val="en-US"/>
        </w:rPr>
      </w:pPr>
      <w:r>
        <w:rPr>
          <w:noProof/>
          <w:lang w:val="en-US"/>
        </w:rPr>
        <w:t>=</w:t>
      </w:r>
      <w:r>
        <w:rPr>
          <w:lang w:val="en-US"/>
        </w:rPr>
        <w:t>Examen du projet de décision (+)</w:t>
      </w:r>
      <w:r w:rsidR="00DF2A1C">
        <w:rPr>
          <w:lang w:val="en-US"/>
        </w:rPr>
        <w:br/>
      </w:r>
      <w:r>
        <w:rPr>
          <w:lang w:val="en-US"/>
        </w:rPr>
        <w:t>11542/15 CDR 65</w:t>
      </w:r>
      <w:r w:rsidR="00E016A6">
        <w:rPr>
          <w:lang w:val="en-US"/>
        </w:rPr>
        <w:t xml:space="preserve"> </w:t>
      </w:r>
      <w:r>
        <w:rPr>
          <w:lang w:val="en-US"/>
        </w:rPr>
        <w:t>11539/15 CDR 64</w:t>
      </w:r>
    </w:p>
    <w:p w14:paraId="42B49F82" w14:textId="77777777" w:rsidR="00643D86" w:rsidRDefault="00A22D83" w:rsidP="00643D86">
      <w:r>
        <w:rPr>
          <w:b/>
        </w:rPr>
        <w:t>Ansvarigt statsråd</w:t>
      </w:r>
      <w:r>
        <w:rPr>
          <w:b/>
        </w:rPr>
        <w:br/>
      </w:r>
      <w:r>
        <w:rPr>
          <w:noProof/>
        </w:rPr>
        <w:t>Ardalan Shekarabi</w:t>
      </w:r>
    </w:p>
    <w:p w14:paraId="42B49F85" w14:textId="77777777" w:rsidR="00643D86" w:rsidRDefault="00A22D83" w:rsidP="00643D86">
      <w:r w:rsidRPr="00B44CE2">
        <w:rPr>
          <w:b/>
        </w:rPr>
        <w:t>Annotering</w:t>
      </w:r>
      <w:r>
        <w:rPr>
          <w:b/>
        </w:rPr>
        <w:br/>
      </w:r>
      <w:r>
        <w:t>Föranleder ingen annotering.</w:t>
      </w:r>
    </w:p>
    <w:p w14:paraId="42B49F86" w14:textId="77777777" w:rsidR="00643D86" w:rsidRDefault="00A22D83" w:rsidP="00643D86">
      <w:pPr>
        <w:pStyle w:val="Rubrik1"/>
      </w:pPr>
      <w:bookmarkStart w:id="7" w:name="_Toc429051263"/>
      <w:r>
        <w:rPr>
          <w:noProof/>
        </w:rPr>
        <w:t>Présentation, par la Slovénie, du projet de dessin national pour la pièce commémorative commune libellée en euros</w:t>
      </w:r>
      <w:bookmarkEnd w:id="7"/>
    </w:p>
    <w:p w14:paraId="42B49F87" w14:textId="03E41DF0" w:rsidR="00643D86" w:rsidRDefault="00A22D83" w:rsidP="00643D86">
      <w:pPr>
        <w:rPr>
          <w:lang w:val="en-US"/>
        </w:rPr>
      </w:pPr>
      <w:r>
        <w:rPr>
          <w:noProof/>
          <w:lang w:val="en-US"/>
        </w:rPr>
        <w:t>10971</w:t>
      </w:r>
      <w:r>
        <w:rPr>
          <w:lang w:val="en-US"/>
        </w:rPr>
        <w:t>/15 ECOFIN 608 UEM 300</w:t>
      </w:r>
    </w:p>
    <w:p w14:paraId="42B49F88" w14:textId="77777777" w:rsidR="00643D86" w:rsidRDefault="00A22D83" w:rsidP="00643D86">
      <w:r>
        <w:rPr>
          <w:b/>
        </w:rPr>
        <w:t>Ansvarigt statsråd</w:t>
      </w:r>
      <w:r>
        <w:rPr>
          <w:b/>
        </w:rPr>
        <w:br/>
      </w:r>
      <w:r>
        <w:rPr>
          <w:noProof/>
        </w:rPr>
        <w:t>Per Bolund</w:t>
      </w:r>
    </w:p>
    <w:p w14:paraId="42B49F8B" w14:textId="77777777" w:rsidR="00643D86" w:rsidRDefault="00A22D83" w:rsidP="00643D86">
      <w:r w:rsidRPr="00B44CE2">
        <w:rPr>
          <w:b/>
        </w:rPr>
        <w:t>Annotering</w:t>
      </w:r>
      <w:r>
        <w:rPr>
          <w:b/>
        </w:rPr>
        <w:br/>
      </w:r>
      <w:r>
        <w:t>Föranleder ingen annotering.</w:t>
      </w:r>
    </w:p>
    <w:p w14:paraId="42B49F8C" w14:textId="77777777" w:rsidR="00643D86" w:rsidRDefault="00A22D83" w:rsidP="00643D86">
      <w:pPr>
        <w:pStyle w:val="Rubrik1"/>
      </w:pPr>
      <w:bookmarkStart w:id="8" w:name="_Toc429051264"/>
      <w:r>
        <w:rPr>
          <w:noProof/>
        </w:rPr>
        <w:t>Présentation, par la Lettonie, du projet de dessin national pour la pièce commémorative commune libellée en euros</w:t>
      </w:r>
      <w:bookmarkEnd w:id="8"/>
    </w:p>
    <w:p w14:paraId="42B49F8D" w14:textId="13694B31" w:rsidR="00643D86" w:rsidRDefault="00A22D83" w:rsidP="00643D86">
      <w:pPr>
        <w:rPr>
          <w:lang w:val="en-US"/>
        </w:rPr>
      </w:pPr>
      <w:r>
        <w:rPr>
          <w:noProof/>
          <w:lang w:val="en-US"/>
        </w:rPr>
        <w:t>10973</w:t>
      </w:r>
      <w:r>
        <w:rPr>
          <w:lang w:val="en-US"/>
        </w:rPr>
        <w:t>/15 ECOFIN 610 UEM 301</w:t>
      </w:r>
    </w:p>
    <w:p w14:paraId="42B49F8E" w14:textId="77777777" w:rsidR="00643D86" w:rsidRDefault="00A22D83" w:rsidP="00643D86">
      <w:r>
        <w:rPr>
          <w:b/>
        </w:rPr>
        <w:t>Ansvarigt statsråd</w:t>
      </w:r>
      <w:r>
        <w:rPr>
          <w:b/>
        </w:rPr>
        <w:br/>
      </w:r>
      <w:r>
        <w:rPr>
          <w:noProof/>
        </w:rPr>
        <w:t>Per Bolund</w:t>
      </w:r>
    </w:p>
    <w:p w14:paraId="42B49F91" w14:textId="77777777" w:rsidR="00643D86" w:rsidRDefault="00A22D83" w:rsidP="00643D86">
      <w:r w:rsidRPr="00B44CE2">
        <w:rPr>
          <w:b/>
        </w:rPr>
        <w:t>Annotering</w:t>
      </w:r>
      <w:r>
        <w:rPr>
          <w:b/>
        </w:rPr>
        <w:br/>
      </w:r>
      <w:r>
        <w:t>Föranleder ingen annotering.</w:t>
      </w:r>
    </w:p>
    <w:p w14:paraId="42B49F92" w14:textId="77777777" w:rsidR="00643D86" w:rsidRDefault="00A22D83" w:rsidP="00643D86">
      <w:pPr>
        <w:pStyle w:val="Rubrik1"/>
      </w:pPr>
      <w:bookmarkStart w:id="9" w:name="_Toc429051265"/>
      <w:r>
        <w:rPr>
          <w:noProof/>
        </w:rPr>
        <w:t>Présentation, par la Lituanie, du projet de dessin national pour la pièce commémorative commune libellée en euros</w:t>
      </w:r>
      <w:bookmarkEnd w:id="9"/>
    </w:p>
    <w:p w14:paraId="42B49F93" w14:textId="0363AA4E" w:rsidR="00643D86" w:rsidRDefault="00A22D83" w:rsidP="00643D86">
      <w:pPr>
        <w:rPr>
          <w:lang w:val="en-US"/>
        </w:rPr>
      </w:pPr>
      <w:r>
        <w:rPr>
          <w:noProof/>
          <w:lang w:val="en-US"/>
        </w:rPr>
        <w:t>10974</w:t>
      </w:r>
      <w:r>
        <w:rPr>
          <w:lang w:val="en-US"/>
        </w:rPr>
        <w:t>/15 ECOFIN 611 UEM 302</w:t>
      </w:r>
    </w:p>
    <w:p w14:paraId="42B49F94" w14:textId="77777777" w:rsidR="00643D86" w:rsidRDefault="00A22D83" w:rsidP="00643D86">
      <w:r>
        <w:rPr>
          <w:b/>
        </w:rPr>
        <w:t>Ansvarigt statsråd</w:t>
      </w:r>
      <w:r>
        <w:rPr>
          <w:b/>
        </w:rPr>
        <w:br/>
      </w:r>
      <w:r>
        <w:rPr>
          <w:noProof/>
        </w:rPr>
        <w:t>Per Bolund</w:t>
      </w:r>
    </w:p>
    <w:p w14:paraId="42B49F97" w14:textId="77777777" w:rsidR="00643D86" w:rsidRDefault="00A22D83" w:rsidP="00643D86">
      <w:r w:rsidRPr="00B44CE2">
        <w:rPr>
          <w:b/>
        </w:rPr>
        <w:t>Annotering</w:t>
      </w:r>
      <w:r>
        <w:rPr>
          <w:b/>
        </w:rPr>
        <w:br/>
      </w:r>
      <w:r>
        <w:t>Föranleder ingen annotering.</w:t>
      </w:r>
    </w:p>
    <w:p w14:paraId="42B49F98" w14:textId="77777777" w:rsidR="00643D86" w:rsidRDefault="00A22D83" w:rsidP="00643D86">
      <w:pPr>
        <w:pStyle w:val="Rubrik1"/>
      </w:pPr>
      <w:bookmarkStart w:id="10" w:name="_Toc429051266"/>
      <w:r>
        <w:rPr>
          <w:noProof/>
        </w:rPr>
        <w:t>Présentation, par les Pays-Bas, du projet de dessin national pour la pièce commémorative commune libellée en euros</w:t>
      </w:r>
      <w:bookmarkEnd w:id="10"/>
    </w:p>
    <w:p w14:paraId="42B49F99" w14:textId="276A1254" w:rsidR="00643D86" w:rsidRDefault="00A22D83" w:rsidP="00643D86">
      <w:pPr>
        <w:rPr>
          <w:lang w:val="en-US"/>
        </w:rPr>
      </w:pPr>
      <w:r>
        <w:rPr>
          <w:noProof/>
          <w:lang w:val="en-US"/>
        </w:rPr>
        <w:t>10976</w:t>
      </w:r>
      <w:r>
        <w:rPr>
          <w:lang w:val="en-US"/>
        </w:rPr>
        <w:t>/15 ECOFIN 612 UEM 303</w:t>
      </w:r>
    </w:p>
    <w:p w14:paraId="42B49F9A" w14:textId="77777777" w:rsidR="00643D86" w:rsidRDefault="00A22D83" w:rsidP="00643D86">
      <w:r>
        <w:rPr>
          <w:b/>
        </w:rPr>
        <w:t>Ansvarigt statsråd</w:t>
      </w:r>
      <w:r>
        <w:rPr>
          <w:b/>
        </w:rPr>
        <w:br/>
      </w:r>
      <w:r>
        <w:rPr>
          <w:noProof/>
        </w:rPr>
        <w:t>Per Bolund</w:t>
      </w:r>
    </w:p>
    <w:p w14:paraId="42B49F9D" w14:textId="77777777" w:rsidR="00643D86" w:rsidRDefault="00A22D83" w:rsidP="00643D86">
      <w:r w:rsidRPr="00B44CE2">
        <w:rPr>
          <w:b/>
        </w:rPr>
        <w:t>Annotering</w:t>
      </w:r>
      <w:r>
        <w:rPr>
          <w:b/>
        </w:rPr>
        <w:br/>
      </w:r>
      <w:r>
        <w:t>Föranleder ingen annotering.</w:t>
      </w:r>
    </w:p>
    <w:p w14:paraId="42B49F9E" w14:textId="77777777" w:rsidR="00643D86" w:rsidRDefault="00A22D83" w:rsidP="00643D86">
      <w:pPr>
        <w:pStyle w:val="Rubrik1"/>
      </w:pPr>
      <w:bookmarkStart w:id="11" w:name="_Toc429051267"/>
      <w:r>
        <w:rPr>
          <w:noProof/>
        </w:rPr>
        <w:t>Présentation, par la Grèce, du projet de dessin national pour la pièce commémorative commune libellée en euros</w:t>
      </w:r>
      <w:bookmarkEnd w:id="11"/>
    </w:p>
    <w:p w14:paraId="42B49F9F" w14:textId="51077F30" w:rsidR="00643D86" w:rsidRDefault="00A22D83" w:rsidP="00643D86">
      <w:pPr>
        <w:rPr>
          <w:lang w:val="en-US"/>
        </w:rPr>
      </w:pPr>
      <w:r>
        <w:rPr>
          <w:noProof/>
          <w:lang w:val="en-US"/>
        </w:rPr>
        <w:t>10978</w:t>
      </w:r>
      <w:r>
        <w:rPr>
          <w:lang w:val="en-US"/>
        </w:rPr>
        <w:t>/15 ECOFIN 613 UEM 304</w:t>
      </w:r>
    </w:p>
    <w:p w14:paraId="42B49FA0" w14:textId="77777777" w:rsidR="00643D86" w:rsidRDefault="00A22D83" w:rsidP="00643D86">
      <w:r>
        <w:rPr>
          <w:b/>
        </w:rPr>
        <w:t>Ansvarigt statsråd</w:t>
      </w:r>
      <w:r>
        <w:rPr>
          <w:b/>
        </w:rPr>
        <w:br/>
      </w:r>
      <w:r>
        <w:rPr>
          <w:noProof/>
        </w:rPr>
        <w:t>Per Bolund</w:t>
      </w:r>
    </w:p>
    <w:p w14:paraId="42B49FA3" w14:textId="77777777" w:rsidR="00643D86" w:rsidRDefault="00A22D83" w:rsidP="00643D86">
      <w:r w:rsidRPr="00B44CE2">
        <w:rPr>
          <w:b/>
        </w:rPr>
        <w:t>Annotering</w:t>
      </w:r>
      <w:r>
        <w:rPr>
          <w:b/>
        </w:rPr>
        <w:br/>
      </w:r>
      <w:r>
        <w:t>Föranleder ingen annotering.</w:t>
      </w:r>
    </w:p>
    <w:p w14:paraId="42B49FA4" w14:textId="77777777" w:rsidR="00643D86" w:rsidRDefault="00A22D83" w:rsidP="00643D86">
      <w:pPr>
        <w:pStyle w:val="Rubrik1"/>
      </w:pPr>
      <w:bookmarkStart w:id="12" w:name="_Toc429051268"/>
      <w:r>
        <w:rPr>
          <w:noProof/>
        </w:rPr>
        <w:t>Présentation, par la France, du projet de dessin national pour la pièce commémorative commune libellée en euros</w:t>
      </w:r>
      <w:bookmarkEnd w:id="12"/>
    </w:p>
    <w:p w14:paraId="42B49FA5" w14:textId="7246BDCE" w:rsidR="00643D86" w:rsidRDefault="00A22D83" w:rsidP="00643D86">
      <w:pPr>
        <w:rPr>
          <w:lang w:val="en-US"/>
        </w:rPr>
      </w:pPr>
      <w:r>
        <w:rPr>
          <w:noProof/>
          <w:lang w:val="en-US"/>
        </w:rPr>
        <w:t>11256</w:t>
      </w:r>
      <w:r>
        <w:rPr>
          <w:lang w:val="en-US"/>
        </w:rPr>
        <w:t>/15 ECOFIN 635 UEM 312</w:t>
      </w:r>
    </w:p>
    <w:p w14:paraId="42B49FA6" w14:textId="77777777" w:rsidR="00643D86" w:rsidRDefault="00A22D83" w:rsidP="00643D86">
      <w:r>
        <w:rPr>
          <w:b/>
        </w:rPr>
        <w:t>Ansvarigt statsråd</w:t>
      </w:r>
      <w:r>
        <w:rPr>
          <w:b/>
        </w:rPr>
        <w:br/>
      </w:r>
      <w:r>
        <w:rPr>
          <w:noProof/>
        </w:rPr>
        <w:t>Per Bolund</w:t>
      </w:r>
    </w:p>
    <w:p w14:paraId="42B49FA9" w14:textId="77777777" w:rsidR="00643D86" w:rsidRDefault="00A22D83" w:rsidP="00643D86">
      <w:r w:rsidRPr="00B44CE2">
        <w:rPr>
          <w:b/>
        </w:rPr>
        <w:t>Annotering</w:t>
      </w:r>
      <w:r>
        <w:rPr>
          <w:b/>
        </w:rPr>
        <w:br/>
      </w:r>
      <w:r>
        <w:t>Föranleder ingen annotering.</w:t>
      </w:r>
    </w:p>
    <w:p w14:paraId="42B49FAA" w14:textId="77777777" w:rsidR="00643D86" w:rsidRDefault="00A22D83" w:rsidP="00643D86">
      <w:pPr>
        <w:pStyle w:val="Rubrik1"/>
      </w:pPr>
      <w:bookmarkStart w:id="13" w:name="_Toc429051269"/>
      <w:r>
        <w:rPr>
          <w:noProof/>
        </w:rPr>
        <w:t>Présentation, par Chypre, du projet de dessin national pour la pièce commémorative commune libellée en euros</w:t>
      </w:r>
      <w:bookmarkEnd w:id="13"/>
    </w:p>
    <w:p w14:paraId="42B49FAB" w14:textId="7F68A554" w:rsidR="00643D86" w:rsidRDefault="00A22D83" w:rsidP="00643D86">
      <w:pPr>
        <w:rPr>
          <w:lang w:val="en-US"/>
        </w:rPr>
      </w:pPr>
      <w:r>
        <w:rPr>
          <w:noProof/>
          <w:lang w:val="en-US"/>
        </w:rPr>
        <w:t>11308</w:t>
      </w:r>
      <w:r>
        <w:rPr>
          <w:lang w:val="en-US"/>
        </w:rPr>
        <w:t>/15 ECOFIN 639 UEM 314</w:t>
      </w:r>
    </w:p>
    <w:p w14:paraId="42B49FAC" w14:textId="77777777" w:rsidR="00643D86" w:rsidRDefault="00A22D83" w:rsidP="00643D86">
      <w:r>
        <w:rPr>
          <w:b/>
        </w:rPr>
        <w:t>Ansvarigt statsråd</w:t>
      </w:r>
      <w:r>
        <w:rPr>
          <w:b/>
        </w:rPr>
        <w:br/>
      </w:r>
      <w:r>
        <w:rPr>
          <w:noProof/>
        </w:rPr>
        <w:t>Per Bolund</w:t>
      </w:r>
    </w:p>
    <w:p w14:paraId="42B49FAF" w14:textId="77777777" w:rsidR="00643D86" w:rsidRDefault="00A22D83" w:rsidP="00643D86">
      <w:r w:rsidRPr="00B44CE2">
        <w:rPr>
          <w:b/>
        </w:rPr>
        <w:t>Annotering</w:t>
      </w:r>
      <w:r>
        <w:rPr>
          <w:b/>
        </w:rPr>
        <w:br/>
      </w:r>
      <w:r>
        <w:t>Föranleder ingen annotering.</w:t>
      </w:r>
    </w:p>
    <w:p w14:paraId="42B49FB0" w14:textId="77777777" w:rsidR="00643D86" w:rsidRDefault="00A22D83" w:rsidP="00643D86">
      <w:pPr>
        <w:pStyle w:val="Rubrik1"/>
      </w:pPr>
      <w:bookmarkStart w:id="14" w:name="_Toc429051270"/>
      <w:r>
        <w:rPr>
          <w:noProof/>
        </w:rPr>
        <w:t>Présentation, par l'Italie, du projet de dessin national pour la pièce commémorative commune libellée en euros</w:t>
      </w:r>
      <w:bookmarkEnd w:id="14"/>
    </w:p>
    <w:p w14:paraId="42B49FB1" w14:textId="0CA353BD" w:rsidR="00643D86" w:rsidRDefault="00A22D83" w:rsidP="00643D86">
      <w:pPr>
        <w:rPr>
          <w:lang w:val="en-US"/>
        </w:rPr>
      </w:pPr>
      <w:r>
        <w:rPr>
          <w:noProof/>
          <w:lang w:val="en-US"/>
        </w:rPr>
        <w:t>11402</w:t>
      </w:r>
      <w:r>
        <w:rPr>
          <w:lang w:val="en-US"/>
        </w:rPr>
        <w:t>/15 ECOFIN 644 UEM 317+ COR 1</w:t>
      </w:r>
    </w:p>
    <w:p w14:paraId="42B49FB2" w14:textId="77777777" w:rsidR="00643D86" w:rsidRDefault="00A22D83" w:rsidP="00643D86">
      <w:r>
        <w:rPr>
          <w:b/>
        </w:rPr>
        <w:t>Ansvarigt statsråd</w:t>
      </w:r>
      <w:r>
        <w:rPr>
          <w:b/>
        </w:rPr>
        <w:br/>
      </w:r>
      <w:r>
        <w:rPr>
          <w:noProof/>
        </w:rPr>
        <w:t>Per Bolund</w:t>
      </w:r>
    </w:p>
    <w:p w14:paraId="42B49FB5" w14:textId="77777777" w:rsidR="00643D86" w:rsidRDefault="00A22D83" w:rsidP="00643D86">
      <w:r w:rsidRPr="00B44CE2">
        <w:rPr>
          <w:b/>
        </w:rPr>
        <w:t>Annotering</w:t>
      </w:r>
      <w:r>
        <w:rPr>
          <w:b/>
        </w:rPr>
        <w:br/>
      </w:r>
      <w:r>
        <w:t>Föranleder ingen annotering.</w:t>
      </w:r>
    </w:p>
    <w:p w14:paraId="42B49FB6" w14:textId="77777777" w:rsidR="00643D86" w:rsidRDefault="00A22D83" w:rsidP="00643D86">
      <w:pPr>
        <w:pStyle w:val="Rubrik1"/>
      </w:pPr>
      <w:bookmarkStart w:id="15" w:name="_Toc429051271"/>
      <w:r>
        <w:rPr>
          <w:noProof/>
        </w:rPr>
        <w:t>Présentation d'un nouveau projet de dessin pour une pièce commémorative slovaque commémorant la première présidence de la République slovaque du Conseil de l'Union européenne</w:t>
      </w:r>
      <w:bookmarkEnd w:id="15"/>
    </w:p>
    <w:p w14:paraId="42B49FB7" w14:textId="1EA43AD4" w:rsidR="00643D86" w:rsidRDefault="00A22D83" w:rsidP="00643D86">
      <w:pPr>
        <w:rPr>
          <w:lang w:val="en-US"/>
        </w:rPr>
      </w:pPr>
      <w:r>
        <w:rPr>
          <w:noProof/>
          <w:lang w:val="en-US"/>
        </w:rPr>
        <w:t>11403</w:t>
      </w:r>
      <w:r>
        <w:rPr>
          <w:lang w:val="en-US"/>
        </w:rPr>
        <w:t>/15 ECOFIN 645 UEM 318</w:t>
      </w:r>
    </w:p>
    <w:p w14:paraId="42B49FB8" w14:textId="77777777" w:rsidR="00643D86" w:rsidRDefault="00A22D83" w:rsidP="00643D86">
      <w:r>
        <w:rPr>
          <w:b/>
        </w:rPr>
        <w:t>Ansvarigt statsråd</w:t>
      </w:r>
      <w:r>
        <w:rPr>
          <w:b/>
        </w:rPr>
        <w:br/>
      </w:r>
      <w:r>
        <w:rPr>
          <w:noProof/>
        </w:rPr>
        <w:t>Per Bolund</w:t>
      </w:r>
    </w:p>
    <w:p w14:paraId="42B49FBB" w14:textId="77777777" w:rsidR="00643D86" w:rsidRDefault="00A22D83" w:rsidP="00643D86">
      <w:r w:rsidRPr="00B44CE2">
        <w:rPr>
          <w:b/>
        </w:rPr>
        <w:t>Annotering</w:t>
      </w:r>
      <w:r>
        <w:rPr>
          <w:b/>
        </w:rPr>
        <w:br/>
      </w:r>
      <w:r>
        <w:t>Föranleder ingen annotering.</w:t>
      </w:r>
    </w:p>
    <w:p w14:paraId="42B49FBC" w14:textId="77777777" w:rsidR="00643D86" w:rsidRDefault="00A22D83" w:rsidP="00643D86">
      <w:pPr>
        <w:pStyle w:val="Rubrik1"/>
      </w:pPr>
      <w:bookmarkStart w:id="16" w:name="_Toc429051272"/>
      <w:r>
        <w:rPr>
          <w:noProof/>
        </w:rPr>
        <w:t>Correction du projet de dessin de la nouvelle pièce commémorative finlandaise de 2015</w:t>
      </w:r>
      <w:bookmarkEnd w:id="16"/>
    </w:p>
    <w:p w14:paraId="42B49FBD" w14:textId="788C144F" w:rsidR="00643D86" w:rsidRDefault="00A22D83" w:rsidP="00643D86">
      <w:pPr>
        <w:rPr>
          <w:lang w:val="en-US"/>
        </w:rPr>
      </w:pPr>
      <w:r>
        <w:rPr>
          <w:noProof/>
          <w:lang w:val="en-US"/>
        </w:rPr>
        <w:t>11465</w:t>
      </w:r>
      <w:r>
        <w:rPr>
          <w:lang w:val="en-US"/>
        </w:rPr>
        <w:t>/15 ECOFIN 660 UEM 331</w:t>
      </w:r>
    </w:p>
    <w:p w14:paraId="42B49FBE" w14:textId="77777777" w:rsidR="00643D86" w:rsidRDefault="00A22D83" w:rsidP="00643D86">
      <w:r>
        <w:rPr>
          <w:b/>
        </w:rPr>
        <w:t>Ansvarigt statsråd</w:t>
      </w:r>
      <w:r>
        <w:rPr>
          <w:b/>
        </w:rPr>
        <w:br/>
      </w:r>
      <w:r>
        <w:rPr>
          <w:noProof/>
        </w:rPr>
        <w:t>Per Bolund</w:t>
      </w:r>
    </w:p>
    <w:p w14:paraId="42B49FC1" w14:textId="77777777" w:rsidR="00643D86" w:rsidRDefault="00A22D83" w:rsidP="00643D86">
      <w:r w:rsidRPr="00B44CE2">
        <w:rPr>
          <w:b/>
        </w:rPr>
        <w:t>Annotering</w:t>
      </w:r>
      <w:r>
        <w:rPr>
          <w:b/>
        </w:rPr>
        <w:br/>
      </w:r>
      <w:r>
        <w:t>Föranleder ingen annotering.</w:t>
      </w:r>
    </w:p>
    <w:p w14:paraId="42B49FC2" w14:textId="77777777" w:rsidR="00643D86" w:rsidRDefault="00A22D83" w:rsidP="00643D86">
      <w:pPr>
        <w:pStyle w:val="Rubrik1"/>
      </w:pPr>
      <w:bookmarkStart w:id="17" w:name="_Toc429051273"/>
      <w:r>
        <w:rPr>
          <w:noProof/>
        </w:rPr>
        <w:t>Dessin de la pièce commémorative irlandaise de 2 euros (2016)</w:t>
      </w:r>
      <w:bookmarkEnd w:id="17"/>
    </w:p>
    <w:p w14:paraId="42B49FC3" w14:textId="46357251" w:rsidR="00643D86" w:rsidRDefault="00A22D83" w:rsidP="00643D86">
      <w:pPr>
        <w:rPr>
          <w:lang w:val="en-US"/>
        </w:rPr>
      </w:pPr>
      <w:r>
        <w:rPr>
          <w:noProof/>
          <w:lang w:val="en-US"/>
        </w:rPr>
        <w:t>11468</w:t>
      </w:r>
      <w:r>
        <w:rPr>
          <w:lang w:val="en-US"/>
        </w:rPr>
        <w:t>/15 ECOFIN 661 UEM 332</w:t>
      </w:r>
    </w:p>
    <w:p w14:paraId="42B49FC4" w14:textId="77777777" w:rsidR="00643D86" w:rsidRDefault="00A22D83" w:rsidP="00643D86">
      <w:r>
        <w:rPr>
          <w:b/>
        </w:rPr>
        <w:t>Ansvarigt statsråd</w:t>
      </w:r>
      <w:r>
        <w:rPr>
          <w:b/>
        </w:rPr>
        <w:br/>
      </w:r>
      <w:r>
        <w:rPr>
          <w:noProof/>
        </w:rPr>
        <w:t>Per Bolund</w:t>
      </w:r>
    </w:p>
    <w:p w14:paraId="42B49FC7" w14:textId="77777777" w:rsidR="00643D86" w:rsidRDefault="00A22D83" w:rsidP="00643D86">
      <w:r w:rsidRPr="00B44CE2">
        <w:rPr>
          <w:b/>
        </w:rPr>
        <w:t>Annotering</w:t>
      </w:r>
      <w:r>
        <w:rPr>
          <w:b/>
        </w:rPr>
        <w:br/>
      </w:r>
      <w:r>
        <w:t>Föranleder ingen annotering.</w:t>
      </w:r>
    </w:p>
    <w:p w14:paraId="42B49FC8" w14:textId="77777777" w:rsidR="00643D86" w:rsidRDefault="00A22D83" w:rsidP="00643D86">
      <w:pPr>
        <w:pStyle w:val="Rubrik1"/>
      </w:pPr>
      <w:bookmarkStart w:id="18" w:name="_Toc429051274"/>
      <w:r>
        <w:rPr>
          <w:noProof/>
        </w:rPr>
        <w:t>Présentation, par l'Irlande, du projet de dessin national pour la pièce commémorative commune libellée en euros</w:t>
      </w:r>
      <w:bookmarkEnd w:id="18"/>
    </w:p>
    <w:p w14:paraId="42B49FC9" w14:textId="7287D765" w:rsidR="00643D86" w:rsidRDefault="00A22D83" w:rsidP="00643D86">
      <w:pPr>
        <w:rPr>
          <w:lang w:val="en-US"/>
        </w:rPr>
      </w:pPr>
      <w:r>
        <w:rPr>
          <w:noProof/>
          <w:lang w:val="en-US"/>
        </w:rPr>
        <w:t>11478</w:t>
      </w:r>
      <w:r>
        <w:rPr>
          <w:lang w:val="en-US"/>
        </w:rPr>
        <w:t>/15 ECOFIN 665 UEM 333</w:t>
      </w:r>
    </w:p>
    <w:p w14:paraId="42B49FCA" w14:textId="77777777" w:rsidR="00643D86" w:rsidRDefault="00A22D83" w:rsidP="00643D86">
      <w:r>
        <w:rPr>
          <w:b/>
        </w:rPr>
        <w:t>Ansvarigt statsråd</w:t>
      </w:r>
      <w:r>
        <w:rPr>
          <w:b/>
        </w:rPr>
        <w:br/>
      </w:r>
      <w:r>
        <w:rPr>
          <w:noProof/>
        </w:rPr>
        <w:t>Per Bolund</w:t>
      </w:r>
    </w:p>
    <w:p w14:paraId="42B49FCD" w14:textId="77777777" w:rsidR="00643D86" w:rsidRDefault="00A22D83" w:rsidP="00643D86">
      <w:r w:rsidRPr="00B44CE2">
        <w:rPr>
          <w:b/>
        </w:rPr>
        <w:t>Annotering</w:t>
      </w:r>
      <w:r>
        <w:rPr>
          <w:b/>
        </w:rPr>
        <w:br/>
      </w:r>
      <w:r>
        <w:t>Föranleder ingen annotering.</w:t>
      </w:r>
    </w:p>
    <w:p w14:paraId="42B49FCE" w14:textId="77777777" w:rsidR="00643D86" w:rsidRDefault="00A22D83" w:rsidP="00643D86">
      <w:pPr>
        <w:pStyle w:val="Rubrik1"/>
      </w:pPr>
      <w:bookmarkStart w:id="19" w:name="_Toc429051275"/>
      <w:r>
        <w:rPr>
          <w:noProof/>
        </w:rPr>
        <w:t>Stratégie de l'UE pour la région alpine - organisation des travaux au sein du Conseil</w:t>
      </w:r>
      <w:bookmarkEnd w:id="19"/>
    </w:p>
    <w:p w14:paraId="42B49FCF" w14:textId="4CEC3B3F" w:rsidR="00643D86" w:rsidRDefault="00A22D83" w:rsidP="00643D86">
      <w:pPr>
        <w:rPr>
          <w:lang w:val="en-US"/>
        </w:rPr>
      </w:pPr>
      <w:r>
        <w:rPr>
          <w:noProof/>
          <w:lang w:val="en-US"/>
        </w:rPr>
        <w:t>=</w:t>
      </w:r>
      <w:r>
        <w:rPr>
          <w:lang w:val="en-US"/>
        </w:rPr>
        <w:t>Note d'information</w:t>
      </w:r>
      <w:r w:rsidR="00DF2A1C">
        <w:rPr>
          <w:lang w:val="en-US"/>
        </w:rPr>
        <w:br/>
      </w:r>
      <w:r>
        <w:rPr>
          <w:noProof/>
          <w:lang w:val="en-US"/>
        </w:rPr>
        <w:t>11007</w:t>
      </w:r>
      <w:r>
        <w:rPr>
          <w:lang w:val="en-US"/>
        </w:rPr>
        <w:t>/15 CADREFIN 39 FSTR 45 POLGEN 120 REGIO 59 FC 43 ECOFIN 617ENV 492 TRANS 239 PECHE 256 RECH 209 JAI 576 ENER 283MI 495 MAR 77 COMPET 366 AGRI 406</w:t>
      </w:r>
    </w:p>
    <w:p w14:paraId="42B49FD0" w14:textId="77777777" w:rsidR="00643D86" w:rsidRDefault="00A22D83" w:rsidP="00643D86">
      <w:r>
        <w:rPr>
          <w:b/>
        </w:rPr>
        <w:t>Ansvarigt statsråd</w:t>
      </w:r>
      <w:r>
        <w:rPr>
          <w:b/>
        </w:rPr>
        <w:br/>
      </w:r>
      <w:r>
        <w:rPr>
          <w:noProof/>
        </w:rPr>
        <w:t>Stefan Löfven</w:t>
      </w:r>
    </w:p>
    <w:p w14:paraId="42B49FD4" w14:textId="6723D5E3" w:rsidR="00714FB8" w:rsidRDefault="00A22D83" w:rsidP="00DC2FD1">
      <w:r w:rsidRPr="00B44CE2">
        <w:rPr>
          <w:b/>
        </w:rPr>
        <w:t>Annotering</w:t>
      </w:r>
      <w:r>
        <w:rPr>
          <w:b/>
        </w:rPr>
        <w:br/>
      </w:r>
      <w:r>
        <w:rPr>
          <w:b/>
          <w:bCs/>
        </w:rPr>
        <w:t>Avsikt med behandlingen i rådet:</w:t>
      </w:r>
      <w:r>
        <w:t xml:space="preserve"> Ordförandeskapet ska informera om hur man avser lägga upp arbetet i rådet.</w:t>
      </w:r>
    </w:p>
    <w:p w14:paraId="42B49FD5" w14:textId="77777777" w:rsidR="00714FB8" w:rsidRDefault="00A22D83">
      <w:pPr>
        <w:spacing w:after="280" w:afterAutospacing="1"/>
      </w:pPr>
      <w:r>
        <w:rPr>
          <w:b/>
          <w:bCs/>
        </w:rPr>
        <w:t xml:space="preserve">Hur regeringen ställer sig till den blivande A-punkten: </w:t>
      </w:r>
      <w:r>
        <w:t>Sverige noterar ordförandeskapets information.</w:t>
      </w:r>
    </w:p>
    <w:p w14:paraId="42B49FD7" w14:textId="4C603040" w:rsidR="00FB32B9" w:rsidRDefault="00A22D83">
      <w:pPr>
        <w:spacing w:after="280" w:afterAutospacing="1"/>
        <w:rPr>
          <w:noProof/>
        </w:rPr>
      </w:pPr>
      <w:r>
        <w:rPr>
          <w:b/>
          <w:bCs/>
        </w:rPr>
        <w:t>Bakgrund:</w:t>
      </w:r>
      <w:r>
        <w:t xml:space="preserve"> Europeiska rådet 19-20 december 2013 uppmanade kommissionen att tillsammans med medlemsstaterna ta fram ett förslag till en EU-strategi för Alpregionen (EUSALP) senast juni 2015, på basis av redan etablerat samarbete i regionen. Den 29 juli 2015 presenterade kommissionen sitt förslag i form av ett meddelande om en EU-strategi för Alpregionen med tillhörande handlingsplan (KOM 2015 366 final). Kommissionens meddelande ska nu behandlas av rådet inom ramen för en så kallad vängrupp till ordförandeskapet med siktet ställt på antagande av rådets slutsatser vid Allmänna rådets möte den 17 november 2015.</w:t>
      </w:r>
    </w:p>
    <w:p w14:paraId="42B49FD8" w14:textId="77777777" w:rsidR="00643D86" w:rsidRDefault="00A22D83" w:rsidP="00643D86">
      <w:pPr>
        <w:pStyle w:val="Rubrik1"/>
      </w:pPr>
      <w:bookmarkStart w:id="20" w:name="_Toc429051276"/>
      <w:r>
        <w:rPr>
          <w:noProof/>
        </w:rPr>
        <w:t>Projet de conclusions du Conseil sur la mise en œuvre du plan d'action antidrogue de l'UE (2013-2016) en ce qui concerne des normes minimales de qualité pour la réduction de la demande de drogue dans l'Union européenne</w:t>
      </w:r>
      <w:bookmarkEnd w:id="20"/>
    </w:p>
    <w:p w14:paraId="42B49FD9" w14:textId="08814765" w:rsidR="00643D86" w:rsidRDefault="00A22D83" w:rsidP="00643D86">
      <w:pPr>
        <w:rPr>
          <w:lang w:val="en-US"/>
        </w:rPr>
      </w:pPr>
      <w:r>
        <w:rPr>
          <w:noProof/>
          <w:lang w:val="en-US"/>
        </w:rPr>
        <w:t>11271</w:t>
      </w:r>
      <w:r>
        <w:rPr>
          <w:lang w:val="en-US"/>
        </w:rPr>
        <w:t>/15 CORDROGUE 60 SAN 25</w:t>
      </w:r>
      <w:r w:rsidR="00DC2FD1">
        <w:rPr>
          <w:lang w:val="en-US"/>
        </w:rPr>
        <w:t xml:space="preserve"> </w:t>
      </w:r>
      <w:r>
        <w:rPr>
          <w:lang w:val="en-US"/>
        </w:rPr>
        <w:t>110371/1/15 REV 1 CORDROGUE 54 SAN 220</w:t>
      </w:r>
    </w:p>
    <w:p w14:paraId="42B49FDA" w14:textId="77777777" w:rsidR="00643D86" w:rsidRDefault="00A22D83" w:rsidP="00643D86">
      <w:r>
        <w:rPr>
          <w:b/>
        </w:rPr>
        <w:t>Ansvarigt statsråd</w:t>
      </w:r>
      <w:r>
        <w:rPr>
          <w:b/>
        </w:rPr>
        <w:br/>
      </w:r>
      <w:r>
        <w:rPr>
          <w:noProof/>
        </w:rPr>
        <w:t>Gabriel Wikström</w:t>
      </w:r>
    </w:p>
    <w:p w14:paraId="42B49FDE" w14:textId="2C7E2475" w:rsidR="00714FB8" w:rsidRDefault="00A22D83" w:rsidP="00DC2FD1">
      <w:r w:rsidRPr="00B44CE2">
        <w:rPr>
          <w:b/>
        </w:rPr>
        <w:t>Annotering</w:t>
      </w:r>
      <w:r>
        <w:rPr>
          <w:b/>
        </w:rPr>
        <w:br/>
      </w:r>
      <w:r>
        <w:rPr>
          <w:b/>
          <w:bCs/>
        </w:rPr>
        <w:t>Avsikt med behandlingen i rådet:</w:t>
      </w:r>
      <w:r>
        <w:t xml:space="preserve"> </w:t>
      </w:r>
      <w:r w:rsidRPr="00DC2FD1">
        <w:rPr>
          <w:bCs/>
        </w:rPr>
        <w:t>Att ta fram minimistandarder för vad som krävs för att minska efterfrågan på narkotika</w:t>
      </w:r>
      <w:r>
        <w:t xml:space="preserve"> </w:t>
      </w:r>
    </w:p>
    <w:p w14:paraId="42B49FE0" w14:textId="0ED4B514" w:rsidR="00714FB8" w:rsidRDefault="00A22D83">
      <w:pPr>
        <w:spacing w:after="280" w:afterAutospacing="1"/>
      </w:pPr>
      <w:r>
        <w:rPr>
          <w:b/>
          <w:bCs/>
        </w:rPr>
        <w:t>Hur regeringen ställer sig till den blivande A-punkten:</w:t>
      </w:r>
      <w:r>
        <w:t xml:space="preserve"> Regeringen är positiv </w:t>
      </w:r>
    </w:p>
    <w:p w14:paraId="42B49FE2" w14:textId="067369EB" w:rsidR="00714FB8" w:rsidRPr="00DC2FD1" w:rsidRDefault="00A22D83">
      <w:pPr>
        <w:spacing w:after="280" w:afterAutospacing="1"/>
      </w:pPr>
      <w:r>
        <w:rPr>
          <w:b/>
          <w:bCs/>
        </w:rPr>
        <w:t xml:space="preserve">Bakgrund: </w:t>
      </w:r>
      <w:r w:rsidRPr="00DC2FD1">
        <w:rPr>
          <w:bCs/>
        </w:rPr>
        <w:t>Minskning av efterfrågan på narkotika är en av hörnpelarna för narkotikapolitiken i Europa. Det har tidigare inte funnits några riktlinjer för hur arbetet bör bedrivas. Dokumentet har diskuterats i Horisontella narkotikagruppen under flera år.</w:t>
      </w:r>
    </w:p>
    <w:p w14:paraId="42B49FE4" w14:textId="77777777" w:rsidR="00643D86" w:rsidRDefault="00A22D83" w:rsidP="00643D86">
      <w:pPr>
        <w:pStyle w:val="Rubrik1"/>
      </w:pPr>
      <w:bookmarkStart w:id="21" w:name="_Toc429051277"/>
      <w:r>
        <w:rPr>
          <w:noProof/>
        </w:rPr>
        <w:t>Projet de Décision du Conseil établissant la position à prendre au nom de l’Union européenne au sein du comité des marchés publics quant à l’accession de la République de Moldavie à l’accord sur les marchés publics</w:t>
      </w:r>
      <w:bookmarkEnd w:id="21"/>
    </w:p>
    <w:p w14:paraId="0E4CB613" w14:textId="3F224D94" w:rsidR="00DC2FD1" w:rsidRDefault="00A22D83" w:rsidP="00643D86">
      <w:pPr>
        <w:rPr>
          <w:lang w:val="en-US"/>
        </w:rPr>
      </w:pPr>
      <w:r>
        <w:rPr>
          <w:noProof/>
          <w:lang w:val="en-US"/>
        </w:rPr>
        <w:t>=</w:t>
      </w:r>
      <w:r>
        <w:rPr>
          <w:lang w:val="en-US"/>
        </w:rPr>
        <w:t>Adoption</w:t>
      </w:r>
      <w:r w:rsidR="00DC2FD1">
        <w:rPr>
          <w:lang w:val="en-US"/>
        </w:rPr>
        <w:br/>
      </w:r>
      <w:r>
        <w:rPr>
          <w:lang w:val="en-US"/>
        </w:rPr>
        <w:t>10629/15 WTO 143 MAP 15 MI 449 COEST 217</w:t>
      </w:r>
      <w:r w:rsidR="00DC2FD1">
        <w:rPr>
          <w:lang w:val="en-US"/>
        </w:rPr>
        <w:t xml:space="preserve"> </w:t>
      </w:r>
      <w:r>
        <w:rPr>
          <w:lang w:val="en-US"/>
        </w:rPr>
        <w:t>10631/15 WTO 144 MAP 16 MI 450 COEST 218</w:t>
      </w:r>
    </w:p>
    <w:p w14:paraId="42B49FE6" w14:textId="24AB10A2" w:rsidR="00643D86" w:rsidRDefault="00A22D83" w:rsidP="00643D86">
      <w:r>
        <w:rPr>
          <w:b/>
        </w:rPr>
        <w:t>Ansvarigt statsråd</w:t>
      </w:r>
      <w:r>
        <w:rPr>
          <w:b/>
        </w:rPr>
        <w:br/>
      </w:r>
      <w:r>
        <w:rPr>
          <w:noProof/>
        </w:rPr>
        <w:t xml:space="preserve">Mikael Damberg </w:t>
      </w:r>
    </w:p>
    <w:p w14:paraId="42B49FEB" w14:textId="73EB7E22" w:rsidR="00714FB8" w:rsidRDefault="00A22D83" w:rsidP="00DC2FD1">
      <w:r w:rsidRPr="00B44CE2">
        <w:rPr>
          <w:b/>
        </w:rPr>
        <w:t>Annotering</w:t>
      </w:r>
      <w:r w:rsidR="00DC2FD1">
        <w:rPr>
          <w:b/>
        </w:rPr>
        <w:t>:</w:t>
      </w:r>
      <w:r w:rsidR="00DC2FD1">
        <w:rPr>
          <w:b/>
        </w:rPr>
        <w:br/>
        <w:t xml:space="preserve">Avsikt med behandlingen i rådet: </w:t>
      </w:r>
      <w:r>
        <w:t xml:space="preserve">Rådet föreslås anta beslutet. </w:t>
      </w:r>
    </w:p>
    <w:p w14:paraId="42B49FEC" w14:textId="2DE3EC4D" w:rsidR="00714FB8" w:rsidRDefault="00A22D83">
      <w:pPr>
        <w:spacing w:after="280" w:afterAutospacing="1"/>
      </w:pPr>
      <w:r w:rsidRPr="00DC2FD1">
        <w:rPr>
          <w:b/>
        </w:rPr>
        <w:t>Hur regeringen ställer sig till den blivande a-punkten:</w:t>
      </w:r>
      <w:r>
        <w:t xml:space="preserve"> Regeringen avser rösta ja till att rådets beslut om Moldaviens anslutning antas.</w:t>
      </w:r>
    </w:p>
    <w:p w14:paraId="42B49FED" w14:textId="37F7253D" w:rsidR="00714FB8" w:rsidRDefault="00A22D83">
      <w:pPr>
        <w:spacing w:after="280" w:afterAutospacing="1"/>
      </w:pPr>
      <w:r w:rsidRPr="00DC2FD1">
        <w:rPr>
          <w:b/>
        </w:rPr>
        <w:t>Bakgrund</w:t>
      </w:r>
      <w:r>
        <w:t>: Kommissionen lämnade beslutet till rådet den 6 juli, och den handelspolitiska kommittén ställde sig bakom beslutet den 17 juli.</w:t>
      </w:r>
    </w:p>
    <w:p w14:paraId="42B49FEF" w14:textId="2CC7B1CB" w:rsidR="00FB32B9" w:rsidRDefault="00A22D83">
      <w:pPr>
        <w:spacing w:after="280" w:afterAutospacing="1"/>
        <w:rPr>
          <w:noProof/>
        </w:rPr>
      </w:pPr>
      <w:r>
        <w:t>Den 7 januari 2002 ansökte Republiken Moldavien om anslutning till det reviderade avtalet om offentlig upphandling (GPA-avtalet).  Moldaviens anslutningsprocess har varit oproblematisk, ändock trög fram till år 2012 då Moldavien lämnade sitt andra reviderade anbud som då ansågs som ambitiöst och togs emot väl. Därefter har MD lämnat ytterligare två reviderade anbud, den 16 juni och 24 juni 2014. Det slutliga anbudet överlämnades till GPA-parterna den 27 maj 2015. I Moldaviens slutliga anbud ingår flera centrala, regionala och lokala enheter och andra enheter som är verksamma inom sektorerna allmännyttiga tjänster, varutjänster, byggtjänster och andra tjänster. Anbudet ger tillfredställande marknadstillträde i de väsentliga upphandlingsområden och kan därför godtas. Moldaviens anslutning till det reviderade GPA förväntas bidra positivt till ytterligare öppnande av marknaderna för offentlig upphandling internationellt.</w:t>
      </w:r>
    </w:p>
    <w:p w14:paraId="42B49FF6" w14:textId="77777777" w:rsidR="00643D86" w:rsidRDefault="00A22D83" w:rsidP="00643D86">
      <w:pPr>
        <w:pStyle w:val="Rubrik1"/>
      </w:pPr>
      <w:bookmarkStart w:id="22" w:name="_Toc429051278"/>
      <w:r>
        <w:rPr>
          <w:noProof/>
        </w:rPr>
        <w:t>Règlement financier applicable au budget général de l'Institut d'études de sécurité de l'Union européenne</w:t>
      </w:r>
      <w:bookmarkEnd w:id="22"/>
    </w:p>
    <w:p w14:paraId="0692F590" w14:textId="0001E3D8" w:rsidR="00DC2FD1" w:rsidRDefault="00A22D83" w:rsidP="00643D86">
      <w:pPr>
        <w:rPr>
          <w:b/>
        </w:rPr>
      </w:pPr>
      <w:r>
        <w:rPr>
          <w:noProof/>
          <w:lang w:val="en-US"/>
        </w:rPr>
        <w:t>11175</w:t>
      </w:r>
      <w:r>
        <w:rPr>
          <w:lang w:val="en-US"/>
        </w:rPr>
        <w:t>/15 CORLX 33 CSDP/PSDC 437 CFSP/PESC 443</w:t>
      </w:r>
    </w:p>
    <w:p w14:paraId="42B49FF8" w14:textId="4EE34604" w:rsidR="00643D86" w:rsidRDefault="00A22D83" w:rsidP="00643D86">
      <w:r>
        <w:rPr>
          <w:b/>
        </w:rPr>
        <w:t>Ansvarigt statsråd</w:t>
      </w:r>
      <w:r>
        <w:rPr>
          <w:b/>
        </w:rPr>
        <w:br/>
      </w:r>
      <w:r>
        <w:rPr>
          <w:noProof/>
        </w:rPr>
        <w:t>Margot Wallström</w:t>
      </w:r>
    </w:p>
    <w:p w14:paraId="42B49FFC" w14:textId="4B01224D" w:rsidR="00714FB8" w:rsidRDefault="00A22D83" w:rsidP="00DC2FD1">
      <w:r w:rsidRPr="00B44CE2">
        <w:rPr>
          <w:b/>
        </w:rPr>
        <w:t>Annotering</w:t>
      </w:r>
      <w:r>
        <w:rPr>
          <w:b/>
        </w:rPr>
        <w:br/>
      </w:r>
      <w:r>
        <w:rPr>
          <w:b/>
          <w:bCs/>
        </w:rPr>
        <w:t xml:space="preserve">Avsikt med behandlingen i rådet: </w:t>
      </w:r>
      <w:r>
        <w:t>Rådet föreslås anta finansiella regler</w:t>
      </w:r>
    </w:p>
    <w:p w14:paraId="42B49FFD" w14:textId="77777777" w:rsidR="00714FB8" w:rsidRDefault="00A22D83">
      <w:pPr>
        <w:spacing w:after="280" w:afterAutospacing="1"/>
      </w:pPr>
      <w:r>
        <w:rPr>
          <w:b/>
          <w:bCs/>
        </w:rPr>
        <w:t>Hur regeringen ställer sig till den blivande A-punkten:</w:t>
      </w:r>
      <w:r>
        <w:t xml:space="preserve"> Regeringen avser rösta ja.</w:t>
      </w:r>
    </w:p>
    <w:p w14:paraId="42B49FFF" w14:textId="1BC501F9" w:rsidR="00FB32B9" w:rsidRDefault="00A22D83">
      <w:pPr>
        <w:spacing w:after="280" w:afterAutospacing="1"/>
        <w:rPr>
          <w:noProof/>
        </w:rPr>
      </w:pPr>
      <w:r>
        <w:rPr>
          <w:b/>
          <w:bCs/>
        </w:rPr>
        <w:t>Bakgrund:</w:t>
      </w:r>
      <w:r>
        <w:t xml:space="preserve"> Den 4 december 2014 godkände rådet de finansiella bestämmelser som institutets (EUISS) styrelse enades om vid mötet den 30 oktober 2014. På förslag av direktören för EUISS enades styrelsen den 10 juli 2015 om ändrade finansiella bestämmelser som är tillämpliga på den allmänna budgeten för EUISS. Ändringarna av de finansiella bestämmelserna syftar till att möjliggöra inbetalning av den första delbetalningen av bidraget till institutets budget den 1 februari i stället för den 1 januari (artikel 7.5 a i de finansiella bestämmelserna) samt till att införa en frist efter vilken ränta ska beräknas på alla fordringar som inte återbetalats (artikel 7.7 i de finansiella bestämmelserna). De finansiella bestämmelserna granskades av arbetsgruppen med råd för yttre förbindelser och godkändes den 23 juli 2015. </w:t>
      </w:r>
    </w:p>
    <w:p w14:paraId="42B4A000" w14:textId="77777777" w:rsidR="00643D86" w:rsidRDefault="00A22D83" w:rsidP="00643D86">
      <w:pPr>
        <w:pStyle w:val="Rubrik1"/>
      </w:pPr>
      <w:bookmarkStart w:id="23" w:name="_Toc429051279"/>
      <w:r>
        <w:rPr>
          <w:noProof/>
        </w:rPr>
        <w:t>Décision du Conseil concernant le soutien de l'Union aux activités de la commission préparatoire de l'Organisation du traité d'interdiction complète des essais nucléaires (OTICE) afin de renforcer ses capacités en matière de surveillance et de vérification, dans le cadre de la mise en œuvre de la stratégie de l'UE contre la prolifération des armes de destruction massive</w:t>
      </w:r>
      <w:bookmarkEnd w:id="23"/>
    </w:p>
    <w:p w14:paraId="42B4A001" w14:textId="23499293" w:rsidR="00643D86" w:rsidRDefault="00A22D83" w:rsidP="00643D86">
      <w:pPr>
        <w:rPr>
          <w:lang w:val="en-US"/>
        </w:rPr>
      </w:pPr>
      <w:r>
        <w:rPr>
          <w:noProof/>
          <w:lang w:val="en-US"/>
        </w:rPr>
        <w:t>11399</w:t>
      </w:r>
      <w:r>
        <w:rPr>
          <w:lang w:val="en-US"/>
        </w:rPr>
        <w:t>/15 CORLX 50 CFSP/PESC 463 CONOP 94 CODUN 26</w:t>
      </w:r>
      <w:r w:rsidR="00DC2FD1">
        <w:rPr>
          <w:lang w:val="en-US"/>
        </w:rPr>
        <w:t xml:space="preserve"> </w:t>
      </w:r>
      <w:r>
        <w:rPr>
          <w:lang w:val="en-US"/>
        </w:rPr>
        <w:t>11128/15 CORLX 32 CFSP/PESC 442 CONOP 83 CODUN 24</w:t>
      </w:r>
    </w:p>
    <w:p w14:paraId="42B4A002" w14:textId="77777777" w:rsidR="00643D86" w:rsidRDefault="00A22D83" w:rsidP="00643D86">
      <w:r>
        <w:rPr>
          <w:b/>
        </w:rPr>
        <w:t>Ansvarigt statsråd</w:t>
      </w:r>
      <w:r>
        <w:rPr>
          <w:b/>
        </w:rPr>
        <w:br/>
      </w:r>
      <w:r>
        <w:rPr>
          <w:noProof/>
        </w:rPr>
        <w:t>Margot Wallström</w:t>
      </w:r>
    </w:p>
    <w:p w14:paraId="42B4A006" w14:textId="4279A471" w:rsidR="00714FB8" w:rsidRDefault="00A22D83" w:rsidP="00DC2FD1">
      <w:r w:rsidRPr="00B44CE2">
        <w:rPr>
          <w:b/>
        </w:rPr>
        <w:t>Annotering</w:t>
      </w:r>
      <w:r>
        <w:rPr>
          <w:b/>
        </w:rPr>
        <w:br/>
      </w:r>
      <w:r w:rsidRPr="00DC2FD1">
        <w:rPr>
          <w:b/>
        </w:rPr>
        <w:t>Avsikt med behandling i rådet</w:t>
      </w:r>
      <w:r>
        <w:t>: Rådet föreslås godkänna nytt rådsbeslut om stöd för aktiviteter inom ramen för Provstoppsavtalets genomförandeorganisation (CTBTO Preparatory Commission).</w:t>
      </w:r>
    </w:p>
    <w:p w14:paraId="42B4A007" w14:textId="6FFF3907" w:rsidR="00714FB8" w:rsidRDefault="00DC2FD1">
      <w:pPr>
        <w:spacing w:after="280" w:afterAutospacing="1"/>
      </w:pPr>
      <w:r>
        <w:rPr>
          <w:b/>
          <w:bCs/>
        </w:rPr>
        <w:t>Hur regeringen ställer sig till den blivande A-punkten:</w:t>
      </w:r>
      <w:r>
        <w:t xml:space="preserve"> </w:t>
      </w:r>
      <w:r w:rsidR="00A22D83">
        <w:t>Regeringen bör rösta ja.</w:t>
      </w:r>
    </w:p>
    <w:p w14:paraId="42B4A00A" w14:textId="772234F6" w:rsidR="00643D86" w:rsidRPr="00643D86" w:rsidRDefault="00A22D83" w:rsidP="00DC2FD1">
      <w:pPr>
        <w:spacing w:after="280" w:afterAutospacing="1"/>
        <w:rPr>
          <w:lang w:val="en-US"/>
        </w:rPr>
      </w:pPr>
      <w:r w:rsidRPr="00DC2FD1">
        <w:rPr>
          <w:b/>
        </w:rPr>
        <w:t>Bakgrund</w:t>
      </w:r>
      <w:r w:rsidR="00DC2FD1">
        <w:rPr>
          <w:b/>
        </w:rPr>
        <w:t xml:space="preserve">: </w:t>
      </w:r>
      <w:r w:rsidR="00DC2FD1">
        <w:t>De</w:t>
      </w:r>
      <w:r>
        <w:t xml:space="preserve"> här är det senaste av en rad rådsbeslut och gemensamma åtgärder till stöd för aktiviteter inom ramen för Provstoppsavtalets (CTBT) förberedande kommission (PrepCom).  Huvudmålen är att stärka verifikationsnätverket som syftar till att kunna detektera kärnsprängningar i brott mot CTBT, samt att hjälpa statsparterna att genomföra sina förpliktelser under avtalet och dra nytta av detta.  Nytt för i år är att EU ger medel för att underhålla så kallade sekundära mätstationer (auxiliary stations) för seismologiska mätningar, som inte kan finansieras genom PrepCom:s budget.  Svensk teknologi (det s.k. SAUNA-systemet för ädelgasdetektion) spelar en nyckelroll inom verifikationsnätverket, och Totalförsvarets forskningsinstitut FOI har fått stöd genom tidigare rådsbeslut för teknisk utveckling.  Rådsbeslutet har förhandlats fram vid PrepComs säte i Wien och fått stöd av rådsarbetsgruppen för ickespridning (CONOP). </w:t>
      </w:r>
      <w:bookmarkEnd w:id="1"/>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A01C" w14:textId="77777777" w:rsidR="00984492" w:rsidRDefault="00A22D83">
      <w:pPr>
        <w:spacing w:after="0" w:line="240" w:lineRule="auto"/>
      </w:pPr>
      <w:r>
        <w:separator/>
      </w:r>
    </w:p>
  </w:endnote>
  <w:endnote w:type="continuationSeparator" w:id="0">
    <w:p w14:paraId="42B4A01E" w14:textId="77777777" w:rsidR="00984492" w:rsidRDefault="00A2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4A018" w14:textId="77777777" w:rsidR="00984492" w:rsidRDefault="00A22D83">
      <w:pPr>
        <w:spacing w:after="0" w:line="240" w:lineRule="auto"/>
      </w:pPr>
      <w:r>
        <w:separator/>
      </w:r>
    </w:p>
  </w:footnote>
  <w:footnote w:type="continuationSeparator" w:id="0">
    <w:p w14:paraId="42B4A01A" w14:textId="77777777" w:rsidR="00984492" w:rsidRDefault="00A22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23608"/>
      <w:docPartObj>
        <w:docPartGallery w:val="Page Numbers (Top of Page)"/>
        <w:docPartUnique/>
      </w:docPartObj>
    </w:sdtPr>
    <w:sdtEndPr/>
    <w:sdtContent>
      <w:p w14:paraId="13F43FBC" w14:textId="0B5435DA" w:rsidR="00DC2FD1" w:rsidRDefault="00DC2FD1">
        <w:pPr>
          <w:pStyle w:val="Sidhuvud"/>
          <w:jc w:val="right"/>
        </w:pPr>
        <w:r>
          <w:fldChar w:fldCharType="begin"/>
        </w:r>
        <w:r>
          <w:instrText>PAGE   \* MERGEFORMAT</w:instrText>
        </w:r>
        <w:r>
          <w:fldChar w:fldCharType="separate"/>
        </w:r>
        <w:r w:rsidR="00A83025">
          <w:rPr>
            <w:noProof/>
          </w:rPr>
          <w:t>4</w:t>
        </w:r>
        <w:r>
          <w:fldChar w:fldCharType="end"/>
        </w:r>
      </w:p>
    </w:sdtContent>
  </w:sdt>
  <w:p w14:paraId="42B4A00C" w14:textId="77777777" w:rsidR="006F1C0D" w:rsidRDefault="00A83025"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14FB8" w14:paraId="42B4A012" w14:textId="77777777" w:rsidTr="006E71D7">
      <w:tc>
        <w:tcPr>
          <w:tcW w:w="4606" w:type="dxa"/>
        </w:tcPr>
        <w:p w14:paraId="42B4A00D" w14:textId="77777777" w:rsidR="006E71D7" w:rsidRDefault="00A22D83" w:rsidP="00752770">
          <w:pPr>
            <w:pStyle w:val="Sidhuvud"/>
            <w:ind w:left="0"/>
          </w:pPr>
          <w:r>
            <w:rPr>
              <w:noProof/>
              <w:lang w:eastAsia="sv-SE"/>
            </w:rPr>
            <w:drawing>
              <wp:inline distT="0" distB="0" distL="0" distR="0" wp14:anchorId="42B4A018" wp14:editId="42B4A01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2B4A00E" w14:textId="77777777" w:rsidR="00FB32B9" w:rsidRDefault="00A83025" w:rsidP="00FB32B9">
          <w:pPr>
            <w:ind w:right="916"/>
            <w:rPr>
              <w:rFonts w:ascii="TradeGothic" w:hAnsi="TradeGothic"/>
              <w:b/>
            </w:rPr>
          </w:pPr>
        </w:p>
        <w:p w14:paraId="42B4A00F" w14:textId="77777777" w:rsidR="00FB32B9" w:rsidRDefault="00A22D83" w:rsidP="00FB32B9">
          <w:pPr>
            <w:ind w:right="916"/>
          </w:pPr>
          <w:r>
            <w:rPr>
              <w:rFonts w:ascii="TradeGothic" w:hAnsi="TradeGothic"/>
              <w:b/>
            </w:rPr>
            <w:t>Promemoria</w:t>
          </w:r>
        </w:p>
        <w:p w14:paraId="42B4A010" w14:textId="77777777" w:rsidR="00FB32B9" w:rsidRDefault="00A83025" w:rsidP="00FB32B9">
          <w:pPr>
            <w:jc w:val="right"/>
          </w:pPr>
        </w:p>
        <w:p w14:paraId="42B4A011" w14:textId="6E4DDF90" w:rsidR="006E71D7" w:rsidRDefault="00A22D83" w:rsidP="00FB32B9">
          <w:pPr>
            <w:ind w:right="916"/>
          </w:pPr>
          <w:r>
            <w:rPr>
              <w:rFonts w:ascii="TradeGothic" w:hAnsi="TradeGothic"/>
              <w:b/>
              <w:noProof/>
            </w:rPr>
            <w:t>2015-09-0</w:t>
          </w:r>
          <w:r w:rsidR="00DF2A1C">
            <w:rPr>
              <w:rFonts w:ascii="TradeGothic" w:hAnsi="TradeGothic"/>
              <w:b/>
              <w:noProof/>
            </w:rPr>
            <w:t>3</w:t>
          </w:r>
          <w:r w:rsidRPr="00934953">
            <w:t xml:space="preserve"> </w:t>
          </w:r>
        </w:p>
      </w:tc>
    </w:tr>
  </w:tbl>
  <w:p w14:paraId="42B4A013" w14:textId="77777777" w:rsidR="00FB32B9" w:rsidRDefault="00A83025" w:rsidP="00FB32B9">
    <w:pPr>
      <w:pStyle w:val="Avsndare"/>
      <w:framePr w:w="0" w:hRule="auto" w:hSpace="0" w:wrap="auto" w:vAnchor="margin" w:hAnchor="text" w:xAlign="left" w:yAlign="inline"/>
      <w:rPr>
        <w:b/>
        <w:i w:val="0"/>
        <w:sz w:val="22"/>
      </w:rPr>
    </w:pPr>
  </w:p>
  <w:p w14:paraId="42B4A014" w14:textId="77777777" w:rsidR="00FB32B9" w:rsidRDefault="00A22D83" w:rsidP="00FB32B9">
    <w:pPr>
      <w:pStyle w:val="Avsndare"/>
      <w:framePr w:w="0" w:hRule="auto" w:hSpace="0" w:wrap="auto" w:vAnchor="margin" w:hAnchor="text" w:xAlign="left" w:yAlign="inline"/>
      <w:rPr>
        <w:b/>
        <w:i w:val="0"/>
        <w:sz w:val="22"/>
      </w:rPr>
    </w:pPr>
    <w:r>
      <w:rPr>
        <w:b/>
        <w:i w:val="0"/>
        <w:sz w:val="22"/>
      </w:rPr>
      <w:t>Statsrådsberedningen</w:t>
    </w:r>
  </w:p>
  <w:p w14:paraId="42B4A015" w14:textId="77777777" w:rsidR="00FB32B9" w:rsidRDefault="00A83025" w:rsidP="00FB32B9">
    <w:pPr>
      <w:pStyle w:val="Avsndare"/>
      <w:framePr w:w="0" w:hRule="auto" w:hSpace="0" w:wrap="auto" w:vAnchor="margin" w:hAnchor="text" w:xAlign="left" w:yAlign="inline"/>
    </w:pPr>
  </w:p>
  <w:p w14:paraId="42B4A016" w14:textId="77777777" w:rsidR="00FB32B9" w:rsidRDefault="00A22D83" w:rsidP="00FB32B9">
    <w:pPr>
      <w:pStyle w:val="Avsndare"/>
      <w:framePr w:w="0" w:hRule="auto" w:hSpace="0" w:wrap="auto" w:vAnchor="margin" w:hAnchor="text" w:xAlign="left" w:yAlign="inline"/>
    </w:pPr>
    <w:r>
      <w:t>EU-kansliet</w:t>
    </w:r>
  </w:p>
  <w:p w14:paraId="42B4A017" w14:textId="77777777" w:rsidR="0012376B" w:rsidRDefault="00A8302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71C06118">
      <w:start w:val="1"/>
      <w:numFmt w:val="decimal"/>
      <w:pStyle w:val="Rubrik1"/>
      <w:lvlText w:val="%1."/>
      <w:lvlJc w:val="left"/>
      <w:pPr>
        <w:ind w:left="720" w:hanging="360"/>
      </w:pPr>
    </w:lvl>
    <w:lvl w:ilvl="1" w:tplc="480A0EEA" w:tentative="1">
      <w:start w:val="1"/>
      <w:numFmt w:val="lowerLetter"/>
      <w:lvlText w:val="%2."/>
      <w:lvlJc w:val="left"/>
      <w:pPr>
        <w:ind w:left="1440" w:hanging="360"/>
      </w:pPr>
    </w:lvl>
    <w:lvl w:ilvl="2" w:tplc="8FB69C04" w:tentative="1">
      <w:start w:val="1"/>
      <w:numFmt w:val="lowerRoman"/>
      <w:lvlText w:val="%3."/>
      <w:lvlJc w:val="right"/>
      <w:pPr>
        <w:ind w:left="2160" w:hanging="180"/>
      </w:pPr>
    </w:lvl>
    <w:lvl w:ilvl="3" w:tplc="D840C57E" w:tentative="1">
      <w:start w:val="1"/>
      <w:numFmt w:val="decimal"/>
      <w:lvlText w:val="%4."/>
      <w:lvlJc w:val="left"/>
      <w:pPr>
        <w:ind w:left="2880" w:hanging="360"/>
      </w:pPr>
    </w:lvl>
    <w:lvl w:ilvl="4" w:tplc="15E072E8" w:tentative="1">
      <w:start w:val="1"/>
      <w:numFmt w:val="lowerLetter"/>
      <w:lvlText w:val="%5."/>
      <w:lvlJc w:val="left"/>
      <w:pPr>
        <w:ind w:left="3600" w:hanging="360"/>
      </w:pPr>
    </w:lvl>
    <w:lvl w:ilvl="5" w:tplc="8DEC345E" w:tentative="1">
      <w:start w:val="1"/>
      <w:numFmt w:val="lowerRoman"/>
      <w:lvlText w:val="%6."/>
      <w:lvlJc w:val="right"/>
      <w:pPr>
        <w:ind w:left="4320" w:hanging="180"/>
      </w:pPr>
    </w:lvl>
    <w:lvl w:ilvl="6" w:tplc="89C0273A" w:tentative="1">
      <w:start w:val="1"/>
      <w:numFmt w:val="decimal"/>
      <w:lvlText w:val="%7."/>
      <w:lvlJc w:val="left"/>
      <w:pPr>
        <w:ind w:left="5040" w:hanging="360"/>
      </w:pPr>
    </w:lvl>
    <w:lvl w:ilvl="7" w:tplc="634CC7F6" w:tentative="1">
      <w:start w:val="1"/>
      <w:numFmt w:val="lowerLetter"/>
      <w:lvlText w:val="%8."/>
      <w:lvlJc w:val="left"/>
      <w:pPr>
        <w:ind w:left="5760" w:hanging="360"/>
      </w:pPr>
    </w:lvl>
    <w:lvl w:ilvl="8" w:tplc="B5809BD4"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B2D8A65A">
      <w:start w:val="1"/>
      <w:numFmt w:val="decimal"/>
      <w:lvlText w:val="%1."/>
      <w:lvlJc w:val="left"/>
      <w:pPr>
        <w:ind w:left="360" w:hanging="360"/>
      </w:pPr>
      <w:rPr>
        <w:b w:val="0"/>
      </w:rPr>
    </w:lvl>
    <w:lvl w:ilvl="1" w:tplc="556C9028" w:tentative="1">
      <w:start w:val="1"/>
      <w:numFmt w:val="lowerLetter"/>
      <w:lvlText w:val="%2."/>
      <w:lvlJc w:val="left"/>
      <w:pPr>
        <w:ind w:left="1080" w:hanging="360"/>
      </w:pPr>
    </w:lvl>
    <w:lvl w:ilvl="2" w:tplc="F578941A" w:tentative="1">
      <w:start w:val="1"/>
      <w:numFmt w:val="lowerRoman"/>
      <w:lvlText w:val="%3."/>
      <w:lvlJc w:val="right"/>
      <w:pPr>
        <w:ind w:left="1800" w:hanging="180"/>
      </w:pPr>
    </w:lvl>
    <w:lvl w:ilvl="3" w:tplc="35904C1A" w:tentative="1">
      <w:start w:val="1"/>
      <w:numFmt w:val="decimal"/>
      <w:lvlText w:val="%4."/>
      <w:lvlJc w:val="left"/>
      <w:pPr>
        <w:ind w:left="2520" w:hanging="360"/>
      </w:pPr>
    </w:lvl>
    <w:lvl w:ilvl="4" w:tplc="005E67C0" w:tentative="1">
      <w:start w:val="1"/>
      <w:numFmt w:val="lowerLetter"/>
      <w:lvlText w:val="%5."/>
      <w:lvlJc w:val="left"/>
      <w:pPr>
        <w:ind w:left="3240" w:hanging="360"/>
      </w:pPr>
    </w:lvl>
    <w:lvl w:ilvl="5" w:tplc="9FC267F4" w:tentative="1">
      <w:start w:val="1"/>
      <w:numFmt w:val="lowerRoman"/>
      <w:lvlText w:val="%6."/>
      <w:lvlJc w:val="right"/>
      <w:pPr>
        <w:ind w:left="3960" w:hanging="180"/>
      </w:pPr>
    </w:lvl>
    <w:lvl w:ilvl="6" w:tplc="79F06ACA" w:tentative="1">
      <w:start w:val="1"/>
      <w:numFmt w:val="decimal"/>
      <w:lvlText w:val="%7."/>
      <w:lvlJc w:val="left"/>
      <w:pPr>
        <w:ind w:left="4680" w:hanging="360"/>
      </w:pPr>
    </w:lvl>
    <w:lvl w:ilvl="7" w:tplc="61EAD036" w:tentative="1">
      <w:start w:val="1"/>
      <w:numFmt w:val="lowerLetter"/>
      <w:lvlText w:val="%8."/>
      <w:lvlJc w:val="left"/>
      <w:pPr>
        <w:ind w:left="5400" w:hanging="360"/>
      </w:pPr>
    </w:lvl>
    <w:lvl w:ilvl="8" w:tplc="3C285C2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B8"/>
    <w:rsid w:val="003B1362"/>
    <w:rsid w:val="00571BF6"/>
    <w:rsid w:val="00714FB8"/>
    <w:rsid w:val="00844128"/>
    <w:rsid w:val="00984492"/>
    <w:rsid w:val="00A22D83"/>
    <w:rsid w:val="00A83025"/>
    <w:rsid w:val="00DC2FD1"/>
    <w:rsid w:val="00DF2A1C"/>
    <w:rsid w:val="00E01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9F32"/>
  <w15:docId w15:val="{80309211-4D5F-450A-A281-D8ADD122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84068">
      <w:bodyDiv w:val="1"/>
      <w:marLeft w:val="0"/>
      <w:marRight w:val="0"/>
      <w:marTop w:val="0"/>
      <w:marBottom w:val="0"/>
      <w:divBdr>
        <w:top w:val="none" w:sz="0" w:space="0" w:color="auto"/>
        <w:left w:val="none" w:sz="0" w:space="0" w:color="auto"/>
        <w:bottom w:val="none" w:sz="0" w:space="0" w:color="auto"/>
        <w:right w:val="none" w:sz="0" w:space="0" w:color="auto"/>
      </w:divBdr>
      <w:divsChild>
        <w:div w:id="1848247008">
          <w:marLeft w:val="0"/>
          <w:marRight w:val="0"/>
          <w:marTop w:val="0"/>
          <w:marBottom w:val="0"/>
          <w:divBdr>
            <w:top w:val="none" w:sz="0" w:space="0" w:color="auto"/>
            <w:left w:val="none" w:sz="0" w:space="0" w:color="auto"/>
            <w:bottom w:val="none" w:sz="0" w:space="0" w:color="auto"/>
            <w:right w:val="none" w:sz="0" w:space="0" w:color="auto"/>
          </w:divBdr>
          <w:divsChild>
            <w:div w:id="2024046424">
              <w:marLeft w:val="0"/>
              <w:marRight w:val="0"/>
              <w:marTop w:val="0"/>
              <w:marBottom w:val="0"/>
              <w:divBdr>
                <w:top w:val="none" w:sz="0" w:space="0" w:color="auto"/>
                <w:left w:val="none" w:sz="0" w:space="0" w:color="auto"/>
                <w:bottom w:val="none" w:sz="0" w:space="0" w:color="auto"/>
                <w:right w:val="none" w:sz="0" w:space="0" w:color="auto"/>
              </w:divBdr>
              <w:divsChild>
                <w:div w:id="1040201742">
                  <w:marLeft w:val="0"/>
                  <w:marRight w:val="0"/>
                  <w:marTop w:val="0"/>
                  <w:marBottom w:val="0"/>
                  <w:divBdr>
                    <w:top w:val="none" w:sz="0" w:space="0" w:color="auto"/>
                    <w:left w:val="none" w:sz="0" w:space="0" w:color="auto"/>
                    <w:bottom w:val="none" w:sz="0" w:space="0" w:color="auto"/>
                    <w:right w:val="none" w:sz="0" w:space="0" w:color="auto"/>
                  </w:divBdr>
                  <w:divsChild>
                    <w:div w:id="1510607227">
                      <w:marLeft w:val="0"/>
                      <w:marRight w:val="0"/>
                      <w:marTop w:val="0"/>
                      <w:marBottom w:val="0"/>
                      <w:divBdr>
                        <w:top w:val="none" w:sz="0" w:space="0" w:color="auto"/>
                        <w:left w:val="none" w:sz="0" w:space="0" w:color="auto"/>
                        <w:bottom w:val="none" w:sz="0" w:space="0" w:color="auto"/>
                        <w:right w:val="none" w:sz="0" w:space="0" w:color="auto"/>
                      </w:divBdr>
                      <w:divsChild>
                        <w:div w:id="831870380">
                          <w:marLeft w:val="2325"/>
                          <w:marRight w:val="0"/>
                          <w:marTop w:val="0"/>
                          <w:marBottom w:val="0"/>
                          <w:divBdr>
                            <w:top w:val="none" w:sz="0" w:space="0" w:color="auto"/>
                            <w:left w:val="none" w:sz="0" w:space="0" w:color="auto"/>
                            <w:bottom w:val="none" w:sz="0" w:space="0" w:color="auto"/>
                            <w:right w:val="none" w:sz="0" w:space="0" w:color="auto"/>
                          </w:divBdr>
                          <w:divsChild>
                            <w:div w:id="1330139283">
                              <w:marLeft w:val="0"/>
                              <w:marRight w:val="0"/>
                              <w:marTop w:val="0"/>
                              <w:marBottom w:val="0"/>
                              <w:divBdr>
                                <w:top w:val="none" w:sz="0" w:space="0" w:color="auto"/>
                                <w:left w:val="none" w:sz="0" w:space="0" w:color="auto"/>
                                <w:bottom w:val="none" w:sz="0" w:space="0" w:color="auto"/>
                                <w:right w:val="none" w:sz="0" w:space="0" w:color="auto"/>
                              </w:divBdr>
                              <w:divsChild>
                                <w:div w:id="360519263">
                                  <w:marLeft w:val="0"/>
                                  <w:marRight w:val="0"/>
                                  <w:marTop w:val="0"/>
                                  <w:marBottom w:val="0"/>
                                  <w:divBdr>
                                    <w:top w:val="none" w:sz="0" w:space="0" w:color="auto"/>
                                    <w:left w:val="none" w:sz="0" w:space="0" w:color="auto"/>
                                    <w:bottom w:val="none" w:sz="0" w:space="0" w:color="auto"/>
                                    <w:right w:val="none" w:sz="0" w:space="0" w:color="auto"/>
                                  </w:divBdr>
                                  <w:divsChild>
                                    <w:div w:id="94911743">
                                      <w:marLeft w:val="0"/>
                                      <w:marRight w:val="0"/>
                                      <w:marTop w:val="0"/>
                                      <w:marBottom w:val="0"/>
                                      <w:divBdr>
                                        <w:top w:val="none" w:sz="0" w:space="0" w:color="auto"/>
                                        <w:left w:val="none" w:sz="0" w:space="0" w:color="auto"/>
                                        <w:bottom w:val="none" w:sz="0" w:space="0" w:color="auto"/>
                                        <w:right w:val="none" w:sz="0" w:space="0" w:color="auto"/>
                                      </w:divBdr>
                                      <w:divsChild>
                                        <w:div w:id="488133518">
                                          <w:marLeft w:val="480"/>
                                          <w:marRight w:val="0"/>
                                          <w:marTop w:val="0"/>
                                          <w:marBottom w:val="0"/>
                                          <w:divBdr>
                                            <w:top w:val="none" w:sz="0" w:space="0" w:color="auto"/>
                                            <w:left w:val="none" w:sz="0" w:space="0" w:color="auto"/>
                                            <w:bottom w:val="none" w:sz="0" w:space="0" w:color="auto"/>
                                            <w:right w:val="none" w:sz="0" w:space="0" w:color="auto"/>
                                          </w:divBdr>
                                          <w:divsChild>
                                            <w:div w:id="42603642">
                                              <w:marLeft w:val="0"/>
                                              <w:marRight w:val="0"/>
                                              <w:marTop w:val="0"/>
                                              <w:marBottom w:val="0"/>
                                              <w:divBdr>
                                                <w:top w:val="none" w:sz="0" w:space="0" w:color="auto"/>
                                                <w:left w:val="none" w:sz="0" w:space="0" w:color="auto"/>
                                                <w:bottom w:val="none" w:sz="0" w:space="0" w:color="auto"/>
                                                <w:right w:val="none" w:sz="0" w:space="0" w:color="auto"/>
                                              </w:divBdr>
                                              <w:divsChild>
                                                <w:div w:id="423959484">
                                                  <w:marLeft w:val="0"/>
                                                  <w:marRight w:val="0"/>
                                                  <w:marTop w:val="0"/>
                                                  <w:marBottom w:val="0"/>
                                                  <w:divBdr>
                                                    <w:top w:val="none" w:sz="0" w:space="0" w:color="auto"/>
                                                    <w:left w:val="none" w:sz="0" w:space="0" w:color="auto"/>
                                                    <w:bottom w:val="none" w:sz="0" w:space="0" w:color="auto"/>
                                                    <w:right w:val="none" w:sz="0" w:space="0" w:color="auto"/>
                                                  </w:divBdr>
                                                  <w:divsChild>
                                                    <w:div w:id="817192530">
                                                      <w:marLeft w:val="0"/>
                                                      <w:marRight w:val="0"/>
                                                      <w:marTop w:val="0"/>
                                                      <w:marBottom w:val="0"/>
                                                      <w:divBdr>
                                                        <w:top w:val="none" w:sz="0" w:space="0" w:color="auto"/>
                                                        <w:left w:val="none" w:sz="0" w:space="0" w:color="auto"/>
                                                        <w:bottom w:val="none" w:sz="0" w:space="0" w:color="auto"/>
                                                        <w:right w:val="none" w:sz="0" w:space="0" w:color="auto"/>
                                                      </w:divBdr>
                                                      <w:divsChild>
                                                        <w:div w:id="254553286">
                                                          <w:marLeft w:val="0"/>
                                                          <w:marRight w:val="0"/>
                                                          <w:marTop w:val="0"/>
                                                          <w:marBottom w:val="0"/>
                                                          <w:divBdr>
                                                            <w:top w:val="none" w:sz="0" w:space="0" w:color="auto"/>
                                                            <w:left w:val="none" w:sz="0" w:space="0" w:color="auto"/>
                                                            <w:bottom w:val="none" w:sz="0" w:space="0" w:color="auto"/>
                                                            <w:right w:val="none" w:sz="0" w:space="0" w:color="auto"/>
                                                          </w:divBdr>
                                                          <w:divsChild>
                                                            <w:div w:id="677777463">
                                                              <w:marLeft w:val="0"/>
                                                              <w:marRight w:val="0"/>
                                                              <w:marTop w:val="0"/>
                                                              <w:marBottom w:val="0"/>
                                                              <w:divBdr>
                                                                <w:top w:val="none" w:sz="0" w:space="0" w:color="auto"/>
                                                                <w:left w:val="none" w:sz="0" w:space="0" w:color="auto"/>
                                                                <w:bottom w:val="none" w:sz="0" w:space="0" w:color="auto"/>
                                                                <w:right w:val="none" w:sz="0" w:space="0" w:color="auto"/>
                                                              </w:divBdr>
                                                              <w:divsChild>
                                                                <w:div w:id="622462517">
                                                                  <w:marLeft w:val="0"/>
                                                                  <w:marRight w:val="0"/>
                                                                  <w:marTop w:val="0"/>
                                                                  <w:marBottom w:val="0"/>
                                                                  <w:divBdr>
                                                                    <w:top w:val="none" w:sz="0" w:space="0" w:color="auto"/>
                                                                    <w:left w:val="none" w:sz="0" w:space="0" w:color="auto"/>
                                                                    <w:bottom w:val="none" w:sz="0" w:space="0" w:color="auto"/>
                                                                    <w:right w:val="none" w:sz="0" w:space="0" w:color="auto"/>
                                                                  </w:divBdr>
                                                                  <w:divsChild>
                                                                    <w:div w:id="1101101188">
                                                                      <w:marLeft w:val="0"/>
                                                                      <w:marRight w:val="0"/>
                                                                      <w:marTop w:val="96"/>
                                                                      <w:marBottom w:val="0"/>
                                                                      <w:divBdr>
                                                                        <w:top w:val="none" w:sz="0" w:space="0" w:color="auto"/>
                                                                        <w:left w:val="none" w:sz="0" w:space="0" w:color="auto"/>
                                                                        <w:bottom w:val="none" w:sz="0" w:space="0" w:color="auto"/>
                                                                        <w:right w:val="none" w:sz="0" w:space="0" w:color="auto"/>
                                                                      </w:divBdr>
                                                                      <w:divsChild>
                                                                        <w:div w:id="560988408">
                                                                          <w:marLeft w:val="0"/>
                                                                          <w:marRight w:val="0"/>
                                                                          <w:marTop w:val="72"/>
                                                                          <w:marBottom w:val="0"/>
                                                                          <w:divBdr>
                                                                            <w:top w:val="none" w:sz="0" w:space="0" w:color="auto"/>
                                                                            <w:left w:val="none" w:sz="0" w:space="0" w:color="auto"/>
                                                                            <w:bottom w:val="none" w:sz="0" w:space="0" w:color="auto"/>
                                                                            <w:right w:val="none" w:sz="0" w:space="0" w:color="auto"/>
                                                                          </w:divBdr>
                                                                        </w:div>
                                                                      </w:divsChild>
                                                                    </w:div>
                                                                    <w:div w:id="2048486605">
                                                                      <w:marLeft w:val="0"/>
                                                                      <w:marRight w:val="0"/>
                                                                      <w:marTop w:val="96"/>
                                                                      <w:marBottom w:val="0"/>
                                                                      <w:divBdr>
                                                                        <w:top w:val="none" w:sz="0" w:space="0" w:color="auto"/>
                                                                        <w:left w:val="none" w:sz="0" w:space="0" w:color="auto"/>
                                                                        <w:bottom w:val="none" w:sz="0" w:space="0" w:color="auto"/>
                                                                        <w:right w:val="none" w:sz="0" w:space="0" w:color="auto"/>
                                                                      </w:divBdr>
                                                                      <w:divsChild>
                                                                        <w:div w:id="20252564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JE6N4JFJXNNF-9-68865</_dlc_DocId>
    <_dlc_DocIdUrl xmlns="8b66ae41-1ec6-402e-b662-35d1932ca064">
      <Url>http://rkdhs-sb/enhet/EUKansli/_layouts/DocIdRedir.aspx?ID=JE6N4JFJXNNF-9-68865</Url>
      <Description>JE6N4JFJXNNF-9-68865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45FD-54E5-4711-AC95-C4F8446BC7E2}">
  <ds:schemaRefs>
    <ds:schemaRef ds:uri="http://schemas.microsoft.com/sharepoint/v3/contenttype/forms"/>
  </ds:schemaRefs>
</ds:datastoreItem>
</file>

<file path=customXml/itemProps2.xml><?xml version="1.0" encoding="utf-8"?>
<ds:datastoreItem xmlns:ds="http://schemas.openxmlformats.org/officeDocument/2006/customXml" ds:itemID="{D839D013-EB98-4396-AEAD-2C3EC2D2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1E049-B5F4-4AFE-A037-A73477F20466}">
  <ds:schemaRefs>
    <ds:schemaRef ds:uri="http://schemas.microsoft.com/sharepoint/events"/>
  </ds:schemaRefs>
</ds:datastoreItem>
</file>

<file path=customXml/itemProps4.xml><?xml version="1.0" encoding="utf-8"?>
<ds:datastoreItem xmlns:ds="http://schemas.openxmlformats.org/officeDocument/2006/customXml" ds:itemID="{E8994518-3C8F-4C12-85AC-68B691071C55}">
  <ds:schemaRefs>
    <ds:schemaRef ds:uri="http://schemas.microsoft.com/office/2006/metadata/customXsn"/>
  </ds:schemaRefs>
</ds:datastoreItem>
</file>

<file path=customXml/itemProps5.xml><?xml version="1.0" encoding="utf-8"?>
<ds:datastoreItem xmlns:ds="http://schemas.openxmlformats.org/officeDocument/2006/customXml" ds:itemID="{4C4BCAF8-259D-4101-9070-5B94810DFDEC}">
  <ds:schemaRefs>
    <ds:schemaRef ds:uri="http://schemas.microsoft.com/sharepoint/v3/contenttype/forms/url"/>
  </ds:schemaRefs>
</ds:datastoreItem>
</file>

<file path=customXml/itemProps6.xml><?xml version="1.0" encoding="utf-8"?>
<ds:datastoreItem xmlns:ds="http://schemas.openxmlformats.org/officeDocument/2006/customXml" ds:itemID="{1C81AC5E-05CE-4D24-A179-6C268606027C}">
  <ds:schemaRefs>
    <ds:schemaRef ds:uri="e4c0beb7-0294-4d25-9600-346807c0961e"/>
    <ds:schemaRef ds:uri="http://schemas.microsoft.com/office/2006/metadata/properties"/>
    <ds:schemaRef ds:uri="http://schemas.openxmlformats.org/package/2006/metadata/core-properties"/>
    <ds:schemaRef ds:uri="8b66ae41-1ec6-402e-b662-35d1932ca064"/>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7.xml><?xml version="1.0" encoding="utf-8"?>
<ds:datastoreItem xmlns:ds="http://schemas.openxmlformats.org/officeDocument/2006/customXml" ds:itemID="{46C759FC-52B4-4B49-8123-39EFAB82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2658</Words>
  <Characters>15287</Characters>
  <Application>Microsoft Office Word</Application>
  <DocSecurity>4</DocSecurity>
  <Lines>347</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2015-09-03T11:45:00Z</cp:lastPrinted>
  <dcterms:created xsi:type="dcterms:W3CDTF">2015-09-03T12:17:00Z</dcterms:created>
  <dcterms:modified xsi:type="dcterms:W3CDTF">2015-09-03T12:17:00Z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16e2041c-2916-4a89-b0aa-20e647b12896</vt:lpwstr>
  </property>
</Properties>
</file>