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7FE" w:rsidRPr="00672B31" w:rsidRDefault="00AC67FE">
      <w:pPr>
        <w:pStyle w:val="Rubrik1"/>
        <w:shd w:val="clear" w:color="000000" w:fill="auto"/>
      </w:pPr>
      <w:r w:rsidRPr="00672B31">
        <w:t>Sammanfattning</w:t>
      </w:r>
    </w:p>
    <w:p w:rsidR="00AC67FE" w:rsidRPr="00672B31" w:rsidRDefault="00AC67FE">
      <w:pPr>
        <w:shd w:val="clear" w:color="000000" w:fill="auto"/>
      </w:pPr>
      <w:r w:rsidRPr="00672B31">
        <w:t>Vänsterpartiet föreslår att en individualisering av föräldraförsäkringen genomförs 2012 och anvisar 2 110 miljoner kronor för detta. Detta är en nö</w:t>
      </w:r>
      <w:r w:rsidRPr="00672B31">
        <w:t>d</w:t>
      </w:r>
      <w:r w:rsidRPr="00672B31">
        <w:t>vändig reform för att ge barn tillgång till båda sina föräldrar och för att bryta den ordning på arbetsmarknaden som diskriminerar kvinnor, fördelningen mellan betalt och obetalt arbete och den föreställningen om vilket ansvar kvinnor respektive män har i förhållande till sina barn. För att stärka de ek</w:t>
      </w:r>
      <w:r w:rsidRPr="00672B31">
        <w:t>o</w:t>
      </w:r>
      <w:r w:rsidRPr="00672B31">
        <w:t>nomiska villkoren för ensamstående föräldrar föreslår vi en höjning av unde</w:t>
      </w:r>
      <w:r w:rsidRPr="00672B31">
        <w:t>r</w:t>
      </w:r>
      <w:r w:rsidRPr="00672B31">
        <w:t>hållsstödet med 200 kronor och att det samtidigt värdesäkras genom att kn</w:t>
      </w:r>
      <w:r w:rsidRPr="00672B31">
        <w:t>y</w:t>
      </w:r>
      <w:r w:rsidRPr="00672B31">
        <w:t>tas till prisbasbeloppet. Vi föreslår även en höjning av</w:t>
      </w:r>
      <w:r w:rsidRPr="00672B31">
        <w:t xml:space="preserve"> underhållsstödet med ytterligare 200 kronor för barn från det år de fyller 13 år. Vi avvisar de stora besparingarna regeringen gör på föräldraförsäkringen och anvisar medel för att påbörja en stegvis höjning av taket för havandeskapspenning och tillfällig föräldrapenning. Dessutom anvisar vi medel för att återställa ersättningsniv</w:t>
      </w:r>
      <w:r w:rsidRPr="00672B31">
        <w:t>å</w:t>
      </w:r>
      <w:r w:rsidRPr="00672B31">
        <w:t>erna för alla föräldralediga till 80 procent genom att avvisa den beräkning</w:t>
      </w:r>
      <w:r w:rsidRPr="00672B31">
        <w:t>s</w:t>
      </w:r>
      <w:r w:rsidRPr="00672B31">
        <w:t>grund regeringen infört för SGI. Vi anvisar också medel för att förbättra b</w:t>
      </w:r>
      <w:r w:rsidRPr="00672B31">
        <w:t>o</w:t>
      </w:r>
      <w:r w:rsidRPr="00672B31">
        <w:t>stadsbidraget för ensamstå</w:t>
      </w:r>
      <w:r w:rsidRPr="00672B31">
        <w:t>ende föräldrar.</w:t>
      </w:r>
    </w:p>
    <w:p w:rsidR="00AC67FE" w:rsidRPr="00672B31" w:rsidRDefault="00AC67FE">
      <w:pPr>
        <w:pStyle w:val="Frslagsrubrik"/>
        <w:shd w:val="clear" w:color="000000" w:fill="auto"/>
      </w:pPr>
      <w:r w:rsidRPr="00672B31">
        <w:t>Förslag till riksdagsbeslut</w:t>
      </w:r>
    </w:p>
    <w:p w:rsidR="00AC67FE" w:rsidRPr="00672B31" w:rsidRDefault="00AC67FE">
      <w:pPr>
        <w:pStyle w:val="Hemstlatt"/>
        <w:shd w:val="clear" w:color="000000" w:fill="auto"/>
        <w:ind w:left="0"/>
      </w:pPr>
      <w:r w:rsidRPr="00672B31">
        <w:t>Riksdagen anvisar med följande ändringar i förhålla</w:t>
      </w:r>
      <w:r w:rsidRPr="00672B31">
        <w:t>n</w:t>
      </w:r>
      <w:r w:rsidRPr="00672B31">
        <w:t>de till regeringens förslag anslagen under utgiftsområde 12 Ekonomisk tryg</w:t>
      </w:r>
      <w:r w:rsidRPr="00672B31">
        <w:t>g</w:t>
      </w:r>
      <w:r w:rsidRPr="00672B31">
        <w:t>het för familjer och barn enligt uppställning:</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95"/>
        <w:gridCol w:w="1680"/>
        <w:gridCol w:w="1920"/>
        <w:gridCol w:w="1859"/>
      </w:tblGrid>
      <w:tr w:rsidR="00000000" w:rsidRPr="00672B31">
        <w:tc>
          <w:tcPr>
            <w:tcW w:w="495" w:type="dxa"/>
            <w:tcBorders>
              <w:top w:val="single" w:sz="4" w:space="0" w:color="auto"/>
              <w:bottom w:val="single" w:sz="4" w:space="0" w:color="auto"/>
            </w:tcBorders>
          </w:tcPr>
          <w:p w:rsidR="00AC67FE" w:rsidRPr="00672B31" w:rsidRDefault="00AC67FE">
            <w:pPr>
              <w:shd w:val="clear" w:color="000000" w:fill="auto"/>
              <w:spacing w:before="60" w:line="200" w:lineRule="exact"/>
              <w:rPr>
                <w:b/>
                <w:bCs/>
                <w:color w:val="000000"/>
                <w:sz w:val="16"/>
                <w:szCs w:val="16"/>
              </w:rPr>
            </w:pPr>
          </w:p>
        </w:tc>
        <w:tc>
          <w:tcPr>
            <w:tcW w:w="1680" w:type="dxa"/>
            <w:tcBorders>
              <w:top w:val="single" w:sz="4" w:space="0" w:color="auto"/>
              <w:bottom w:val="single" w:sz="4" w:space="0" w:color="auto"/>
            </w:tcBorders>
          </w:tcPr>
          <w:p w:rsidR="00AC67FE" w:rsidRPr="00672B31" w:rsidRDefault="00AC67FE">
            <w:pPr>
              <w:shd w:val="clear" w:color="000000" w:fill="auto"/>
              <w:spacing w:before="60" w:line="200" w:lineRule="exact"/>
              <w:rPr>
                <w:b/>
                <w:bCs/>
                <w:color w:val="000000"/>
                <w:sz w:val="16"/>
                <w:szCs w:val="16"/>
              </w:rPr>
            </w:pPr>
            <w:r w:rsidRPr="00672B31">
              <w:rPr>
                <w:b/>
                <w:bCs/>
                <w:color w:val="000000"/>
                <w:sz w:val="16"/>
                <w:szCs w:val="16"/>
              </w:rPr>
              <w:t>Anslag</w:t>
            </w:r>
          </w:p>
        </w:tc>
        <w:tc>
          <w:tcPr>
            <w:tcW w:w="1920" w:type="dxa"/>
            <w:tcBorders>
              <w:top w:val="single" w:sz="4" w:space="0" w:color="auto"/>
              <w:bottom w:val="single" w:sz="4" w:space="0" w:color="auto"/>
            </w:tcBorders>
          </w:tcPr>
          <w:p w:rsidR="00AC67FE" w:rsidRPr="00672B31" w:rsidRDefault="00AC67FE">
            <w:pPr>
              <w:shd w:val="clear" w:color="000000" w:fill="auto"/>
              <w:spacing w:before="60" w:line="200" w:lineRule="exact"/>
              <w:jc w:val="right"/>
              <w:rPr>
                <w:b/>
                <w:bCs/>
                <w:color w:val="000000"/>
                <w:sz w:val="16"/>
                <w:szCs w:val="16"/>
              </w:rPr>
            </w:pPr>
            <w:r w:rsidRPr="00672B31">
              <w:rPr>
                <w:b/>
                <w:bCs/>
                <w:color w:val="000000"/>
                <w:sz w:val="16"/>
                <w:szCs w:val="16"/>
              </w:rPr>
              <w:t>Regeringens förslag (tkr)</w:t>
            </w:r>
          </w:p>
        </w:tc>
        <w:tc>
          <w:tcPr>
            <w:tcW w:w="1859" w:type="dxa"/>
            <w:tcBorders>
              <w:top w:val="single" w:sz="4" w:space="0" w:color="auto"/>
              <w:bottom w:val="single" w:sz="4" w:space="0" w:color="auto"/>
            </w:tcBorders>
          </w:tcPr>
          <w:p w:rsidR="00AC67FE" w:rsidRPr="00672B31" w:rsidRDefault="00AC67FE">
            <w:pPr>
              <w:shd w:val="clear" w:color="000000" w:fill="auto"/>
              <w:spacing w:before="60" w:line="200" w:lineRule="exact"/>
              <w:jc w:val="right"/>
              <w:rPr>
                <w:b/>
                <w:bCs/>
                <w:color w:val="000000"/>
                <w:sz w:val="16"/>
                <w:szCs w:val="16"/>
              </w:rPr>
            </w:pPr>
            <w:r w:rsidRPr="00672B31">
              <w:rPr>
                <w:b/>
                <w:bCs/>
                <w:color w:val="000000"/>
                <w:sz w:val="16"/>
                <w:szCs w:val="16"/>
              </w:rPr>
              <w:t>Anslagsförändring (tkr)</w:t>
            </w:r>
          </w:p>
        </w:tc>
      </w:tr>
      <w:tr w:rsidR="00000000" w:rsidRPr="00672B31">
        <w:tc>
          <w:tcPr>
            <w:tcW w:w="495" w:type="dxa"/>
            <w:tcBorders>
              <w:top w:val="single" w:sz="4" w:space="0" w:color="auto"/>
            </w:tcBorders>
          </w:tcPr>
          <w:p w:rsidR="00AC67FE" w:rsidRPr="00672B31" w:rsidRDefault="00AC67FE">
            <w:pPr>
              <w:shd w:val="clear" w:color="000000" w:fill="auto"/>
              <w:spacing w:before="60" w:line="200" w:lineRule="exact"/>
              <w:rPr>
                <w:color w:val="000000"/>
                <w:sz w:val="16"/>
                <w:szCs w:val="16"/>
              </w:rPr>
            </w:pPr>
            <w:r w:rsidRPr="00672B31">
              <w:rPr>
                <w:color w:val="000000"/>
                <w:sz w:val="16"/>
                <w:szCs w:val="16"/>
              </w:rPr>
              <w:t>1:2</w:t>
            </w:r>
          </w:p>
        </w:tc>
        <w:tc>
          <w:tcPr>
            <w:tcW w:w="1680" w:type="dxa"/>
            <w:tcBorders>
              <w:top w:val="single" w:sz="4" w:space="0" w:color="auto"/>
            </w:tcBorders>
          </w:tcPr>
          <w:p w:rsidR="00AC67FE" w:rsidRPr="00672B31" w:rsidRDefault="00AC67FE">
            <w:pPr>
              <w:shd w:val="clear" w:color="000000" w:fill="auto"/>
              <w:spacing w:before="60" w:line="200" w:lineRule="exact"/>
              <w:rPr>
                <w:color w:val="000000"/>
                <w:sz w:val="16"/>
                <w:szCs w:val="16"/>
              </w:rPr>
            </w:pPr>
            <w:r w:rsidRPr="00672B31">
              <w:rPr>
                <w:color w:val="000000"/>
                <w:sz w:val="16"/>
                <w:szCs w:val="16"/>
              </w:rPr>
              <w:t>Föräldraförsäkring</w:t>
            </w:r>
          </w:p>
        </w:tc>
        <w:tc>
          <w:tcPr>
            <w:tcW w:w="1920" w:type="dxa"/>
            <w:tcBorders>
              <w:top w:val="single" w:sz="4" w:space="0" w:color="auto"/>
            </w:tcBorders>
          </w:tcPr>
          <w:p w:rsidR="00AC67FE" w:rsidRPr="00672B31" w:rsidRDefault="00AC67FE">
            <w:pPr>
              <w:shd w:val="clear" w:color="000000" w:fill="auto"/>
              <w:spacing w:before="60" w:line="200" w:lineRule="exact"/>
              <w:jc w:val="right"/>
              <w:rPr>
                <w:color w:val="000000"/>
                <w:sz w:val="16"/>
                <w:szCs w:val="16"/>
              </w:rPr>
            </w:pPr>
            <w:r w:rsidRPr="00672B31">
              <w:rPr>
                <w:color w:val="000000"/>
                <w:sz w:val="16"/>
                <w:szCs w:val="16"/>
              </w:rPr>
              <w:t>35 464 174</w:t>
            </w:r>
          </w:p>
        </w:tc>
        <w:tc>
          <w:tcPr>
            <w:tcW w:w="1859" w:type="dxa"/>
            <w:tcBorders>
              <w:top w:val="single" w:sz="4" w:space="0" w:color="auto"/>
            </w:tcBorders>
          </w:tcPr>
          <w:p w:rsidR="00AC67FE" w:rsidRPr="00672B31" w:rsidRDefault="00AC67FE">
            <w:pPr>
              <w:shd w:val="clear" w:color="000000" w:fill="auto"/>
              <w:spacing w:before="60" w:line="200" w:lineRule="exact"/>
              <w:jc w:val="right"/>
              <w:rPr>
                <w:color w:val="000000"/>
                <w:sz w:val="16"/>
                <w:szCs w:val="16"/>
              </w:rPr>
            </w:pPr>
            <w:r w:rsidRPr="00672B31">
              <w:rPr>
                <w:color w:val="000000"/>
                <w:sz w:val="16"/>
                <w:szCs w:val="16"/>
              </w:rPr>
              <w:t>+2 865</w:t>
            </w:r>
          </w:p>
        </w:tc>
      </w:tr>
      <w:tr w:rsidR="00000000" w:rsidRPr="00672B31">
        <w:tc>
          <w:tcPr>
            <w:tcW w:w="495" w:type="dxa"/>
          </w:tcPr>
          <w:p w:rsidR="00AC67FE" w:rsidRPr="00672B31" w:rsidRDefault="00AC67FE">
            <w:pPr>
              <w:shd w:val="clear" w:color="000000" w:fill="auto"/>
              <w:spacing w:before="60" w:line="200" w:lineRule="exact"/>
              <w:rPr>
                <w:color w:val="000000"/>
                <w:sz w:val="16"/>
                <w:szCs w:val="16"/>
              </w:rPr>
            </w:pPr>
            <w:r w:rsidRPr="00672B31">
              <w:rPr>
                <w:color w:val="000000"/>
                <w:sz w:val="16"/>
                <w:szCs w:val="16"/>
              </w:rPr>
              <w:t>1:3</w:t>
            </w:r>
          </w:p>
        </w:tc>
        <w:tc>
          <w:tcPr>
            <w:tcW w:w="1680" w:type="dxa"/>
          </w:tcPr>
          <w:p w:rsidR="00AC67FE" w:rsidRPr="00672B31" w:rsidRDefault="00AC67FE">
            <w:pPr>
              <w:shd w:val="clear" w:color="000000" w:fill="auto"/>
              <w:spacing w:before="60" w:line="200" w:lineRule="exact"/>
              <w:rPr>
                <w:color w:val="000000"/>
                <w:sz w:val="16"/>
                <w:szCs w:val="16"/>
              </w:rPr>
            </w:pPr>
            <w:r w:rsidRPr="00672B31">
              <w:rPr>
                <w:color w:val="000000"/>
                <w:sz w:val="16"/>
                <w:szCs w:val="16"/>
              </w:rPr>
              <w:t>Underhållsstöd</w:t>
            </w:r>
          </w:p>
        </w:tc>
        <w:tc>
          <w:tcPr>
            <w:tcW w:w="1920" w:type="dxa"/>
          </w:tcPr>
          <w:p w:rsidR="00AC67FE" w:rsidRPr="00672B31" w:rsidRDefault="00AC67FE">
            <w:pPr>
              <w:shd w:val="clear" w:color="000000" w:fill="auto"/>
              <w:spacing w:before="60" w:line="200" w:lineRule="exact"/>
              <w:jc w:val="right"/>
              <w:rPr>
                <w:color w:val="000000"/>
                <w:sz w:val="16"/>
                <w:szCs w:val="16"/>
              </w:rPr>
            </w:pPr>
            <w:r w:rsidRPr="00672B31">
              <w:rPr>
                <w:color w:val="000000"/>
                <w:sz w:val="16"/>
                <w:szCs w:val="16"/>
              </w:rPr>
              <w:t>1 982 900</w:t>
            </w:r>
          </w:p>
        </w:tc>
        <w:tc>
          <w:tcPr>
            <w:tcW w:w="1859" w:type="dxa"/>
          </w:tcPr>
          <w:p w:rsidR="00AC67FE" w:rsidRPr="00672B31" w:rsidRDefault="00AC67FE">
            <w:pPr>
              <w:shd w:val="clear" w:color="000000" w:fill="auto"/>
              <w:spacing w:before="60" w:line="200" w:lineRule="exact"/>
              <w:jc w:val="right"/>
              <w:rPr>
                <w:color w:val="000000"/>
                <w:sz w:val="16"/>
                <w:szCs w:val="16"/>
              </w:rPr>
            </w:pPr>
            <w:r w:rsidRPr="00672B31">
              <w:rPr>
                <w:sz w:val="16"/>
                <w:szCs w:val="16"/>
              </w:rPr>
              <w:t>+1 600</w:t>
            </w:r>
          </w:p>
        </w:tc>
      </w:tr>
      <w:tr w:rsidR="00000000" w:rsidRPr="00672B31">
        <w:tc>
          <w:tcPr>
            <w:tcW w:w="495" w:type="dxa"/>
          </w:tcPr>
          <w:p w:rsidR="00AC67FE" w:rsidRPr="00672B31" w:rsidRDefault="00AC67FE">
            <w:pPr>
              <w:shd w:val="clear" w:color="000000" w:fill="auto"/>
              <w:spacing w:before="60" w:line="200" w:lineRule="exact"/>
              <w:rPr>
                <w:color w:val="000000"/>
                <w:sz w:val="16"/>
                <w:szCs w:val="16"/>
              </w:rPr>
            </w:pPr>
            <w:r w:rsidRPr="00672B31">
              <w:rPr>
                <w:color w:val="000000"/>
                <w:sz w:val="16"/>
                <w:szCs w:val="16"/>
              </w:rPr>
              <w:t>1:8</w:t>
            </w:r>
          </w:p>
        </w:tc>
        <w:tc>
          <w:tcPr>
            <w:tcW w:w="1680" w:type="dxa"/>
          </w:tcPr>
          <w:p w:rsidR="00AC67FE" w:rsidRPr="00672B31" w:rsidRDefault="00AC67FE">
            <w:pPr>
              <w:shd w:val="clear" w:color="000000" w:fill="auto"/>
              <w:spacing w:before="60" w:line="200" w:lineRule="exact"/>
              <w:rPr>
                <w:color w:val="000000"/>
                <w:sz w:val="16"/>
                <w:szCs w:val="16"/>
              </w:rPr>
            </w:pPr>
            <w:r w:rsidRPr="00672B31">
              <w:rPr>
                <w:color w:val="000000"/>
                <w:sz w:val="16"/>
                <w:szCs w:val="16"/>
              </w:rPr>
              <w:t>Bostadsbidrag</w:t>
            </w:r>
          </w:p>
        </w:tc>
        <w:tc>
          <w:tcPr>
            <w:tcW w:w="1920" w:type="dxa"/>
          </w:tcPr>
          <w:p w:rsidR="00AC67FE" w:rsidRPr="00672B31" w:rsidRDefault="00AC67FE">
            <w:pPr>
              <w:shd w:val="clear" w:color="000000" w:fill="auto"/>
              <w:spacing w:before="60" w:line="200" w:lineRule="exact"/>
              <w:jc w:val="right"/>
              <w:rPr>
                <w:color w:val="000000"/>
                <w:sz w:val="16"/>
                <w:szCs w:val="16"/>
              </w:rPr>
            </w:pPr>
            <w:r w:rsidRPr="00672B31">
              <w:rPr>
                <w:color w:val="000000"/>
                <w:sz w:val="16"/>
                <w:szCs w:val="16"/>
              </w:rPr>
              <w:t>4 617 000</w:t>
            </w:r>
          </w:p>
        </w:tc>
        <w:tc>
          <w:tcPr>
            <w:tcW w:w="1859" w:type="dxa"/>
          </w:tcPr>
          <w:p w:rsidR="00AC67FE" w:rsidRPr="00672B31" w:rsidRDefault="00AC67FE">
            <w:pPr>
              <w:shd w:val="clear" w:color="000000" w:fill="auto"/>
              <w:spacing w:before="60" w:line="200" w:lineRule="exact"/>
              <w:jc w:val="right"/>
              <w:rPr>
                <w:color w:val="000000"/>
                <w:sz w:val="16"/>
                <w:szCs w:val="16"/>
              </w:rPr>
            </w:pPr>
            <w:r w:rsidRPr="00672B31">
              <w:rPr>
                <w:color w:val="000000"/>
                <w:sz w:val="16"/>
                <w:szCs w:val="16"/>
              </w:rPr>
              <w:t>+290</w:t>
            </w:r>
          </w:p>
        </w:tc>
      </w:tr>
      <w:tr w:rsidR="00000000" w:rsidRPr="00672B31">
        <w:tc>
          <w:tcPr>
            <w:tcW w:w="495" w:type="dxa"/>
          </w:tcPr>
          <w:p w:rsidR="00AC67FE" w:rsidRPr="00672B31" w:rsidRDefault="00AC67FE">
            <w:pPr>
              <w:shd w:val="clear" w:color="000000" w:fill="auto"/>
              <w:spacing w:before="60" w:line="200" w:lineRule="exact"/>
              <w:rPr>
                <w:b/>
                <w:bCs/>
                <w:color w:val="000000"/>
                <w:sz w:val="16"/>
                <w:szCs w:val="16"/>
              </w:rPr>
            </w:pPr>
          </w:p>
        </w:tc>
        <w:tc>
          <w:tcPr>
            <w:tcW w:w="1680" w:type="dxa"/>
          </w:tcPr>
          <w:p w:rsidR="00AC67FE" w:rsidRPr="00672B31" w:rsidRDefault="00AC67FE">
            <w:pPr>
              <w:shd w:val="clear" w:color="000000" w:fill="auto"/>
              <w:spacing w:before="60" w:line="200" w:lineRule="exact"/>
              <w:rPr>
                <w:b/>
                <w:bCs/>
                <w:color w:val="000000"/>
                <w:sz w:val="16"/>
                <w:szCs w:val="16"/>
              </w:rPr>
            </w:pPr>
            <w:r w:rsidRPr="00672B31">
              <w:rPr>
                <w:b/>
                <w:bCs/>
                <w:color w:val="000000"/>
                <w:sz w:val="16"/>
                <w:szCs w:val="16"/>
              </w:rPr>
              <w:t>Summa</w:t>
            </w:r>
          </w:p>
        </w:tc>
        <w:tc>
          <w:tcPr>
            <w:tcW w:w="1920" w:type="dxa"/>
          </w:tcPr>
          <w:p w:rsidR="00AC67FE" w:rsidRPr="00672B31" w:rsidRDefault="00AC67FE">
            <w:pPr>
              <w:shd w:val="clear" w:color="000000" w:fill="auto"/>
              <w:spacing w:before="60" w:line="200" w:lineRule="exact"/>
              <w:jc w:val="right"/>
              <w:rPr>
                <w:b/>
                <w:bCs/>
                <w:color w:val="000000"/>
                <w:sz w:val="16"/>
                <w:szCs w:val="16"/>
              </w:rPr>
            </w:pPr>
          </w:p>
        </w:tc>
        <w:tc>
          <w:tcPr>
            <w:tcW w:w="1859" w:type="dxa"/>
          </w:tcPr>
          <w:p w:rsidR="00AC67FE" w:rsidRPr="00672B31" w:rsidRDefault="00AC67FE">
            <w:pPr>
              <w:shd w:val="clear" w:color="000000" w:fill="auto"/>
              <w:spacing w:before="60" w:line="200" w:lineRule="exact"/>
              <w:jc w:val="right"/>
              <w:rPr>
                <w:b/>
                <w:bCs/>
                <w:color w:val="000000"/>
                <w:sz w:val="16"/>
                <w:szCs w:val="16"/>
              </w:rPr>
            </w:pPr>
            <w:r w:rsidRPr="00672B31">
              <w:rPr>
                <w:b/>
                <w:bCs/>
                <w:color w:val="000000"/>
                <w:sz w:val="16"/>
                <w:szCs w:val="16"/>
              </w:rPr>
              <w:t>+4 755</w:t>
            </w:r>
          </w:p>
        </w:tc>
      </w:tr>
    </w:tbl>
    <w:p w:rsidR="00AC67FE" w:rsidRPr="00672B31" w:rsidRDefault="00AC67FE">
      <w:pPr>
        <w:pStyle w:val="Rubrik1"/>
        <w:shd w:val="clear" w:color="000000" w:fill="auto"/>
      </w:pPr>
      <w:r w:rsidRPr="00672B31">
        <w:t>1.1 Föräldraförsäkring</w:t>
      </w:r>
    </w:p>
    <w:p w:rsidR="00AC67FE" w:rsidRPr="00672B31" w:rsidRDefault="00AC67FE">
      <w:pPr>
        <w:shd w:val="clear" w:color="000000" w:fill="auto"/>
      </w:pPr>
      <w:r w:rsidRPr="00672B31">
        <w:t>Vänsterpartiet föreslår att en individualisering av föräldraförsäkringen genomförs 2012. Detta är en nödvändig reform för att ge barn tillgång till båda sina föräldrar, bryta diskrimineringen av kvinnor i arbetslivet samt ty</w:t>
      </w:r>
      <w:r w:rsidRPr="00672B31">
        <w:t>d</w:t>
      </w:r>
      <w:r w:rsidRPr="00672B31">
        <w:t>liggöra att kvinnor och män har lika stort ansvar för sina barn. Eftersom män har högre inkomster än kvinnor och i dag endast nyttjar cirka 23 procent av dagarna med föräldrapenning skulle en individualisering av föräldraförsä</w:t>
      </w:r>
      <w:r w:rsidRPr="00672B31">
        <w:t>k</w:t>
      </w:r>
      <w:r w:rsidRPr="00672B31">
        <w:t>ringen medföra ökade utgifter. Vi föreslår därför en ökning av anslaget med 2 110 miljoner kronor. Vi avvisar regeringens s.k. jämställdhetsbonus och därmed de minskade skatteintäkter på 245 miljoner kronor 2012 som följer av reformen.</w:t>
      </w:r>
    </w:p>
    <w:p w:rsidR="00AC67FE" w:rsidRPr="00672B31" w:rsidRDefault="00AC67FE">
      <w:pPr>
        <w:pStyle w:val="Normaltindrag"/>
        <w:shd w:val="clear" w:color="000000" w:fill="auto"/>
      </w:pPr>
      <w:r w:rsidRPr="00672B31">
        <w:t>Regeringen har sänkt taket för havandeskapspenni</w:t>
      </w:r>
      <w:r w:rsidRPr="00672B31">
        <w:t>ng och tillfällig föräl</w:t>
      </w:r>
      <w:r w:rsidRPr="00672B31">
        <w:t>d</w:t>
      </w:r>
      <w:r w:rsidRPr="00672B31">
        <w:t>rapenning från 10 till 7,5 basbelopp samt ersättningsnivån för alla föräldral</w:t>
      </w:r>
      <w:r w:rsidRPr="00672B31">
        <w:t>e</w:t>
      </w:r>
      <w:r w:rsidRPr="00672B31">
        <w:t>diga från 80 till 77,6 procent genom att införa beräkningsgrunden SGIx0,97. Vänsterpartiet avvisar dessa försämringar. Vi påbörjar en stegvis höjning av taket för havandeskapspenning och tillfällig föräldrapenning och anvisar 100 miljoner kronor för detta 2012. Dessutom anvisar vi medel för att återställa ersättningsnivåerna för alla föräldralediga till 80 procent genom att avvisa den beräkningsgrund regeri</w:t>
      </w:r>
      <w:r w:rsidRPr="00672B31">
        <w:t>ngen infört för SGI och anvisar 900 miljoner kronor i detta syfte 2012.</w:t>
      </w:r>
    </w:p>
    <w:p w:rsidR="00AC67FE" w:rsidRPr="00672B31" w:rsidRDefault="00AC67FE">
      <w:pPr>
        <w:pStyle w:val="Normaltindrag"/>
        <w:shd w:val="clear" w:color="000000" w:fill="auto"/>
      </w:pPr>
      <w:r w:rsidRPr="00672B31">
        <w:t>Sammantaget föreslår Vänsterpartiet en ökning av anslag 1:2 Föräldrafö</w:t>
      </w:r>
      <w:r w:rsidRPr="00672B31">
        <w:t>r</w:t>
      </w:r>
      <w:r w:rsidRPr="00672B31">
        <w:t>säkring med 2 865 miljoner kronor 2012 jämfört med regeringens förslag.</w:t>
      </w:r>
    </w:p>
    <w:p w:rsidR="00AC67FE" w:rsidRPr="00672B31" w:rsidRDefault="00AC67FE">
      <w:pPr>
        <w:pStyle w:val="Rubrik1"/>
        <w:shd w:val="clear" w:color="000000" w:fill="auto"/>
      </w:pPr>
      <w:r w:rsidRPr="00672B31">
        <w:t>1.3 Underhållsstöd</w:t>
      </w:r>
    </w:p>
    <w:p w:rsidR="00AC67FE" w:rsidRPr="00672B31" w:rsidRDefault="00AC67FE">
      <w:pPr>
        <w:shd w:val="clear" w:color="000000" w:fill="auto"/>
      </w:pPr>
      <w:r w:rsidRPr="00672B31">
        <w:t>Genom de regeländringar som gjordes av underhållsstödet 1994 blev ersät</w:t>
      </w:r>
      <w:r w:rsidRPr="00672B31">
        <w:t>t</w:t>
      </w:r>
      <w:r w:rsidRPr="00672B31">
        <w:t>ningsnivån beroende av regeringsbeslut för att höjas. Därefter låg stödet ofö</w:t>
      </w:r>
      <w:r w:rsidRPr="00672B31">
        <w:t>r</w:t>
      </w:r>
      <w:r w:rsidRPr="00672B31">
        <w:t>ändrat på samma nivå fram till den höjning på 100 kronor som genomfördes i och med budgetpropositionen för 2005. Stödets värde har därmed urholkats kraftigt. För att stärka de ekonomiska villkoren för ensamstående föräldrar föreslår Vänsterpartiet en höjning av underhållsstödet 2012 med 200 kronor per månad och att det samtidigt värdesäkras genom att knytas till prisbasb</w:t>
      </w:r>
      <w:r w:rsidRPr="00672B31">
        <w:t>e</w:t>
      </w:r>
      <w:r w:rsidRPr="00672B31">
        <w:t>loppet. Eftersom tonårsbarn är dyrare att försörja föreslår</w:t>
      </w:r>
      <w:r w:rsidRPr="00672B31">
        <w:t xml:space="preserve"> vi även en höjning av underhållsstödet med ytterligare 200 kronor per månad för barn från det år de fyller 13 år. I detta syfte ökar vi anslaget med 1 600 miljoner kronor 2012, 1 600 miljoner kronor 2013 och 1 700 miljoner kronor 2014. </w:t>
      </w:r>
    </w:p>
    <w:p w:rsidR="00AC67FE" w:rsidRPr="00672B31" w:rsidRDefault="00AC67FE">
      <w:pPr>
        <w:pStyle w:val="Normaltindrag"/>
        <w:shd w:val="clear" w:color="000000" w:fill="auto"/>
      </w:pPr>
      <w:r w:rsidRPr="00672B31">
        <w:t>Sammantaget föreslår Vänsterpartiet en ökning av anslag 1:3 Underhåll</w:t>
      </w:r>
      <w:r w:rsidRPr="00672B31">
        <w:t>s</w:t>
      </w:r>
      <w:r w:rsidRPr="00672B31">
        <w:t>stöd med 1 600 miljoner kronor 2012 jämfört med regeringens förslag.</w:t>
      </w:r>
    </w:p>
    <w:p w:rsidR="00AC67FE" w:rsidRPr="00672B31" w:rsidRDefault="00AC67FE">
      <w:pPr>
        <w:pStyle w:val="Rubrik1"/>
        <w:shd w:val="clear" w:color="000000" w:fill="auto"/>
      </w:pPr>
      <w:r w:rsidRPr="00672B31">
        <w:t>1.8 Bostadsbidrag</w:t>
      </w:r>
    </w:p>
    <w:p w:rsidR="00AC67FE" w:rsidRPr="00672B31" w:rsidRDefault="00AC67FE">
      <w:pPr>
        <w:shd w:val="clear" w:color="000000" w:fill="auto"/>
      </w:pPr>
      <w:r w:rsidRPr="00672B31">
        <w:t xml:space="preserve">Regeringen lägger i sin budget fram förslag som stärker bostadsbidraget för barnfamiljer med dålig ekonomi och till personer under 29 år. Den totala kostnaden för förslaget beräknas till 1,2 miljarder kronor per år. Reformen består av tre delar: </w:t>
      </w:r>
    </w:p>
    <w:p w:rsidR="00AC67FE" w:rsidRPr="00672B31" w:rsidRDefault="00AC67FE">
      <w:pPr>
        <w:pStyle w:val="PunktlistaBomb"/>
        <w:shd w:val="clear" w:color="000000" w:fill="auto"/>
      </w:pPr>
      <w:r w:rsidRPr="00672B31">
        <w:t xml:space="preserve">En höjning av bostadsbidraget till barnfamiljer (det s.k. särskilda bidraget) på 350 kronor/månad för familjer med ett hemmavarande barn, 425 kronor för två barn och 600 kronor för tre eller flera barn. </w:t>
      </w:r>
    </w:p>
    <w:p w:rsidR="00AC67FE" w:rsidRPr="00672B31" w:rsidRDefault="00AC67FE">
      <w:pPr>
        <w:pStyle w:val="PunktlistaBomb"/>
        <w:shd w:val="clear" w:color="000000" w:fill="auto"/>
        <w:spacing w:before="0"/>
      </w:pPr>
      <w:r w:rsidRPr="00672B31">
        <w:t xml:space="preserve">En sänkning av den nedre gränsen för bidragsgrundande boendekostnader. Gränsen sänks från 2 000 kronor/månad till 1 400 kronor/månad. Den nya gränsen ska även gälla föräldrar under 29 år vars barn endast bor tidvis hos dem. </w:t>
      </w:r>
    </w:p>
    <w:p w:rsidR="00AC67FE" w:rsidRPr="00672B31" w:rsidRDefault="00AC67FE">
      <w:pPr>
        <w:pStyle w:val="PunktlistaBomb"/>
        <w:shd w:val="clear" w:color="000000" w:fill="auto"/>
        <w:spacing w:before="0"/>
      </w:pPr>
      <w:r w:rsidRPr="00672B31">
        <w:t>En höjning av den procentuella ersättningen för unga under 29 år utan barn som tar emot bostadsbidrag. Dessa får i dag en ersättning motsvarande 75 procent av bostadskostnader mellan 1 800 och 2 600 kronor och 50 pr</w:t>
      </w:r>
      <w:r w:rsidRPr="00672B31">
        <w:t>o</w:t>
      </w:r>
      <w:r w:rsidRPr="00672B31">
        <w:t>cent av bostadskostnader mellan 2 600 och 3 600 kronor.</w:t>
      </w:r>
    </w:p>
    <w:p w:rsidR="00AC67FE" w:rsidRPr="00672B31" w:rsidRDefault="00AC67FE">
      <w:pPr>
        <w:shd w:val="clear" w:color="000000" w:fill="auto"/>
      </w:pPr>
      <w:r w:rsidRPr="00672B31">
        <w:t>Den procentuella ersättningen föreslås i stället ligga på 90 procent respektive 65 procent av bostadskostnaden.</w:t>
      </w:r>
    </w:p>
    <w:p w:rsidR="00AC67FE" w:rsidRPr="00672B31" w:rsidRDefault="00AC67FE">
      <w:pPr>
        <w:pStyle w:val="Normaltindrag"/>
        <w:shd w:val="clear" w:color="000000" w:fill="auto"/>
        <w:rPr>
          <w:color w:val="000000"/>
        </w:rPr>
      </w:pPr>
      <w:r w:rsidRPr="00672B31">
        <w:t>Bostadsbidraget ska ge barnfamiljer möjlighet till en bra och tillräckligt rymlig bostad. Föräldrar med barn som bor hemma har rätt till ett särskilt bidrag som är en del av bostadsbidraget. Storleken på bidraget beror på ant</w:t>
      </w:r>
      <w:r w:rsidRPr="00672B31">
        <w:t>a</w:t>
      </w:r>
      <w:r w:rsidRPr="00672B31">
        <w:t xml:space="preserve">let hemmavarande barn. Motsvarande bidrag, men på en lägre nivå, utgår för s.k. umgängesföräldrar. </w:t>
      </w:r>
      <w:r w:rsidRPr="00672B31">
        <w:rPr>
          <w:color w:val="000000"/>
        </w:rPr>
        <w:t>Vänsterpartiet är positivt till regeringens förslag, men vi satsar ytterligare på att stärka ekonomin för ensamstående föräldrar med barn för att bekämpa barnfattigdomen. Det särskilda bidraget för hemmav</w:t>
      </w:r>
      <w:r w:rsidRPr="00672B31">
        <w:rPr>
          <w:color w:val="000000"/>
        </w:rPr>
        <w:t>a</w:t>
      </w:r>
      <w:r w:rsidRPr="00672B31">
        <w:rPr>
          <w:color w:val="000000"/>
        </w:rPr>
        <w:t>rande barn riktas till samtliga barnfamiljer med lägre inkomster. Eftersom ensamstående föräldrar ofta har lägre inkomster än sammanboende träffar bidraget särskilt den gruppen.</w:t>
      </w:r>
    </w:p>
    <w:p w:rsidR="00AC67FE" w:rsidRPr="00672B31" w:rsidRDefault="00AC67FE">
      <w:pPr>
        <w:pStyle w:val="Normaltindrag"/>
        <w:shd w:val="clear" w:color="000000" w:fill="auto"/>
      </w:pPr>
      <w:r w:rsidRPr="00672B31">
        <w:t>Vi vill ge ett tillskott till</w:t>
      </w:r>
      <w:r w:rsidRPr="00672B31">
        <w:t xml:space="preserve"> ensamstående föräldrar genom en höjning av det särskilda bidraget respektive umgängesbidraget med 150 respektive 100 kr</w:t>
      </w:r>
      <w:r w:rsidRPr="00672B31">
        <w:t>o</w:t>
      </w:r>
      <w:r w:rsidRPr="00672B31">
        <w:t>nor.</w:t>
      </w:r>
    </w:p>
    <w:p w:rsidR="00AC67FE" w:rsidRPr="00672B31" w:rsidRDefault="00AC67FE">
      <w:pPr>
        <w:pStyle w:val="Normaltindrag"/>
        <w:shd w:val="clear" w:color="000000" w:fill="auto"/>
      </w:pPr>
      <w:r w:rsidRPr="00672B31">
        <w:t>Sammantaget föreslår Vänsterpartiet en ökning av anslag 1:8 Bostadsb</w:t>
      </w:r>
      <w:r w:rsidRPr="00672B31">
        <w:t>i</w:t>
      </w:r>
      <w:r w:rsidRPr="00672B31">
        <w:t>drag med 290 miljoner kronor 2012 jämfört med regeringens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2B31">
        <w:trPr>
          <w:cantSplit/>
        </w:trPr>
        <w:tc>
          <w:tcPr>
            <w:tcW w:w="3046" w:type="dxa"/>
          </w:tcPr>
          <w:p w:rsidR="00AC67FE" w:rsidRPr="00672B31" w:rsidRDefault="00AC67FE">
            <w:pPr>
              <w:pStyle w:val="UnderskriftDatum"/>
              <w:shd w:val="clear" w:color="000000" w:fill="auto"/>
              <w:spacing w:before="240"/>
            </w:pPr>
            <w:r w:rsidRPr="00672B31">
              <w:t>Stockholm den 4 oktober 2011</w:t>
            </w:r>
          </w:p>
        </w:tc>
        <w:tc>
          <w:tcPr>
            <w:tcW w:w="3047" w:type="dxa"/>
          </w:tcPr>
          <w:p w:rsidR="00AC67FE" w:rsidRPr="00672B31" w:rsidRDefault="00AC67FE">
            <w:pPr>
              <w:pStyle w:val="Underskrifter"/>
              <w:shd w:val="clear" w:color="000000" w:fill="auto"/>
              <w:spacing w:before="240"/>
            </w:pPr>
          </w:p>
        </w:tc>
      </w:tr>
      <w:tr w:rsidR="00000000" w:rsidRPr="00672B31">
        <w:trPr>
          <w:cantSplit/>
        </w:trPr>
        <w:tc>
          <w:tcPr>
            <w:tcW w:w="3046" w:type="dxa"/>
          </w:tcPr>
          <w:p w:rsidR="00AC67FE" w:rsidRPr="00672B31" w:rsidRDefault="00AC67FE">
            <w:pPr>
              <w:pStyle w:val="Underskrifter"/>
              <w:shd w:val="clear" w:color="000000" w:fill="auto"/>
            </w:pPr>
            <w:r w:rsidRPr="00672B31">
              <w:t>Lars Ohly (V)</w:t>
            </w:r>
          </w:p>
        </w:tc>
        <w:tc>
          <w:tcPr>
            <w:tcW w:w="3046" w:type="dxa"/>
          </w:tcPr>
          <w:p w:rsidR="00AC67FE" w:rsidRPr="00672B31" w:rsidRDefault="00AC67FE">
            <w:pPr>
              <w:pStyle w:val="Underskrifter"/>
              <w:shd w:val="clear" w:color="000000" w:fill="auto"/>
            </w:pPr>
          </w:p>
        </w:tc>
      </w:tr>
      <w:tr w:rsidR="00000000" w:rsidRPr="00672B31">
        <w:trPr>
          <w:cantSplit/>
        </w:trPr>
        <w:tc>
          <w:tcPr>
            <w:tcW w:w="3046" w:type="dxa"/>
          </w:tcPr>
          <w:p w:rsidR="00AC67FE" w:rsidRPr="00672B31" w:rsidRDefault="00AC67FE">
            <w:pPr>
              <w:pStyle w:val="Underskrifter"/>
              <w:shd w:val="clear" w:color="000000" w:fill="auto"/>
            </w:pPr>
            <w:r w:rsidRPr="00672B31">
              <w:t>Hans Linde (V)</w:t>
            </w:r>
          </w:p>
        </w:tc>
        <w:tc>
          <w:tcPr>
            <w:tcW w:w="3046" w:type="dxa"/>
          </w:tcPr>
          <w:p w:rsidR="00AC67FE" w:rsidRPr="00672B31" w:rsidRDefault="00AC67FE">
            <w:pPr>
              <w:pStyle w:val="Underskrifter"/>
              <w:shd w:val="clear" w:color="000000" w:fill="auto"/>
            </w:pPr>
            <w:r w:rsidRPr="00672B31">
              <w:t>Eva Olofsson (V)</w:t>
            </w:r>
          </w:p>
        </w:tc>
      </w:tr>
      <w:tr w:rsidR="00000000" w:rsidRPr="00672B31">
        <w:trPr>
          <w:cantSplit/>
        </w:trPr>
        <w:tc>
          <w:tcPr>
            <w:tcW w:w="3046" w:type="dxa"/>
          </w:tcPr>
          <w:p w:rsidR="00AC67FE" w:rsidRPr="00672B31" w:rsidRDefault="00AC67FE">
            <w:pPr>
              <w:pStyle w:val="Underskrifter"/>
              <w:shd w:val="clear" w:color="000000" w:fill="auto"/>
            </w:pPr>
            <w:r w:rsidRPr="00672B31">
              <w:t>Jonas Sjöstedt (V)</w:t>
            </w:r>
          </w:p>
        </w:tc>
        <w:tc>
          <w:tcPr>
            <w:tcW w:w="3046" w:type="dxa"/>
          </w:tcPr>
          <w:p w:rsidR="00AC67FE" w:rsidRPr="00672B31" w:rsidRDefault="00AC67FE">
            <w:pPr>
              <w:pStyle w:val="Underskrifter"/>
              <w:shd w:val="clear" w:color="000000" w:fill="auto"/>
            </w:pPr>
            <w:r w:rsidRPr="00672B31">
              <w:t>Mia Sydow Mölleby (V)</w:t>
            </w:r>
          </w:p>
        </w:tc>
      </w:tr>
      <w:tr w:rsidR="00000000" w:rsidRPr="00672B31">
        <w:trPr>
          <w:cantSplit/>
        </w:trPr>
        <w:tc>
          <w:tcPr>
            <w:tcW w:w="3046" w:type="dxa"/>
          </w:tcPr>
          <w:p w:rsidR="00AC67FE" w:rsidRPr="00672B31" w:rsidRDefault="00AC67FE">
            <w:pPr>
              <w:pStyle w:val="Underskrifter"/>
              <w:shd w:val="clear" w:color="000000" w:fill="auto"/>
            </w:pPr>
            <w:r w:rsidRPr="00672B31">
              <w:t>Wiwi-Anne Johansson (V)</w:t>
            </w:r>
          </w:p>
        </w:tc>
        <w:tc>
          <w:tcPr>
            <w:tcW w:w="3046" w:type="dxa"/>
          </w:tcPr>
          <w:p w:rsidR="00AC67FE" w:rsidRPr="00672B31" w:rsidRDefault="00AC67FE">
            <w:pPr>
              <w:pStyle w:val="Underskrifter"/>
              <w:shd w:val="clear" w:color="000000" w:fill="auto"/>
            </w:pPr>
          </w:p>
        </w:tc>
      </w:tr>
    </w:tbl>
    <w:p w:rsidR="00AC67FE" w:rsidRPr="00672B31" w:rsidRDefault="00AC67FE">
      <w:pPr>
        <w:pStyle w:val="Normaltindrag"/>
        <w:shd w:val="clear" w:color="000000" w:fill="auto"/>
      </w:pPr>
    </w:p>
    <w:sectPr w:rsidR="00AC67FE" w:rsidRPr="00672B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7FE" w:rsidRPr="00672B31" w:rsidRDefault="00AC67FE">
      <w:r w:rsidRPr="00672B31">
        <w:separator/>
      </w:r>
    </w:p>
  </w:endnote>
  <w:endnote w:type="continuationSeparator" w:id="0">
    <w:p w:rsidR="00AC67FE" w:rsidRPr="00672B31" w:rsidRDefault="00AC67FE">
      <w:r w:rsidRPr="00672B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7FE" w:rsidRPr="00672B31" w:rsidRDefault="00672B31">
    <w:pPr>
      <w:pStyle w:val="Sidfot"/>
    </w:pPr>
    <w:r w:rsidRPr="00672B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940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7FE" w:rsidRDefault="00AC67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67FE" w:rsidRDefault="00AC67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7FE" w:rsidRPr="00672B31" w:rsidRDefault="00672B31">
    <w:pPr>
      <w:pStyle w:val="Sidfot"/>
    </w:pPr>
    <w:r w:rsidRPr="00672B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7126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7FE" w:rsidRDefault="00AC67F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67FE" w:rsidRDefault="00AC67F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7FE" w:rsidRPr="00672B31" w:rsidRDefault="00672B31">
    <w:pPr>
      <w:pStyle w:val="Sidfot"/>
    </w:pPr>
    <w:r w:rsidRPr="00672B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15568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7FE" w:rsidRDefault="00AC67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67FE" w:rsidRDefault="00AC67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7FE" w:rsidRPr="00672B31" w:rsidRDefault="00AC67FE">
      <w:r w:rsidRPr="00672B31">
        <w:separator/>
      </w:r>
    </w:p>
  </w:footnote>
  <w:footnote w:type="continuationSeparator" w:id="0">
    <w:p w:rsidR="00AC67FE" w:rsidRPr="00672B31" w:rsidRDefault="00AC67FE">
      <w:r w:rsidRPr="00672B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7FE" w:rsidRPr="00672B31" w:rsidRDefault="00672B31">
    <w:pPr>
      <w:pStyle w:val="Sidhuvud"/>
    </w:pPr>
    <w:r w:rsidRPr="00672B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41541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7FE" w:rsidRDefault="00AC67F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67FE" w:rsidRDefault="00AC67F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7FE" w:rsidRPr="00672B31" w:rsidRDefault="00672B31">
    <w:pPr>
      <w:pStyle w:val="Sidhuvud"/>
    </w:pPr>
    <w:r w:rsidRPr="00672B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37351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7FE" w:rsidRDefault="00AC67F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67FE" w:rsidRDefault="00AC67F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7FE" w:rsidRPr="00672B31" w:rsidRDefault="00AC67FE">
    <w:pPr>
      <w:pStyle w:val="FSHNormal"/>
      <w:tabs>
        <w:tab w:val="right" w:pos="5840"/>
      </w:tabs>
    </w:pPr>
    <w:r w:rsidRPr="00672B31">
      <w:br/>
    </w:r>
    <w:r w:rsidRPr="00672B31">
      <w:fldChar w:fldCharType="begin" w:fldLock="1"/>
    </w:r>
    <w:r w:rsidRPr="00672B31">
      <w:instrText xml:space="preserve"> DOCPROPERTY</w:instrText>
    </w:r>
    <w:r w:rsidRPr="00672B31">
      <w:rPr>
        <w:sz w:val="18"/>
      </w:rPr>
      <w:instrText xml:space="preserve"> "YearUser" *\charformat </w:instrText>
    </w:r>
    <w:r w:rsidRPr="00672B31">
      <w:fldChar w:fldCharType="separate"/>
    </w:r>
    <w:r w:rsidRPr="00672B31">
      <w:t>2011/12</w:t>
    </w:r>
    <w:r w:rsidRPr="00672B31">
      <w:fldChar w:fldCharType="end"/>
    </w:r>
    <w:r w:rsidRPr="00672B31">
      <w:t xml:space="preserve"> </w:t>
    </w:r>
    <w:r w:rsidRPr="00672B31">
      <w:tab/>
      <w:t xml:space="preserve">mnr: </w:t>
    </w:r>
    <w:r w:rsidRPr="00672B31">
      <w:fldChar w:fldCharType="begin" w:fldLock="1"/>
    </w:r>
    <w:r w:rsidRPr="00672B31">
      <w:instrText xml:space="preserve"> DOCPROPERTY</w:instrText>
    </w:r>
    <w:r w:rsidRPr="00672B31">
      <w:rPr>
        <w:sz w:val="18"/>
      </w:rPr>
      <w:instrText xml:space="preserve"> "Motionsnummer" *\charformat </w:instrText>
    </w:r>
    <w:r w:rsidRPr="00672B31">
      <w:fldChar w:fldCharType="separate"/>
    </w:r>
    <w:r w:rsidRPr="00672B31">
      <w:t>Sf283</w:t>
    </w:r>
    <w:r w:rsidRPr="00672B31">
      <w:fldChar w:fldCharType="end"/>
    </w:r>
    <w:r w:rsidRPr="00672B31">
      <w:br/>
    </w:r>
    <w:r w:rsidRPr="00672B31">
      <w:fldChar w:fldCharType="begin" w:fldLock="1"/>
    </w:r>
    <w:r w:rsidRPr="00672B31">
      <w:instrText xml:space="preserve"> DOCPROPERTY</w:instrText>
    </w:r>
    <w:r w:rsidRPr="00672B31">
      <w:rPr>
        <w:sz w:val="18"/>
      </w:rPr>
      <w:instrText xml:space="preserve"> "Samling" *\charformat </w:instrText>
    </w:r>
    <w:r w:rsidRPr="00672B31">
      <w:fldChar w:fldCharType="end"/>
    </w:r>
    <w:r w:rsidRPr="00672B31">
      <w:tab/>
      <w:t xml:space="preserve">pnr: </w:t>
    </w:r>
    <w:r w:rsidRPr="00672B31">
      <w:fldChar w:fldCharType="begin" w:fldLock="1"/>
    </w:r>
    <w:r w:rsidRPr="00672B31">
      <w:instrText xml:space="preserve"> DOCPROPERTY</w:instrText>
    </w:r>
    <w:r w:rsidRPr="00672B31">
      <w:rPr>
        <w:sz w:val="18"/>
      </w:rPr>
      <w:instrText xml:space="preserve"> "Partinummer" *\charformat </w:instrText>
    </w:r>
    <w:r w:rsidRPr="00672B31">
      <w:fldChar w:fldCharType="separate"/>
    </w:r>
    <w:r w:rsidRPr="00672B31">
      <w:t>V592</w:t>
    </w:r>
    <w:r w:rsidRPr="00672B31">
      <w:fldChar w:fldCharType="end"/>
    </w:r>
  </w:p>
  <w:p w:rsidR="00AC67FE" w:rsidRPr="00672B31" w:rsidRDefault="00AC67FE">
    <w:pPr>
      <w:pStyle w:val="FSHRub1"/>
    </w:pPr>
    <w:r w:rsidRPr="00672B31">
      <w:t>Motion till riksdagen</w:t>
    </w:r>
    <w:r w:rsidRPr="00672B31">
      <w:br/>
    </w:r>
    <w:r w:rsidRPr="00672B31">
      <w:fldChar w:fldCharType="begin" w:fldLock="1"/>
    </w:r>
    <w:r w:rsidRPr="00672B31">
      <w:instrText xml:space="preserve"> DOCPROPERTY "YearUser" *\charformat </w:instrText>
    </w:r>
    <w:r w:rsidRPr="00672B31">
      <w:fldChar w:fldCharType="separate"/>
    </w:r>
    <w:r w:rsidRPr="00672B31">
      <w:t>2011/12</w:t>
    </w:r>
    <w:r w:rsidRPr="00672B31">
      <w:fldChar w:fldCharType="end"/>
    </w:r>
    <w:r w:rsidRPr="00672B31">
      <w:t>:</w:t>
    </w:r>
    <w:r w:rsidRPr="00672B31">
      <w:fldChar w:fldCharType="begin" w:fldLock="1"/>
    </w:r>
    <w:r w:rsidRPr="00672B31">
      <w:instrText xml:space="preserve"> DOCPROPERTY "Motionsnummer" *\charformat </w:instrText>
    </w:r>
    <w:r w:rsidRPr="00672B31">
      <w:fldChar w:fldCharType="separate"/>
    </w:r>
    <w:r w:rsidRPr="00672B31">
      <w:t>Sf283</w:t>
    </w:r>
    <w:r w:rsidRPr="00672B31">
      <w:fldChar w:fldCharType="end"/>
    </w:r>
  </w:p>
  <w:p w:rsidR="00AC67FE" w:rsidRPr="00672B31" w:rsidRDefault="00AC67FE">
    <w:pPr>
      <w:pStyle w:val="FSHNormalS5"/>
    </w:pPr>
    <w:r w:rsidRPr="00672B31">
      <w:fldChar w:fldCharType="begin" w:fldLock="1"/>
    </w:r>
    <w:r w:rsidRPr="00672B31">
      <w:instrText xml:space="preserve"> DOCPROPERTY "MotionarText" *\charformat </w:instrText>
    </w:r>
    <w:r w:rsidRPr="00672B31">
      <w:fldChar w:fldCharType="separate"/>
    </w:r>
    <w:r w:rsidRPr="00672B31">
      <w:t>av Lars Ohly m.fl. (V)</w:t>
    </w:r>
    <w:r w:rsidRPr="00672B31">
      <w:fldChar w:fldCharType="end"/>
    </w:r>
    <w:r w:rsidRPr="00672B31">
      <w:br/>
    </w:r>
    <w:r w:rsidRPr="00672B31">
      <w:fldChar w:fldCharType="begin" w:fldLock="1"/>
    </w:r>
    <w:r w:rsidRPr="00672B31">
      <w:instrText xml:space="preserve"> DOCPROPERTY "SvarFrasKort" *\charformat </w:instrText>
    </w:r>
    <w:r w:rsidRPr="00672B31">
      <w:fldChar w:fldCharType="end"/>
    </w:r>
  </w:p>
  <w:p w:rsidR="00AC67FE" w:rsidRPr="00672B31" w:rsidRDefault="00AC67FE">
    <w:pPr>
      <w:pStyle w:val="FSHTitel"/>
    </w:pPr>
    <w:r w:rsidRPr="00672B31">
      <w:fldChar w:fldCharType="begin" w:fldLock="1"/>
    </w:r>
    <w:r w:rsidRPr="00672B31">
      <w:instrText xml:space="preserve"> DOCPROPERTY</w:instrText>
    </w:r>
    <w:r w:rsidRPr="00672B31">
      <w:rPr>
        <w:sz w:val="18"/>
      </w:rPr>
      <w:instrText xml:space="preserve"> "RubrikSvar" *\charformat </w:instrText>
    </w:r>
    <w:r w:rsidRPr="00672B31">
      <w:fldChar w:fldCharType="separate"/>
    </w:r>
    <w:r w:rsidRPr="00672B31">
      <w:t>Utgiftsområde12 Ekonomisk trygghet för familjer och barn</w:t>
    </w:r>
    <w:r w:rsidRPr="00672B31">
      <w:fldChar w:fldCharType="end"/>
    </w:r>
  </w:p>
  <w:p w:rsidR="00AC67FE" w:rsidRPr="00672B31" w:rsidRDefault="00AC67FE">
    <w:pPr>
      <w:pStyle w:val="Normal00"/>
    </w:pPr>
  </w:p>
  <w:p w:rsidR="00AC67FE" w:rsidRPr="00672B31" w:rsidRDefault="00AC67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3161649">
    <w:abstractNumId w:val="3"/>
  </w:num>
  <w:num w:numId="2" w16cid:durableId="2021616028">
    <w:abstractNumId w:val="2"/>
  </w:num>
  <w:num w:numId="3" w16cid:durableId="1201866842">
    <w:abstractNumId w:val="1"/>
  </w:num>
  <w:num w:numId="4" w16cid:durableId="387727757">
    <w:abstractNumId w:val="0"/>
  </w:num>
  <w:num w:numId="5" w16cid:durableId="2009550631">
    <w:abstractNumId w:val="7"/>
  </w:num>
  <w:num w:numId="6" w16cid:durableId="1168447554">
    <w:abstractNumId w:val="6"/>
  </w:num>
  <w:num w:numId="7" w16cid:durableId="1385906552">
    <w:abstractNumId w:val="5"/>
  </w:num>
  <w:num w:numId="8" w16cid:durableId="1703823223">
    <w:abstractNumId w:val="4"/>
  </w:num>
  <w:num w:numId="9" w16cid:durableId="1470049924">
    <w:abstractNumId w:val="8"/>
  </w:num>
  <w:num w:numId="10" w16cid:durableId="1137336843">
    <w:abstractNumId w:val="9"/>
  </w:num>
  <w:num w:numId="11" w16cid:durableId="2086759664">
    <w:abstractNumId w:val="10"/>
  </w:num>
  <w:num w:numId="12" w16cid:durableId="269582278">
    <w:abstractNumId w:val="13"/>
  </w:num>
  <w:num w:numId="13" w16cid:durableId="438530281">
    <w:abstractNumId w:val="15"/>
  </w:num>
  <w:num w:numId="14" w16cid:durableId="1864199802">
    <w:abstractNumId w:val="16"/>
  </w:num>
  <w:num w:numId="15" w16cid:durableId="341981341">
    <w:abstractNumId w:val="11"/>
  </w:num>
  <w:num w:numId="16" w16cid:durableId="295917626">
    <w:abstractNumId w:val="18"/>
  </w:num>
  <w:num w:numId="17" w16cid:durableId="50202350">
    <w:abstractNumId w:val="17"/>
  </w:num>
  <w:num w:numId="18" w16cid:durableId="164590468">
    <w:abstractNumId w:val="14"/>
  </w:num>
  <w:num w:numId="19" w16cid:durableId="1479876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653F0F50-6F1F-4A36-9FEB-9B3CE8CAF153},{00468181-7122-42C5-877E-69489063FE94},{A3B7BC79-15BA-4C82-9CD3-12632F50DBA0},{DA248C4D-AFF6-4AC5-94CA-AED252C8C8C8},{A7313DCE-0B34-4C27-86F8-BEBB9AB9F316},{8AB62037-4390-43A4-8774-82C1A5291ED3}"/>
  </w:docVars>
  <w:rsids>
    <w:rsidRoot w:val="00327770"/>
    <w:rsid w:val="00327770"/>
    <w:rsid w:val="00672B31"/>
    <w:rsid w:val="00AC67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6BBC7A-2984-4136-BD8E-193A543A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917</Words>
  <Characters>5366</Characters>
  <Application>Microsoft Office Word</Application>
  <DocSecurity>4</DocSecurity>
  <Lines>121</Lines>
  <Paragraphs>51</Paragraphs>
  <ScaleCrop>false</ScaleCrop>
  <HeadingPairs>
    <vt:vector size="2" baseType="variant">
      <vt:variant>
        <vt:lpstr>Rubrik</vt:lpstr>
      </vt:variant>
      <vt:variant>
        <vt:i4>1</vt:i4>
      </vt:variant>
    </vt:vector>
  </HeadingPairs>
  <TitlesOfParts>
    <vt:vector size="1" baseType="lpstr">
      <vt:lpstr>V592</vt:lpstr>
    </vt:vector>
  </TitlesOfParts>
  <Company>Riksdagen</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V592</dc:title>
  <dc:subject>V592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2011-11-06T13:48:00Z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Utgiftsområde12 Ekonomisk trygghet för familjer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Utgiftsområde12 Ekonomisk trygghet för familjer och barn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V592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Ohly m.fl. (V)</vt:lpwstr>
  </property>
  <property fmtid="{D5CDD505-2E9C-101B-9397-08002B2CF9AE}" pid="26" name="MotionarLista">
    <vt:lpwstr>Ohly, Lars (V)\Linde, Hans (V)\Olofsson, Eva (V)\Sjöstedt, Jonas (V)\Sydow Mölleby, Mia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Hans Linde (V), Eva Olofsson (V), Jonas Sjöstedt (V), Mia Sydow Mölleby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20112012000000000086000005920080</vt:lpwstr>
  </property>
  <property fmtid="{D5CDD505-2E9C-101B-9397-08002B2CF9AE}" pid="47" name="datum">
    <vt:lpwstr>111004</vt:lpwstr>
  </property>
  <property fmtid="{D5CDD505-2E9C-101B-9397-08002B2CF9AE}" pid="48" name="avsändar-e-post">
    <vt:lpwstr>anna-maria.westwood@riksdagen.se</vt:lpwstr>
  </property>
  <property fmtid="{D5CDD505-2E9C-101B-9397-08002B2CF9AE}" pid="49" name="id">
    <vt:lpwstr>20112012000000000086000005920080</vt:lpwstr>
  </property>
  <property fmtid="{D5CDD505-2E9C-101B-9397-08002B2CF9AE}" pid="50" name="nummer">
    <vt:lpwstr>283</vt:lpwstr>
  </property>
  <property fmtid="{D5CDD505-2E9C-101B-9397-08002B2CF9AE}" pid="51" name="utskottsbeteckning">
    <vt:lpwstr>Sf</vt:lpwstr>
  </property>
  <property fmtid="{D5CDD505-2E9C-101B-9397-08002B2CF9AE}" pid="52" name="GlobalUID">
    <vt:lpwstr>{030B772B-A3F6-4E9F-858B-ECE4584D7AF9}</vt:lpwstr>
  </property>
  <property fmtid="{D5CDD505-2E9C-101B-9397-08002B2CF9AE}" pid="53" name="Överföringar">
    <vt:i4>0</vt:i4>
  </property>
  <property fmtid="{D5CDD505-2E9C-101B-9397-08002B2CF9AE}" pid="54" name="Checksum">
    <vt:lpwstr>*1004113263948*</vt:lpwstr>
  </property>
  <property fmtid="{D5CDD505-2E9C-101B-9397-08002B2CF9AE}" pid="55" name="skuggnummer">
    <vt:lpwstr>1940</vt:lpwstr>
  </property>
  <property fmtid="{D5CDD505-2E9C-101B-9397-08002B2CF9AE}" pid="56" name="urixVersion">
    <vt:lpwstr>4.5.0.25</vt:lpwstr>
  </property>
  <property fmtid="{D5CDD505-2E9C-101B-9397-08002B2CF9AE}" pid="57" name="urixOrigin">
    <vt:lpwstr>111106 14:48:29.931</vt:lpwstr>
  </property>
  <property fmtid="{D5CDD505-2E9C-101B-9397-08002B2CF9AE}" pid="58" name="urixGuid">
    <vt:lpwstr>{1E99BB59-0F07-401C-BD16-604EFA24D2B1}</vt:lpwstr>
  </property>
</Properties>
</file>