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503C" w:rsidRPr="00783B73" w:rsidRDefault="00B5503C">
      <w:pPr>
        <w:pStyle w:val="Hemstlrubrik"/>
      </w:pPr>
      <w:r w:rsidRPr="00783B73">
        <w:t>Förslag till riksdagsbeslut</w:t>
      </w:r>
    </w:p>
    <w:p w:rsidR="00B5503C" w:rsidRPr="00783B73" w:rsidRDefault="00B5503C">
      <w:pPr>
        <w:pStyle w:val="Hemstlatt"/>
        <w:numPr>
          <w:ilvl w:val="0"/>
          <w:numId w:val="1"/>
        </w:numPr>
      </w:pPr>
      <w:r w:rsidRPr="00783B73">
        <w:t>Riksdagen tillkännager för regeringen som sin mening vad som anförs i motionen om att Sverige som delägare och g</w:t>
      </w:r>
      <w:r w:rsidRPr="00783B73">
        <w:t>i</w:t>
      </w:r>
      <w:r w:rsidRPr="00783B73">
        <w:t>vare bör ställa krav på Världsbanken att kraftigt utöka stödet till utvec</w:t>
      </w:r>
      <w:r w:rsidRPr="00783B73">
        <w:t>k</w:t>
      </w:r>
      <w:r w:rsidRPr="00783B73">
        <w:t xml:space="preserve">lingsländer för förnybara energikällor och att anta en handlingsplan för att fasa ut stödet för fossilbränsleindustrin i utvecklingsländer. </w:t>
      </w:r>
    </w:p>
    <w:p w:rsidR="00B5503C" w:rsidRPr="00783B73" w:rsidRDefault="00B5503C">
      <w:pPr>
        <w:pStyle w:val="Hemstlatt"/>
        <w:numPr>
          <w:ilvl w:val="0"/>
          <w:numId w:val="1"/>
        </w:numPr>
      </w:pPr>
      <w:r w:rsidRPr="00783B73">
        <w:t xml:space="preserve">Riksdagen tillkännager för regeringen som sin mening vad som anförs i motionen om att Sverige bör ställa krav på resultat och främja demokratiska processer i samarbetsländerna. </w:t>
      </w:r>
    </w:p>
    <w:p w:rsidR="00B5503C" w:rsidRPr="00783B73" w:rsidRDefault="00B5503C">
      <w:pPr>
        <w:pStyle w:val="Hemstlatt"/>
        <w:numPr>
          <w:ilvl w:val="0"/>
          <w:numId w:val="1"/>
        </w:numPr>
      </w:pPr>
      <w:r w:rsidRPr="00783B73">
        <w:t xml:space="preserve">Riksdagen tillkännager för regeringen som sin mening vad som anförs i motionen om att regeringen bör ge Sida i uppdrag att årligen redovisa biståndets resultat för den svenska allmänheten. </w:t>
      </w:r>
    </w:p>
    <w:p w:rsidR="00B5503C" w:rsidRPr="00783B73" w:rsidRDefault="00B5503C">
      <w:pPr>
        <w:pStyle w:val="Rubrik1"/>
      </w:pPr>
      <w:r w:rsidRPr="00783B73">
        <w:t>Motivering</w:t>
      </w:r>
    </w:p>
    <w:p w:rsidR="00B5503C" w:rsidRPr="00783B73" w:rsidRDefault="00B5503C">
      <w:r w:rsidRPr="00783B73">
        <w:t xml:space="preserve">Fattigdomen är en av världens största utmaningar. Att bryta den utan att låsa fast hela kontinenter i ett framtida beroende av fossil energi är en ännu större utmaning. Men med rätt riktade insatser kan vi göra skillnad. Framsteg har gjorts sedan världens ledare enades om FN:s millenniemål för att bekämpa fattigdomen. Men mycket återstår. Enligt FN:s utvecklingsorgan UNDP kommer målsättningen att halvera andelen människor som lider hungersnöd inte att nås om nuvarande trend fortsätter. </w:t>
      </w:r>
    </w:p>
    <w:p w:rsidR="00B5503C" w:rsidRPr="00783B73" w:rsidRDefault="00B5503C">
      <w:pPr>
        <w:pStyle w:val="Normaltindrag"/>
      </w:pPr>
      <w:r w:rsidRPr="00783B73">
        <w:t>Klimatförändringarna drabbar fattiga länder hårt idag. Detta hotar också möjligheterna att uppnå FN:s millenniemål. Exempelvis förutses klimatfö</w:t>
      </w:r>
      <w:r w:rsidRPr="00783B73">
        <w:t>r</w:t>
      </w:r>
      <w:r w:rsidRPr="00783B73">
        <w:t>ändringarna påverka möjligheten att uppnå det första millenniemålet om att utrota hunger och extrem fattigdom genom</w:t>
      </w:r>
    </w:p>
    <w:p w:rsidR="00B5503C" w:rsidRPr="00783B73" w:rsidRDefault="00B5503C">
      <w:pPr>
        <w:pStyle w:val="PunktlistaTankstreck"/>
      </w:pPr>
      <w:r w:rsidRPr="00783B73">
        <w:t xml:space="preserve">degradering av skogar, fiskevatten, betesmarker och odlingsbar mark som många fattiga familjer är beroende av för mat och försörjning, </w:t>
      </w:r>
    </w:p>
    <w:p w:rsidR="00B5503C" w:rsidRPr="00783B73" w:rsidRDefault="00B5503C">
      <w:pPr>
        <w:pStyle w:val="PunktlistaTankstreck"/>
        <w:spacing w:before="0"/>
      </w:pPr>
      <w:r w:rsidRPr="00783B73">
        <w:lastRenderedPageBreak/>
        <w:t>skador på fattiga människors hem, vattentillgångar och hälsa, vilket u</w:t>
      </w:r>
      <w:r w:rsidRPr="00783B73">
        <w:t>n</w:t>
      </w:r>
      <w:r w:rsidRPr="00783B73">
        <w:t>derminerar deras möjligheter att försörja sig,</w:t>
      </w:r>
    </w:p>
    <w:p w:rsidR="00B5503C" w:rsidRPr="00783B73" w:rsidRDefault="00B5503C">
      <w:pPr>
        <w:pStyle w:val="PunktlistaTankstreck"/>
        <w:spacing w:before="0"/>
      </w:pPr>
      <w:r w:rsidRPr="00783B73">
        <w:t>en förstärkning av sociala spänningar kring tillgång till resurser, vilket kan leda till konflikter och minskade försörjningsmöjligheter och tvinga sa</w:t>
      </w:r>
      <w:r w:rsidRPr="00783B73">
        <w:t>m</w:t>
      </w:r>
      <w:r w:rsidRPr="00783B73">
        <w:t xml:space="preserve">hällen att migrera. </w:t>
      </w:r>
    </w:p>
    <w:p w:rsidR="00B5503C" w:rsidRPr="00783B73" w:rsidRDefault="00B5503C">
      <w:r w:rsidRPr="00783B73">
        <w:t>Då kvinnor är de resurssvagaste i många samhällen kommer de att drabbas hårdare av klimatförändringarna.</w:t>
      </w:r>
    </w:p>
    <w:p w:rsidR="00B5503C" w:rsidRPr="00783B73" w:rsidRDefault="00B5503C">
      <w:pPr>
        <w:pStyle w:val="Normaltindrag"/>
      </w:pPr>
      <w:r w:rsidRPr="00783B73">
        <w:t>De ekonomiska behoven kommer att öka för fattiga länder om de ska klara av att anpassa sig till de negativa effekter som följer av klimatförändringar i form av torka, missväxt, översvämningar och ökad spridning av sjukdomar etc. Världsbanken har beräknat kostnaderna för att hantera klimatförändrin</w:t>
      </w:r>
      <w:r w:rsidRPr="00783B73">
        <w:t>g</w:t>
      </w:r>
      <w:r w:rsidRPr="00783B73">
        <w:t>arna till mellan 10 till 40 USD-miljarder/år.</w:t>
      </w:r>
    </w:p>
    <w:p w:rsidR="00B5503C" w:rsidRPr="00783B73" w:rsidRDefault="00B5503C">
      <w:pPr>
        <w:pStyle w:val="Normaltindrag"/>
      </w:pPr>
      <w:r w:rsidRPr="00783B73">
        <w:t>Den viktigaste insatsen för fattiga länders utveckling i skenet av klimatfö</w:t>
      </w:r>
      <w:r w:rsidRPr="00783B73">
        <w:t>r</w:t>
      </w:r>
      <w:r w:rsidRPr="00783B73">
        <w:t>ändringar är att rika länder minskar sina utsläpp. Rika länder kan också bidra med tekniköverföring och kompetens till fattiga länder att använda förnyels</w:t>
      </w:r>
      <w:r w:rsidRPr="00783B73">
        <w:t>e</w:t>
      </w:r>
      <w:r w:rsidRPr="00783B73">
        <w:t>bara energikällor och att säkra tillgången till energi för fattiga människor ute på landsbygden och i städer. Det är avgörande att män såväl som kvinnor inkluderas i en sådan satsning, vilket innebär att utbildning om förnyelsebar energi måste ges till alla oavsett kön, och fler satsningar på lokalt entrepr</w:t>
      </w:r>
      <w:r w:rsidRPr="00783B73">
        <w:t>e</w:t>
      </w:r>
      <w:r w:rsidRPr="00783B73">
        <w:t>nörskap bör göras.</w:t>
      </w:r>
    </w:p>
    <w:p w:rsidR="00B5503C" w:rsidRPr="00783B73" w:rsidRDefault="00B5503C">
      <w:pPr>
        <w:pStyle w:val="Normaltindrag"/>
        <w:rPr>
          <w:bCs/>
        </w:rPr>
      </w:pPr>
      <w:r w:rsidRPr="00783B73">
        <w:t>Idag används endast en liten</w:t>
      </w:r>
      <w:r w:rsidRPr="00783B73">
        <w:t xml:space="preserve"> del av Världsbankens resurser till stöd för fa</w:t>
      </w:r>
      <w:r w:rsidRPr="00783B73">
        <w:t>t</w:t>
      </w:r>
      <w:r w:rsidRPr="00783B73">
        <w:t>tiga länder att utveckla förnyelsebara energikällor jämfört med stöd till fossi</w:t>
      </w:r>
      <w:r w:rsidRPr="00783B73">
        <w:t>l</w:t>
      </w:r>
      <w:r w:rsidRPr="00783B73">
        <w:t xml:space="preserve">bränsleindustrin. År 2005 uppgick finansiering av förnyelsebara energiprojekt till mindre än 5 % av Världsbankens totala energifinansiering. Världsbanken investerar varje år mellan 2 och 3 USD-miljarder i växthusgasgenererande energiprojekt som bidrar till klimatförändringar. </w:t>
      </w:r>
      <w:r w:rsidRPr="00783B73">
        <w:t xml:space="preserve">(How the World Bank’s Energy Framework Sells the Climate and Poor People Short, </w:t>
      </w:r>
      <w:r w:rsidRPr="00783B73">
        <w:rPr>
          <w:bCs/>
        </w:rPr>
        <w:t>A Civil Society Response to</w:t>
      </w:r>
      <w:r w:rsidRPr="00783B73">
        <w:rPr>
          <w:bCs/>
        </w:rPr>
        <w:t xml:space="preserve"> the World Bank’s Investment Framework for Clean Energy and Development, 2006). </w:t>
      </w:r>
    </w:p>
    <w:p w:rsidR="00B5503C" w:rsidRPr="00783B73" w:rsidRDefault="00B5503C">
      <w:pPr>
        <w:pStyle w:val="Normaltindrag"/>
      </w:pPr>
      <w:r w:rsidRPr="00783B73">
        <w:rPr>
          <w:bCs/>
        </w:rPr>
        <w:t>Världsbankens strategi ”</w:t>
      </w:r>
      <w:r w:rsidRPr="00783B73">
        <w:t>An Investment Framework for Clean Energy and Development”, som kommer att diskuteras på Världsbankens årsmöte i Was</w:t>
      </w:r>
      <w:r w:rsidRPr="00783B73">
        <w:t>h</w:t>
      </w:r>
      <w:r w:rsidRPr="00783B73">
        <w:t>ington 20–22 oktober, föreslår att Världsbankens lån ska användas till fina</w:t>
      </w:r>
      <w:r w:rsidRPr="00783B73">
        <w:t>n</w:t>
      </w:r>
      <w:r w:rsidRPr="00783B73">
        <w:t>siering av kärnkraft och kol i utvecklingsländer. Detta innebär att bistånd</w:t>
      </w:r>
      <w:r w:rsidRPr="00783B73">
        <w:t>s</w:t>
      </w:r>
      <w:r w:rsidRPr="00783B73">
        <w:t xml:space="preserve">medel, däribland från Sverige, kommer att användas för att subventionera kol och kärnkraft. Det är investeringar som kommer att för lång tid låsa många fler i ett energisystem som inte är långsiktigt hållbart. </w:t>
      </w:r>
    </w:p>
    <w:p w:rsidR="00B5503C" w:rsidRPr="00783B73" w:rsidRDefault="00B5503C">
      <w:pPr>
        <w:pStyle w:val="Normaltindrag"/>
      </w:pPr>
      <w:r w:rsidRPr="00783B73">
        <w:t xml:space="preserve">Att tillgodose energiförsörjning </w:t>
      </w:r>
      <w:r w:rsidRPr="00783B73">
        <w:t>och tillgång till el för fattiga människor är av största vikt. Stödet till utvecklingsländer att använda förnyelsebara energ</w:t>
      </w:r>
      <w:r w:rsidRPr="00783B73">
        <w:t>i</w:t>
      </w:r>
      <w:r w:rsidRPr="00783B73">
        <w:t>kä</w:t>
      </w:r>
      <w:r w:rsidRPr="00783B73">
        <w:t>l</w:t>
      </w:r>
      <w:r w:rsidRPr="00783B73">
        <w:t>lor bör öka kraftigt. Världsbankens stöd till fossilbränsleindustrin, som ges med offentliga medel från bilaterala medlemsländers biståndsbudgetar, bör fasas ut.</w:t>
      </w:r>
    </w:p>
    <w:p w:rsidR="00B5503C" w:rsidRPr="00783B73" w:rsidRDefault="00B5503C">
      <w:pPr>
        <w:pStyle w:val="Normaltindrag"/>
      </w:pPr>
      <w:r w:rsidRPr="00783B73">
        <w:t>Mer behöver göras för att säkra effektiviteten och målstyrningen av b</w:t>
      </w:r>
      <w:r w:rsidRPr="00783B73">
        <w:t>i</w:t>
      </w:r>
      <w:r w:rsidRPr="00783B73">
        <w:t>ståndet för att försäkra att fattiga människor gynnas och får verktyg att själva lyfta sig ur fattigdom. Ett modernt och effektivt bistånd bör ställa krav som fokuserar på resultaten och bör främja demokratiska processer i samarbet</w:t>
      </w:r>
      <w:r w:rsidRPr="00783B73">
        <w:t>s</w:t>
      </w:r>
      <w:r w:rsidRPr="00783B73">
        <w:t>länderna.  Därmed bör krav som innebär en detaljstyrning av politiken i sa</w:t>
      </w:r>
      <w:r w:rsidRPr="00783B73">
        <w:t>m</w:t>
      </w:r>
      <w:r w:rsidRPr="00783B73">
        <w:t>arbetslä</w:t>
      </w:r>
      <w:r w:rsidRPr="00783B73">
        <w:t>n</w:t>
      </w:r>
      <w:r w:rsidRPr="00783B73">
        <w:t xml:space="preserve">derna, och som motverkar lokalt ägarskap, undvikas. </w:t>
      </w:r>
    </w:p>
    <w:p w:rsidR="00B5503C" w:rsidRPr="00783B73" w:rsidRDefault="00B5503C">
      <w:pPr>
        <w:pStyle w:val="Normaltindrag"/>
      </w:pPr>
      <w:r w:rsidRPr="00783B73">
        <w:t>Regeringen kan också stärka översynen av resultaten genom att ge Sida i uppdrag att årligen redovisa biståndets resultat för den svenska allmä</w:t>
      </w:r>
      <w:r w:rsidRPr="00783B73">
        <w:t>nheten som ett sätta att öka öppenheten och förståelsen för vad biståndet kan åsta</w:t>
      </w:r>
      <w:r w:rsidRPr="00783B73">
        <w:t>d</w:t>
      </w:r>
      <w:r w:rsidRPr="00783B73">
        <w:t>komma. I en sådan redovisning ska en genusanalys finnas med.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3B73">
        <w:trPr>
          <w:cantSplit/>
        </w:trPr>
        <w:tc>
          <w:tcPr>
            <w:tcW w:w="3046" w:type="dxa"/>
          </w:tcPr>
          <w:p w:rsidR="00B5503C" w:rsidRPr="00783B73" w:rsidRDefault="00B5503C">
            <w:pPr>
              <w:pStyle w:val="UnderskriftDatum"/>
              <w:spacing w:before="240"/>
            </w:pPr>
            <w:r w:rsidRPr="00783B73">
              <w:t>Stockholm den 2 oktober 2007</w:t>
            </w:r>
          </w:p>
        </w:tc>
        <w:tc>
          <w:tcPr>
            <w:tcW w:w="3047" w:type="dxa"/>
          </w:tcPr>
          <w:p w:rsidR="00B5503C" w:rsidRPr="00783B73" w:rsidRDefault="00B5503C">
            <w:pPr>
              <w:pStyle w:val="Underskrifter"/>
              <w:spacing w:before="240"/>
            </w:pPr>
          </w:p>
        </w:tc>
      </w:tr>
      <w:tr w:rsidR="00000000" w:rsidRPr="00783B73">
        <w:trPr>
          <w:cantSplit/>
        </w:trPr>
        <w:tc>
          <w:tcPr>
            <w:tcW w:w="3046" w:type="dxa"/>
          </w:tcPr>
          <w:p w:rsidR="00B5503C" w:rsidRPr="00783B73" w:rsidRDefault="00B5503C">
            <w:pPr>
              <w:pStyle w:val="Underskrifter"/>
            </w:pPr>
            <w:r w:rsidRPr="00783B73">
              <w:t>Annika Qarlsson (c)</w:t>
            </w:r>
          </w:p>
        </w:tc>
        <w:tc>
          <w:tcPr>
            <w:tcW w:w="3046" w:type="dxa"/>
          </w:tcPr>
          <w:p w:rsidR="00B5503C" w:rsidRPr="00783B73" w:rsidRDefault="00B5503C">
            <w:pPr>
              <w:pStyle w:val="Underskrifter"/>
            </w:pPr>
          </w:p>
        </w:tc>
      </w:tr>
    </w:tbl>
    <w:p w:rsidR="00B5503C" w:rsidRPr="00783B73" w:rsidRDefault="00B5503C">
      <w:pPr>
        <w:pStyle w:val="Normaltindrag"/>
      </w:pPr>
    </w:p>
    <w:sectPr w:rsidR="00B5503C" w:rsidRPr="00783B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503C" w:rsidRPr="00783B73" w:rsidRDefault="00B5503C">
      <w:r w:rsidRPr="00783B73">
        <w:separator/>
      </w:r>
    </w:p>
  </w:endnote>
  <w:endnote w:type="continuationSeparator" w:id="0">
    <w:p w:rsidR="00B5503C" w:rsidRPr="00783B73" w:rsidRDefault="00B5503C">
      <w:r w:rsidRPr="00783B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03C" w:rsidRPr="00783B73" w:rsidRDefault="00783B73">
    <w:pPr>
      <w:pStyle w:val="Sidfot"/>
    </w:pPr>
    <w:r w:rsidRPr="00783B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62900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03C" w:rsidRDefault="00B550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503C" w:rsidRDefault="00B550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03C" w:rsidRPr="00783B73" w:rsidRDefault="00783B73">
    <w:pPr>
      <w:pStyle w:val="Sidfot"/>
    </w:pPr>
    <w:r w:rsidRPr="00783B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95410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03C" w:rsidRDefault="00B5503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503C" w:rsidRDefault="00B5503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03C" w:rsidRPr="00783B73" w:rsidRDefault="00783B73">
    <w:pPr>
      <w:pStyle w:val="Sidfot"/>
    </w:pPr>
    <w:r w:rsidRPr="00783B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78850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03C" w:rsidRDefault="00B550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503C" w:rsidRDefault="00B550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503C" w:rsidRPr="00783B73" w:rsidRDefault="00B5503C">
      <w:r w:rsidRPr="00783B73">
        <w:separator/>
      </w:r>
    </w:p>
  </w:footnote>
  <w:footnote w:type="continuationSeparator" w:id="0">
    <w:p w:rsidR="00B5503C" w:rsidRPr="00783B73" w:rsidRDefault="00B5503C">
      <w:r w:rsidRPr="00783B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03C" w:rsidRPr="00783B73" w:rsidRDefault="00783B73">
    <w:pPr>
      <w:pStyle w:val="Sidhuvud"/>
    </w:pPr>
    <w:r w:rsidRPr="00783B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1660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03C" w:rsidRDefault="00B5503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503C" w:rsidRDefault="00B5503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03C" w:rsidRPr="00783B73" w:rsidRDefault="00783B73">
    <w:pPr>
      <w:pStyle w:val="Sidhuvud"/>
    </w:pPr>
    <w:r w:rsidRPr="00783B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89729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03C" w:rsidRDefault="00B5503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503C" w:rsidRDefault="00B5503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03C" w:rsidRPr="00783B73" w:rsidRDefault="00B5503C">
    <w:pPr>
      <w:pStyle w:val="FSHNormal"/>
      <w:tabs>
        <w:tab w:val="right" w:pos="5840"/>
      </w:tabs>
    </w:pPr>
    <w:r w:rsidRPr="00783B73">
      <w:br/>
    </w:r>
    <w:r w:rsidRPr="00783B73">
      <w:fldChar w:fldCharType="begin" w:fldLock="1"/>
    </w:r>
    <w:r w:rsidRPr="00783B73">
      <w:instrText xml:space="preserve"> DOCPROPERTY</w:instrText>
    </w:r>
    <w:r w:rsidRPr="00783B73">
      <w:rPr>
        <w:sz w:val="18"/>
      </w:rPr>
      <w:instrText xml:space="preserve"> "YearUser" *\charformat </w:instrText>
    </w:r>
    <w:r w:rsidRPr="00783B73">
      <w:fldChar w:fldCharType="separate"/>
    </w:r>
    <w:r w:rsidRPr="00783B73">
      <w:t>2007/08</w:t>
    </w:r>
    <w:r w:rsidRPr="00783B73">
      <w:fldChar w:fldCharType="end"/>
    </w:r>
    <w:r w:rsidRPr="00783B73">
      <w:t xml:space="preserve"> </w:t>
    </w:r>
    <w:r w:rsidRPr="00783B73">
      <w:tab/>
      <w:t xml:space="preserve">mnr: </w:t>
    </w:r>
    <w:r w:rsidRPr="00783B73">
      <w:fldChar w:fldCharType="begin" w:fldLock="1"/>
    </w:r>
    <w:r w:rsidRPr="00783B73">
      <w:instrText xml:space="preserve"> DOCPROPERTY</w:instrText>
    </w:r>
    <w:r w:rsidRPr="00783B73">
      <w:rPr>
        <w:sz w:val="18"/>
      </w:rPr>
      <w:instrText xml:space="preserve"> "Motionsnummer" *\charformat </w:instrText>
    </w:r>
    <w:r w:rsidRPr="00783B73">
      <w:fldChar w:fldCharType="separate"/>
    </w:r>
    <w:r w:rsidRPr="00783B73">
      <w:t>U261</w:t>
    </w:r>
    <w:r w:rsidRPr="00783B73">
      <w:fldChar w:fldCharType="end"/>
    </w:r>
    <w:r w:rsidRPr="00783B73">
      <w:br/>
    </w:r>
    <w:r w:rsidRPr="00783B73">
      <w:fldChar w:fldCharType="begin" w:fldLock="1"/>
    </w:r>
    <w:r w:rsidRPr="00783B73">
      <w:instrText xml:space="preserve"> DOCPROPERTY</w:instrText>
    </w:r>
    <w:r w:rsidRPr="00783B73">
      <w:rPr>
        <w:sz w:val="18"/>
      </w:rPr>
      <w:instrText xml:space="preserve"> "Samling" *\charformat </w:instrText>
    </w:r>
    <w:r w:rsidRPr="00783B73">
      <w:fldChar w:fldCharType="end"/>
    </w:r>
    <w:r w:rsidRPr="00783B73">
      <w:tab/>
      <w:t xml:space="preserve">pnr: </w:t>
    </w:r>
    <w:r w:rsidRPr="00783B73">
      <w:fldChar w:fldCharType="begin" w:fldLock="1"/>
    </w:r>
    <w:r w:rsidRPr="00783B73">
      <w:instrText xml:space="preserve"> DOCPROPERTY</w:instrText>
    </w:r>
    <w:r w:rsidRPr="00783B73">
      <w:rPr>
        <w:sz w:val="18"/>
      </w:rPr>
      <w:instrText xml:space="preserve"> "Partinummer" *\charformat </w:instrText>
    </w:r>
    <w:r w:rsidRPr="00783B73">
      <w:fldChar w:fldCharType="separate"/>
    </w:r>
    <w:r w:rsidRPr="00783B73">
      <w:t>c523</w:t>
    </w:r>
    <w:r w:rsidRPr="00783B73">
      <w:fldChar w:fldCharType="end"/>
    </w:r>
  </w:p>
  <w:p w:rsidR="00B5503C" w:rsidRPr="00783B73" w:rsidRDefault="00B5503C">
    <w:pPr>
      <w:pStyle w:val="FSHRub1"/>
    </w:pPr>
    <w:r w:rsidRPr="00783B73">
      <w:t>Motion till riksdagen</w:t>
    </w:r>
    <w:r w:rsidRPr="00783B73">
      <w:br/>
    </w:r>
    <w:r w:rsidRPr="00783B73">
      <w:fldChar w:fldCharType="begin" w:fldLock="1"/>
    </w:r>
    <w:r w:rsidRPr="00783B73">
      <w:instrText xml:space="preserve"> DOCPROPERTY "YearUser" *\charformat </w:instrText>
    </w:r>
    <w:r w:rsidRPr="00783B73">
      <w:fldChar w:fldCharType="separate"/>
    </w:r>
    <w:r w:rsidRPr="00783B73">
      <w:t>2007/08</w:t>
    </w:r>
    <w:r w:rsidRPr="00783B73">
      <w:fldChar w:fldCharType="end"/>
    </w:r>
    <w:r w:rsidRPr="00783B73">
      <w:t>:</w:t>
    </w:r>
    <w:r w:rsidRPr="00783B73">
      <w:fldChar w:fldCharType="begin" w:fldLock="1"/>
    </w:r>
    <w:r w:rsidRPr="00783B73">
      <w:instrText xml:space="preserve"> DOCPROPERTY "Motionsnummer" *\charformat </w:instrText>
    </w:r>
    <w:r w:rsidRPr="00783B73">
      <w:fldChar w:fldCharType="separate"/>
    </w:r>
    <w:r w:rsidRPr="00783B73">
      <w:t>U261</w:t>
    </w:r>
    <w:r w:rsidRPr="00783B73">
      <w:fldChar w:fldCharType="end"/>
    </w:r>
  </w:p>
  <w:p w:rsidR="00B5503C" w:rsidRPr="00783B73" w:rsidRDefault="00B5503C">
    <w:pPr>
      <w:pStyle w:val="FSHNormalS5"/>
    </w:pPr>
    <w:r w:rsidRPr="00783B73">
      <w:fldChar w:fldCharType="begin" w:fldLock="1"/>
    </w:r>
    <w:r w:rsidRPr="00783B73">
      <w:instrText xml:space="preserve"> DOCPROPERTY "MotionarText" *\charformat </w:instrText>
    </w:r>
    <w:r w:rsidRPr="00783B73">
      <w:fldChar w:fldCharType="separate"/>
    </w:r>
    <w:r w:rsidRPr="00783B73">
      <w:t>av Annika Qarlsson (c)</w:t>
    </w:r>
    <w:r w:rsidRPr="00783B73">
      <w:fldChar w:fldCharType="end"/>
    </w:r>
    <w:r w:rsidRPr="00783B73">
      <w:br/>
    </w:r>
    <w:r w:rsidRPr="00783B73">
      <w:fldChar w:fldCharType="begin" w:fldLock="1"/>
    </w:r>
    <w:r w:rsidRPr="00783B73">
      <w:instrText xml:space="preserve"> DOCPROPERTY "SvarFrasKort" *\charformat </w:instrText>
    </w:r>
    <w:r w:rsidRPr="00783B73">
      <w:fldChar w:fldCharType="end"/>
    </w:r>
  </w:p>
  <w:p w:rsidR="00B5503C" w:rsidRPr="00783B73" w:rsidRDefault="00B5503C">
    <w:pPr>
      <w:pStyle w:val="FSHTitel"/>
    </w:pPr>
    <w:r w:rsidRPr="00783B73">
      <w:fldChar w:fldCharType="begin" w:fldLock="1"/>
    </w:r>
    <w:r w:rsidRPr="00783B73">
      <w:instrText xml:space="preserve"> DOCPROPERTY</w:instrText>
    </w:r>
    <w:r w:rsidRPr="00783B73">
      <w:rPr>
        <w:sz w:val="18"/>
      </w:rPr>
      <w:instrText xml:space="preserve"> "RubrikSvar" *\charformat </w:instrText>
    </w:r>
    <w:r w:rsidRPr="00783B73">
      <w:fldChar w:fldCharType="separate"/>
    </w:r>
    <w:r w:rsidRPr="00783B73">
      <w:t>Bistånd för en hållbar utveckling</w:t>
    </w:r>
    <w:r w:rsidRPr="00783B73">
      <w:fldChar w:fldCharType="end"/>
    </w:r>
  </w:p>
  <w:p w:rsidR="00B5503C" w:rsidRPr="00783B73" w:rsidRDefault="00B5503C">
    <w:pPr>
      <w:pStyle w:val="Normal00"/>
    </w:pPr>
  </w:p>
  <w:p w:rsidR="00B5503C" w:rsidRPr="00783B73" w:rsidRDefault="00B550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467C09"/>
    <w:multiLevelType w:val="hybridMultilevel"/>
    <w:tmpl w:val="08BEDB7C"/>
    <w:lvl w:ilvl="0" w:tplc="CFB865C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1710410">
    <w:abstractNumId w:val="8"/>
  </w:num>
  <w:num w:numId="2" w16cid:durableId="898128712">
    <w:abstractNumId w:val="9"/>
  </w:num>
  <w:num w:numId="3" w16cid:durableId="410202290">
    <w:abstractNumId w:val="8"/>
  </w:num>
  <w:num w:numId="4" w16cid:durableId="1774207859">
    <w:abstractNumId w:val="9"/>
  </w:num>
  <w:num w:numId="5" w16cid:durableId="1615208741">
    <w:abstractNumId w:val="14"/>
  </w:num>
  <w:num w:numId="6" w16cid:durableId="1097287020">
    <w:abstractNumId w:val="10"/>
  </w:num>
  <w:num w:numId="7" w16cid:durableId="1897666199">
    <w:abstractNumId w:val="12"/>
  </w:num>
  <w:num w:numId="8" w16cid:durableId="1461191738">
    <w:abstractNumId w:val="13"/>
  </w:num>
  <w:num w:numId="9" w16cid:durableId="1121268986">
    <w:abstractNumId w:val="8"/>
  </w:num>
  <w:num w:numId="10" w16cid:durableId="253512274">
    <w:abstractNumId w:val="3"/>
  </w:num>
  <w:num w:numId="11" w16cid:durableId="8072715">
    <w:abstractNumId w:val="2"/>
  </w:num>
  <w:num w:numId="12" w16cid:durableId="456290618">
    <w:abstractNumId w:val="1"/>
  </w:num>
  <w:num w:numId="13" w16cid:durableId="243301727">
    <w:abstractNumId w:val="0"/>
  </w:num>
  <w:num w:numId="14" w16cid:durableId="131481049">
    <w:abstractNumId w:val="9"/>
  </w:num>
  <w:num w:numId="15" w16cid:durableId="11955454">
    <w:abstractNumId w:val="7"/>
  </w:num>
  <w:num w:numId="16" w16cid:durableId="410204076">
    <w:abstractNumId w:val="6"/>
  </w:num>
  <w:num w:numId="17" w16cid:durableId="1924562754">
    <w:abstractNumId w:val="5"/>
  </w:num>
  <w:num w:numId="18" w16cid:durableId="1323044187">
    <w:abstractNumId w:val="4"/>
  </w:num>
  <w:num w:numId="19" w16cid:durableId="3193141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C5770185-CDC2-4F16-B45E-29D56F4146F6}"/>
  </w:docVars>
  <w:rsids>
    <w:rsidRoot w:val="00D77940"/>
    <w:rsid w:val="00783B73"/>
    <w:rsid w:val="00B5503C"/>
    <w:rsid w:val="00D779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458F58-5A19-4AD9-A4A6-CB8B2505F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tabs>
        <w:tab w:val="clear" w:pos="360"/>
      </w:tabs>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4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4415</Characters>
  <Application>Microsoft Office Word</Application>
  <DocSecurity>4</DocSecurity>
  <Lines>81</Lines>
  <Paragraphs>23</Paragraphs>
  <ScaleCrop>false</ScaleCrop>
  <HeadingPairs>
    <vt:vector size="2" baseType="variant">
      <vt:variant>
        <vt:lpstr>Rubrik</vt:lpstr>
      </vt:variant>
      <vt:variant>
        <vt:i4>1</vt:i4>
      </vt:variant>
    </vt:vector>
  </HeadingPairs>
  <TitlesOfParts>
    <vt:vector size="1" baseType="lpstr">
      <vt:lpstr>c523</vt:lpstr>
    </vt:vector>
  </TitlesOfParts>
  <Company>Riksdagen</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c523</dc:title>
  <dc:subject>c523</dc:subject>
  <dc:creator>Riksdagen</dc:creator>
  <cp:keywords>Riksdagen</cp:keywords>
  <dc:description>TKG-ktrl, MSMQ4mb, PersReg-Distribution mm</dc:description>
  <cp:lastModifiedBy>Lars Brink</cp:lastModifiedBy>
  <cp:revision>2</cp:revision>
  <cp:lastPrinted>2007-11-27T14:51:00Z</cp:lastPrinted>
  <dcterms:created xsi:type="dcterms:W3CDTF">2025-12-17T10:19:00Z</dcterms:created>
  <dcterms:modified xsi:type="dcterms:W3CDTF">2025-12-17T10:19:00Z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Bistånd för en hållbar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Bistånd för en hållbar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c523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Qarlsson (c)</vt:lpwstr>
  </property>
  <property fmtid="{D5CDD505-2E9C-101B-9397-08002B2CF9AE}" pid="26" name="MotionarLista">
    <vt:lpwstr>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U261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20072008000000000099000005230069</vt:lpwstr>
  </property>
  <property fmtid="{D5CDD505-2E9C-101B-9397-08002B2CF9AE}" pid="47" name="datum">
    <vt:lpwstr>071002</vt:lpwstr>
  </property>
  <property fmtid="{D5CDD505-2E9C-101B-9397-08002B2CF9AE}" pid="48" name="avsändar-e-post">
    <vt:lpwstr>elisabeth.borelius@riksdagen.se</vt:lpwstr>
  </property>
  <property fmtid="{D5CDD505-2E9C-101B-9397-08002B2CF9AE}" pid="49" name="id">
    <vt:lpwstr>20072008000000000099000005230069</vt:lpwstr>
  </property>
  <property fmtid="{D5CDD505-2E9C-101B-9397-08002B2CF9AE}" pid="50" name="nummer">
    <vt:lpwstr>261</vt:lpwstr>
  </property>
  <property fmtid="{D5CDD505-2E9C-101B-9397-08002B2CF9AE}" pid="51" name="utskottsbeteckning">
    <vt:lpwstr>U</vt:lpwstr>
  </property>
  <property fmtid="{D5CDD505-2E9C-101B-9397-08002B2CF9AE}" pid="52" name="GlobalUID">
    <vt:lpwstr>{8213CFC6-456A-4CC8-B999-991400A2DAFA}</vt:lpwstr>
  </property>
  <property fmtid="{D5CDD505-2E9C-101B-9397-08002B2CF9AE}" pid="53" name="Överföringar">
    <vt:i4>0</vt:i4>
  </property>
  <property fmtid="{D5CDD505-2E9C-101B-9397-08002B2CF9AE}" pid="54" name="Checksum">
    <vt:lpwstr>*0005781414831*</vt:lpwstr>
  </property>
  <property fmtid="{D5CDD505-2E9C-101B-9397-08002B2CF9AE}" pid="55" name="skuggnummer">
    <vt:lpwstr>1173</vt:lpwstr>
  </property>
  <property fmtid="{D5CDD505-2E9C-101B-9397-08002B2CF9AE}" pid="56" name="urixVersion">
    <vt:lpwstr>3.2.0.8</vt:lpwstr>
  </property>
  <property fmtid="{D5CDD505-2E9C-101B-9397-08002B2CF9AE}" pid="57" name="urixOrigin">
    <vt:lpwstr>071127 15:51:23.286</vt:lpwstr>
  </property>
  <property fmtid="{D5CDD505-2E9C-101B-9397-08002B2CF9AE}" pid="58" name="urixGuid">
    <vt:lpwstr>{71C4F043-1D4C-464B-AA06-9614FEA0D08E}</vt:lpwstr>
  </property>
</Properties>
</file>