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1437D">
        <w:tblPrEx>
          <w:tblCellMar>
            <w:top w:w="0" w:type="dxa"/>
            <w:left w:w="0" w:type="dxa"/>
            <w:bottom w:w="0" w:type="dxa"/>
            <w:right w:w="0" w:type="dxa"/>
          </w:tblCellMar>
        </w:tblPrEx>
        <w:trPr>
          <w:gridAfter w:val="2"/>
          <w:wAfter w:w="1758" w:type="dxa"/>
          <w:cantSplit/>
          <w:trHeight w:val="1320"/>
        </w:trPr>
        <w:tc>
          <w:tcPr>
            <w:tcW w:w="5897" w:type="dxa"/>
          </w:tcPr>
          <w:p w:rsidR="0085270B" w:rsidRPr="0021437D" w:rsidRDefault="0085270B">
            <w:pPr>
              <w:pStyle w:val="HuvudRubrik"/>
            </w:pPr>
            <w:r w:rsidRPr="0021437D">
              <w:t>Regeringskansliet</w:t>
            </w:r>
          </w:p>
          <w:p w:rsidR="0085270B" w:rsidRPr="0021437D" w:rsidRDefault="0085270B">
            <w:pPr>
              <w:pStyle w:val="HuvudRubrik"/>
            </w:pPr>
            <w:r w:rsidRPr="0021437D">
              <w:t>Faktapromemoria  2007/08:FPM91</w:t>
            </w:r>
          </w:p>
        </w:tc>
      </w:tr>
      <w:tr w:rsidR="00000000" w:rsidRPr="0021437D">
        <w:tblPrEx>
          <w:tblCellMar>
            <w:top w:w="0" w:type="dxa"/>
            <w:left w:w="0" w:type="dxa"/>
            <w:bottom w:w="0" w:type="dxa"/>
            <w:right w:w="0" w:type="dxa"/>
          </w:tblCellMar>
        </w:tblPrEx>
        <w:trPr>
          <w:gridAfter w:val="2"/>
          <w:wAfter w:w="1758" w:type="dxa"/>
          <w:cantSplit/>
          <w:trHeight w:val="240"/>
        </w:trPr>
        <w:tc>
          <w:tcPr>
            <w:tcW w:w="5897" w:type="dxa"/>
          </w:tcPr>
          <w:p w:rsidR="0085270B" w:rsidRPr="0021437D" w:rsidRDefault="0085270B">
            <w:pPr>
              <w:pStyle w:val="HuvudRubrik"/>
              <w:rPr>
                <w:sz w:val="28"/>
              </w:rPr>
            </w:pPr>
            <w:r w:rsidRPr="0021437D">
              <w:t>Meddelande om skogsindustrin</w:t>
            </w:r>
          </w:p>
        </w:tc>
      </w:tr>
      <w:tr w:rsidR="00000000" w:rsidRPr="0021437D">
        <w:tblPrEx>
          <w:tblCellMar>
            <w:top w:w="0" w:type="dxa"/>
            <w:left w:w="0" w:type="dxa"/>
            <w:bottom w:w="0" w:type="dxa"/>
            <w:right w:w="0" w:type="dxa"/>
          </w:tblCellMar>
        </w:tblPrEx>
        <w:trPr>
          <w:cantSplit/>
          <w:trHeight w:val="285"/>
        </w:trPr>
        <w:tc>
          <w:tcPr>
            <w:tcW w:w="7655" w:type="dxa"/>
            <w:gridSpan w:val="3"/>
          </w:tcPr>
          <w:p w:rsidR="0085270B" w:rsidRPr="0021437D" w:rsidRDefault="0085270B">
            <w:pPr>
              <w:pStyle w:val="Departement"/>
              <w:rPr>
                <w:sz w:val="28"/>
              </w:rPr>
            </w:pPr>
            <w:r w:rsidRPr="0021437D">
              <w:t>Näringsdepartementet</w:t>
            </w:r>
          </w:p>
        </w:tc>
      </w:tr>
      <w:tr w:rsidR="00000000" w:rsidRPr="0021437D">
        <w:tblPrEx>
          <w:tblCellMar>
            <w:top w:w="0" w:type="dxa"/>
            <w:left w:w="0" w:type="dxa"/>
            <w:bottom w:w="0" w:type="dxa"/>
            <w:right w:w="0" w:type="dxa"/>
          </w:tblCellMar>
        </w:tblPrEx>
        <w:trPr>
          <w:cantSplit/>
          <w:trHeight w:val="240"/>
        </w:trPr>
        <w:tc>
          <w:tcPr>
            <w:tcW w:w="7655" w:type="dxa"/>
            <w:gridSpan w:val="3"/>
          </w:tcPr>
          <w:p w:rsidR="0085270B" w:rsidRPr="0021437D" w:rsidRDefault="0085270B">
            <w:pPr>
              <w:pStyle w:val="Dokumentdatum"/>
            </w:pPr>
            <w:r w:rsidRPr="0021437D">
              <w:t>2008-04-10</w:t>
            </w:r>
          </w:p>
        </w:tc>
      </w:tr>
      <w:tr w:rsidR="00000000" w:rsidRPr="0021437D">
        <w:tblPrEx>
          <w:tblCellMar>
            <w:top w:w="0" w:type="dxa"/>
            <w:left w:w="0" w:type="dxa"/>
            <w:bottom w:w="0" w:type="dxa"/>
            <w:right w:w="0" w:type="dxa"/>
          </w:tblCellMar>
        </w:tblPrEx>
        <w:trPr>
          <w:cantSplit/>
          <w:trHeight w:val="726"/>
        </w:trPr>
        <w:tc>
          <w:tcPr>
            <w:tcW w:w="7655" w:type="dxa"/>
            <w:gridSpan w:val="3"/>
            <w:vAlign w:val="bottom"/>
          </w:tcPr>
          <w:p w:rsidR="0085270B" w:rsidRPr="0021437D" w:rsidRDefault="0085270B">
            <w:pPr>
              <w:pStyle w:val="Dokumentbeteckning"/>
            </w:pPr>
            <w:r w:rsidRPr="0021437D">
              <w:t>Dokumentbeteckning</w:t>
            </w:r>
          </w:p>
        </w:tc>
      </w:tr>
      <w:tr w:rsidR="00000000" w:rsidRPr="0021437D">
        <w:tblPrEx>
          <w:tblCellMar>
            <w:top w:w="0" w:type="dxa"/>
            <w:left w:w="0" w:type="dxa"/>
            <w:bottom w:w="0" w:type="dxa"/>
            <w:right w:w="0" w:type="dxa"/>
          </w:tblCellMar>
        </w:tblPrEx>
        <w:trPr>
          <w:gridAfter w:val="1"/>
          <w:wAfter w:w="1560" w:type="dxa"/>
          <w:trHeight w:val="617"/>
        </w:trPr>
        <w:tc>
          <w:tcPr>
            <w:tcW w:w="6095" w:type="dxa"/>
            <w:gridSpan w:val="2"/>
          </w:tcPr>
          <w:p w:rsidR="0085270B" w:rsidRPr="0021437D" w:rsidRDefault="0085270B">
            <w:bookmarkStart w:id="0" w:name="KomNr"/>
            <w:bookmarkEnd w:id="0"/>
            <w:r w:rsidRPr="0021437D">
              <w:t>KOM (2008) 113 final</w:t>
            </w:r>
          </w:p>
        </w:tc>
      </w:tr>
      <w:tr w:rsidR="00000000" w:rsidRPr="0021437D">
        <w:tblPrEx>
          <w:tblCellMar>
            <w:top w:w="0" w:type="dxa"/>
            <w:left w:w="0" w:type="dxa"/>
            <w:bottom w:w="0" w:type="dxa"/>
            <w:right w:w="0" w:type="dxa"/>
          </w:tblCellMar>
        </w:tblPrEx>
        <w:trPr>
          <w:gridAfter w:val="1"/>
          <w:wAfter w:w="1560" w:type="dxa"/>
          <w:trHeight w:val="617"/>
        </w:trPr>
        <w:tc>
          <w:tcPr>
            <w:tcW w:w="6095" w:type="dxa"/>
            <w:gridSpan w:val="2"/>
          </w:tcPr>
          <w:p w:rsidR="0085270B" w:rsidRPr="0021437D" w:rsidRDefault="0085270B">
            <w:pPr>
              <w:pStyle w:val="Dokumentbeteckning-titel"/>
            </w:pPr>
            <w:r w:rsidRPr="0021437D">
              <w:t>Medelande från kommissionen till rådet om innovativa och hållbara skogsbaserade industrier i EU - Ett bidrag till EU: tillväxt och arbetsstrategi</w:t>
            </w:r>
          </w:p>
        </w:tc>
      </w:tr>
    </w:tbl>
    <w:p w:rsidR="0085270B" w:rsidRPr="0021437D" w:rsidRDefault="0085270B"/>
    <w:p w:rsidR="0085270B" w:rsidRPr="0021437D" w:rsidRDefault="0085270B">
      <w:pPr>
        <w:pStyle w:val="Rubrik1"/>
        <w:numPr>
          <w:ilvl w:val="0"/>
          <w:numId w:val="0"/>
        </w:numPr>
      </w:pPr>
      <w:r w:rsidRPr="0021437D">
        <w:t>Sammanfattning</w:t>
      </w:r>
    </w:p>
    <w:p w:rsidR="0085270B" w:rsidRPr="0021437D" w:rsidRDefault="0085270B">
      <w:r w:rsidRPr="0021437D">
        <w:t>Kommissionen har genom sitt meddelande, COM(2008) 113 Final, om en innovativ och hållbar skogsindustri i EU lämnat ett bidrag till EUs strategi för tillväxt och sysselsättning. Meddelandet är ett fortsatt steg i införandet av EUs industristrategi som har sin grund i kommissionens meddelande från 2005 COM (2005) 474 Final.</w:t>
      </w:r>
    </w:p>
    <w:p w:rsidR="0085270B" w:rsidRPr="0021437D" w:rsidRDefault="0085270B"/>
    <w:p w:rsidR="0085270B" w:rsidRPr="0021437D" w:rsidRDefault="0085270B">
      <w:r w:rsidRPr="0021437D">
        <w:t>Ett antal åtgärder  föreslås som är komplementära till handlingsplanen för skog COM (2006) 302 Final, vars mål är den långsiktiga konkurrenskraften hos den skogsbaserade industrin. De föreslagna åtgärderna har varit föremål för offentlig konsultation och reviderats av Advisory committy on Community Policy regarding Forestry and Forest based Industries.</w:t>
      </w:r>
    </w:p>
    <w:p w:rsidR="0085270B" w:rsidRPr="0021437D" w:rsidRDefault="0085270B"/>
    <w:p w:rsidR="0085270B" w:rsidRPr="0021437D" w:rsidRDefault="0085270B"/>
    <w:p w:rsidR="0085270B" w:rsidRPr="0021437D" w:rsidRDefault="0085270B"/>
    <w:p w:rsidR="0085270B" w:rsidRPr="0021437D" w:rsidRDefault="0085270B"/>
    <w:p w:rsidR="0085270B" w:rsidRPr="0021437D" w:rsidRDefault="0085270B"/>
    <w:p w:rsidR="0085270B" w:rsidRPr="0021437D" w:rsidRDefault="0085270B"/>
    <w:p w:rsidR="0085270B" w:rsidRPr="0021437D" w:rsidRDefault="0085270B"/>
    <w:p w:rsidR="0085270B" w:rsidRPr="0021437D" w:rsidRDefault="0085270B">
      <w:pPr>
        <w:pStyle w:val="Rubrik1"/>
      </w:pPr>
      <w:r w:rsidRPr="0021437D">
        <w:lastRenderedPageBreak/>
        <w:t>Förslaget</w:t>
      </w:r>
    </w:p>
    <w:p w:rsidR="0085270B" w:rsidRPr="0021437D" w:rsidRDefault="0085270B">
      <w:pPr>
        <w:rPr>
          <w:sz w:val="20"/>
        </w:rPr>
      </w:pPr>
    </w:p>
    <w:p w:rsidR="0085270B" w:rsidRPr="0021437D" w:rsidRDefault="0085270B">
      <w:pPr>
        <w:pStyle w:val="Rubrik2"/>
      </w:pPr>
      <w:r w:rsidRPr="0021437D">
        <w:t>Ärendets bakgrund</w:t>
      </w:r>
    </w:p>
    <w:p w:rsidR="0085270B" w:rsidRPr="0021437D" w:rsidRDefault="0085270B">
      <w:r w:rsidRPr="0021437D">
        <w:t>Meddelandet utgör ett  steg i införandet av EUs industristrategi som har sin grund i kommissionens meddelande från 2005 COM (2005) 474 Final.</w:t>
      </w:r>
    </w:p>
    <w:p w:rsidR="0085270B" w:rsidRPr="0021437D" w:rsidRDefault="0085270B">
      <w:pPr>
        <w:pStyle w:val="Rubrik2"/>
      </w:pPr>
      <w:r w:rsidRPr="0021437D">
        <w:t>Förslagets innehåll</w:t>
      </w:r>
    </w:p>
    <w:p w:rsidR="0085270B" w:rsidRPr="0021437D" w:rsidRDefault="0085270B">
      <w:r w:rsidRPr="0021437D">
        <w:t xml:space="preserve">Kommissionens meddelande visar att den skogsbaserade industrin inom EU har ett totalt produktionsvärde motsvarande 365 miljarder Euro och ett förädlingsvärde motsvarande 120 miljarder Euro. Industrin sysselsätter mer än 3 miljoner människor i 344 000 företag.  </w:t>
      </w:r>
    </w:p>
    <w:p w:rsidR="0085270B" w:rsidRPr="0021437D" w:rsidRDefault="0085270B">
      <w:pPr>
        <w:rPr>
          <w:sz w:val="20"/>
        </w:rPr>
      </w:pPr>
      <w:r w:rsidRPr="0021437D">
        <w:rPr>
          <w:sz w:val="20"/>
        </w:rPr>
        <w:t xml:space="preserve">Meddelandet pekar på de utmaningar som sektorn f.n. möter med avseende på tillgång till råvara, behov av att reducera växthusgaser, innovation, handel samt information om skogsbaserade produkter och föreslår ett antal åtgärder för att stärka konkurrenskraft, innovation och hållbarhet i den skogsbaserade industrin.   </w:t>
      </w:r>
    </w:p>
    <w:p w:rsidR="0085270B" w:rsidRPr="0021437D" w:rsidRDefault="0085270B"/>
    <w:p w:rsidR="0085270B" w:rsidRPr="0021437D" w:rsidRDefault="0085270B">
      <w:r w:rsidRPr="0021437D">
        <w:t>Tillgång till råvara</w:t>
      </w:r>
    </w:p>
    <w:p w:rsidR="0085270B" w:rsidRPr="0021437D" w:rsidRDefault="0085270B">
      <w:r w:rsidRPr="0021437D">
        <w:t>Priset på träråvaran utgör den högsta kostnaden för många företag. Inom papperstillverkning utgör mer än 30 procent av de totala produktions- kostnaderna kostnader för träråvara. I sågverken ligger motsvarande  siffra på 65-70 procent. Meddelandet understryker därför vikten av att främja inhemskt utbud och undvika importrestriktioner samt pekar på den potential som finns i att öka det inhemska utbudet genom ett hållbart skogsbruk. Med det ökande behovet av råvaror så ökar också användningen av återvunnet m</w:t>
      </w:r>
      <w:r w:rsidRPr="0021437D">
        <w:t>aterial. Idag utgörs halva EUs pappers- produktion av återvunnet papper. Den ökande konkurrensen om träråvara måste också, enligt meddelandet, beaktas vid utveckling av policies inom områden som förnybar energi, biodiversitet, fritid och andra sociala funktioner.</w:t>
      </w:r>
    </w:p>
    <w:p w:rsidR="0085270B" w:rsidRPr="0021437D" w:rsidRDefault="0085270B"/>
    <w:p w:rsidR="0085270B" w:rsidRPr="0021437D" w:rsidRDefault="0085270B">
      <w:r w:rsidRPr="0021437D">
        <w:t>Åtgärder  som föreslås inom området:</w:t>
      </w:r>
    </w:p>
    <w:p w:rsidR="0085270B" w:rsidRPr="0021437D" w:rsidRDefault="0085270B">
      <w:pPr>
        <w:pStyle w:val="Punktlista"/>
        <w:rPr>
          <w:rFonts w:ascii="Times New Roman" w:hAnsi="Times New Roman"/>
          <w:sz w:val="20"/>
        </w:rPr>
      </w:pPr>
      <w:r w:rsidRPr="0021437D">
        <w:rPr>
          <w:rFonts w:ascii="Times New Roman" w:hAnsi="Times New Roman"/>
          <w:sz w:val="20"/>
        </w:rPr>
        <w:t xml:space="preserve">Aktiv och hållbar skogbrukspolitik med förbättrade logistikrelationer mellan skogsägare och industrin  </w:t>
      </w:r>
    </w:p>
    <w:p w:rsidR="0085270B" w:rsidRPr="0021437D" w:rsidRDefault="0085270B">
      <w:pPr>
        <w:pStyle w:val="Punktlista"/>
        <w:rPr>
          <w:rFonts w:ascii="Times New Roman" w:hAnsi="Times New Roman"/>
          <w:sz w:val="20"/>
        </w:rPr>
      </w:pPr>
      <w:r w:rsidRPr="0021437D">
        <w:rPr>
          <w:rFonts w:ascii="Times New Roman" w:hAnsi="Times New Roman"/>
          <w:sz w:val="20"/>
        </w:rPr>
        <w:t>Minskning av utbud/efterfrågegap genom avverkning och återplantering</w:t>
      </w:r>
    </w:p>
    <w:p w:rsidR="0085270B" w:rsidRPr="0021437D" w:rsidRDefault="0085270B">
      <w:pPr>
        <w:pStyle w:val="Punktlista"/>
        <w:rPr>
          <w:rFonts w:ascii="Times New Roman" w:hAnsi="Times New Roman"/>
          <w:sz w:val="20"/>
        </w:rPr>
      </w:pPr>
      <w:r w:rsidRPr="0021437D">
        <w:rPr>
          <w:rFonts w:ascii="Times New Roman" w:hAnsi="Times New Roman"/>
          <w:sz w:val="20"/>
        </w:rPr>
        <w:t>Vidareutveckling av marknaden för återvunnet papper</w:t>
      </w:r>
    </w:p>
    <w:p w:rsidR="0085270B" w:rsidRPr="0021437D" w:rsidRDefault="0085270B">
      <w:pPr>
        <w:pStyle w:val="Punktlista"/>
        <w:rPr>
          <w:rFonts w:ascii="Times New Roman" w:hAnsi="Times New Roman"/>
          <w:sz w:val="20"/>
        </w:rPr>
      </w:pPr>
      <w:r w:rsidRPr="0021437D">
        <w:rPr>
          <w:rFonts w:ascii="Times New Roman" w:hAnsi="Times New Roman"/>
          <w:sz w:val="20"/>
        </w:rPr>
        <w:t>Kostnadseffektiva återvinningssystem för papper och skogsprodukter bör uppmuntras av medlemsstaterna</w:t>
      </w:r>
    </w:p>
    <w:p w:rsidR="0085270B" w:rsidRPr="0021437D" w:rsidRDefault="0085270B">
      <w:pPr>
        <w:pStyle w:val="Punktlista"/>
        <w:rPr>
          <w:rFonts w:ascii="Times New Roman" w:hAnsi="Times New Roman"/>
          <w:sz w:val="20"/>
        </w:rPr>
      </w:pPr>
      <w:r w:rsidRPr="0021437D">
        <w:rPr>
          <w:rFonts w:ascii="Times New Roman" w:hAnsi="Times New Roman"/>
          <w:sz w:val="20"/>
        </w:rPr>
        <w:t>Otillåten avverkning och handel med skogsprodukter skall förhindras</w:t>
      </w:r>
    </w:p>
    <w:p w:rsidR="0085270B" w:rsidRPr="0021437D" w:rsidRDefault="0085270B">
      <w:pPr>
        <w:pStyle w:val="Punktlista"/>
        <w:rPr>
          <w:rFonts w:ascii="Times New Roman" w:hAnsi="Times New Roman"/>
          <w:sz w:val="20"/>
        </w:rPr>
      </w:pPr>
      <w:r w:rsidRPr="0021437D">
        <w:rPr>
          <w:rFonts w:ascii="Times New Roman" w:hAnsi="Times New Roman"/>
          <w:sz w:val="20"/>
        </w:rPr>
        <w:t>Balanserad användning av skogsresurser</w:t>
      </w:r>
    </w:p>
    <w:p w:rsidR="0085270B" w:rsidRPr="0021437D" w:rsidRDefault="0085270B">
      <w:pPr>
        <w:pStyle w:val="Punktlista"/>
        <w:numPr>
          <w:ilvl w:val="0"/>
          <w:numId w:val="0"/>
        </w:numPr>
        <w:rPr>
          <w:rFonts w:ascii="Times New Roman" w:hAnsi="Times New Roman"/>
          <w:sz w:val="20"/>
        </w:rPr>
      </w:pPr>
    </w:p>
    <w:p w:rsidR="0085270B" w:rsidRPr="0021437D" w:rsidRDefault="0085270B">
      <w:r w:rsidRPr="0021437D">
        <w:t>Policies avseende klimatförändringar</w:t>
      </w:r>
    </w:p>
    <w:p w:rsidR="0085270B" w:rsidRPr="0021437D" w:rsidRDefault="0085270B">
      <w:r w:rsidRPr="0021437D">
        <w:t>Meddelandet gör gällande att  en uthållig och effektiv skogspolitik ökar skogens bidrag till att reducera växthusgaser samt pekar på att EUs politik avseende klimatförändring har avsevärda effekter på energiintensiva processer inom massa-, pappers- och viss träpanelproduktion. Bränsle och elkostnader uppgår till mellan 13-18 procent av tillverkningskostnaderna för massa och papper inom EU. Faktorer som bidrar till högre priser utgörs av ökande bränsle- och elkostnader, behovet av att minska växthusgaser sa</w:t>
      </w:r>
      <w:r w:rsidRPr="0021437D">
        <w:t>mt utvecklingen av förnybara energikällor. Höga kostnader utmanar  industrins konkurrenskraft och förstärker behovet av avreglering och effektiv energipolitik.</w:t>
      </w:r>
    </w:p>
    <w:p w:rsidR="0085270B" w:rsidRPr="0021437D" w:rsidRDefault="0085270B"/>
    <w:p w:rsidR="0085270B" w:rsidRPr="0021437D" w:rsidRDefault="0085270B">
      <w:r w:rsidRPr="0021437D">
        <w:t>Det framförs också att eftersom den skogsbaserade industrin har stora utsläpp av koldioxid</w:t>
      </w:r>
      <w:r w:rsidRPr="0021437D">
        <w:rPr>
          <w:vertAlign w:val="subscript"/>
        </w:rPr>
        <w:t xml:space="preserve"> </w:t>
      </w:r>
      <w:r w:rsidRPr="0021437D">
        <w:t>förväntas den göra omfattande insatser för  att mildra klimatförändringar. Det ligger inte i EUs intresse att framtida produktion flyttar till andra länder med svagare utsläppskrav (kolläckage) då detta skull få negativa konsekvenser på miljö och ekonomi.</w:t>
      </w:r>
    </w:p>
    <w:p w:rsidR="0085270B" w:rsidRPr="0021437D" w:rsidRDefault="0085270B"/>
    <w:p w:rsidR="0085270B" w:rsidRPr="0021437D" w:rsidRDefault="0085270B">
      <w:r w:rsidRPr="0021437D">
        <w:t>Åtgärder som föreslås inom området:</w:t>
      </w:r>
    </w:p>
    <w:p w:rsidR="0085270B" w:rsidRPr="0021437D" w:rsidRDefault="0085270B">
      <w:pPr>
        <w:pStyle w:val="Punktlista"/>
        <w:rPr>
          <w:rFonts w:ascii="Times New Roman" w:hAnsi="Times New Roman"/>
          <w:sz w:val="20"/>
        </w:rPr>
      </w:pPr>
      <w:r w:rsidRPr="0021437D">
        <w:rPr>
          <w:rFonts w:ascii="Times New Roman" w:hAnsi="Times New Roman"/>
          <w:sz w:val="20"/>
        </w:rPr>
        <w:t>Skog och skogsbaserade industrier har en strategisk roll i att mildra klimatförändringarna, som bör stärkas</w:t>
      </w:r>
    </w:p>
    <w:p w:rsidR="0085270B" w:rsidRPr="0021437D" w:rsidRDefault="0085270B">
      <w:pPr>
        <w:pStyle w:val="Punktlista"/>
        <w:rPr>
          <w:rFonts w:ascii="Times New Roman" w:hAnsi="Times New Roman"/>
          <w:sz w:val="20"/>
        </w:rPr>
      </w:pPr>
      <w:r w:rsidRPr="0021437D">
        <w:rPr>
          <w:rFonts w:ascii="Times New Roman" w:hAnsi="Times New Roman"/>
          <w:sz w:val="20"/>
        </w:rPr>
        <w:t>Betydelsen av lagring av kol i avverkad skog för reduktion av klimatförändringar bör framhållas</w:t>
      </w:r>
    </w:p>
    <w:p w:rsidR="0085270B" w:rsidRPr="0021437D" w:rsidRDefault="0085270B">
      <w:pPr>
        <w:pStyle w:val="Punktlista"/>
        <w:rPr>
          <w:rFonts w:ascii="Times New Roman" w:hAnsi="Times New Roman"/>
          <w:sz w:val="20"/>
        </w:rPr>
      </w:pPr>
      <w:r w:rsidRPr="0021437D">
        <w:rPr>
          <w:rFonts w:ascii="Times New Roman" w:hAnsi="Times New Roman"/>
          <w:sz w:val="20"/>
        </w:rPr>
        <w:t>Revision av EU handelssystem för utsläppsrättigheter</w:t>
      </w:r>
    </w:p>
    <w:p w:rsidR="0085270B" w:rsidRPr="0021437D" w:rsidRDefault="0085270B">
      <w:pPr>
        <w:pStyle w:val="Punktlista"/>
        <w:rPr>
          <w:rFonts w:ascii="Times New Roman" w:hAnsi="Times New Roman"/>
          <w:sz w:val="20"/>
        </w:rPr>
      </w:pPr>
      <w:r w:rsidRPr="0021437D">
        <w:rPr>
          <w:rFonts w:ascii="Times New Roman" w:hAnsi="Times New Roman"/>
          <w:sz w:val="20"/>
        </w:rPr>
        <w:t>Lagstiftning  inom den skogsbaserade industrin bör baseras på Best Available Technique(BAT) och samtidigt ge utrymme för flexibla lösningar</w:t>
      </w:r>
    </w:p>
    <w:p w:rsidR="0085270B" w:rsidRPr="0021437D" w:rsidRDefault="0085270B">
      <w:pPr>
        <w:pStyle w:val="Punktlista"/>
        <w:rPr>
          <w:rFonts w:ascii="Times New Roman" w:hAnsi="Times New Roman"/>
          <w:sz w:val="20"/>
        </w:rPr>
      </w:pPr>
      <w:r w:rsidRPr="0021437D">
        <w:rPr>
          <w:rFonts w:ascii="Times New Roman" w:hAnsi="Times New Roman"/>
          <w:sz w:val="20"/>
        </w:rPr>
        <w:t>Konsistent implementering i medlemsstaterna av  direktiv om Integrated Pollution Prevention and Control (IPPC-direktivet)</w:t>
      </w:r>
    </w:p>
    <w:p w:rsidR="0085270B" w:rsidRPr="0021437D" w:rsidRDefault="0085270B"/>
    <w:p w:rsidR="0085270B" w:rsidRPr="0021437D" w:rsidRDefault="0085270B"/>
    <w:p w:rsidR="0085270B" w:rsidRPr="0021437D" w:rsidRDefault="0085270B">
      <w:r w:rsidRPr="0021437D">
        <w:t>Innovation, forskning och utveckling</w:t>
      </w:r>
    </w:p>
    <w:p w:rsidR="0085270B" w:rsidRPr="0021437D" w:rsidRDefault="0085270B">
      <w:r w:rsidRPr="0021437D">
        <w:t xml:space="preserve">Meddelandet påpekar att  ökade investeringar i forskning, teknologi och demonstration samt innovativt användande av teknik och kommersiell kompetens är nödvändiga faktorer för att fortsatt utveckla den skogsbaserade industris konkurrenskraft. Skogssektorns teknologiplattform (FTP) utgör ett viktigt instrument för att koordinera forskningssatsningar från industrin. Europeiska kommissionen och medlemsstaterna har en väsentlig roll för att stärka sektorns innovativa förmåga. </w:t>
      </w:r>
    </w:p>
    <w:p w:rsidR="0085270B" w:rsidRPr="0021437D" w:rsidRDefault="0085270B"/>
    <w:p w:rsidR="0085270B" w:rsidRPr="0021437D" w:rsidRDefault="0085270B">
      <w:r w:rsidRPr="0021437D">
        <w:t>Åtgärder som föreslås inom området:</w:t>
      </w:r>
    </w:p>
    <w:p w:rsidR="0085270B" w:rsidRPr="0021437D" w:rsidRDefault="0085270B">
      <w:pPr>
        <w:pStyle w:val="Punktlista"/>
        <w:rPr>
          <w:rFonts w:ascii="Times New Roman" w:hAnsi="Times New Roman"/>
          <w:sz w:val="20"/>
        </w:rPr>
      </w:pPr>
      <w:r w:rsidRPr="0021437D">
        <w:rPr>
          <w:rFonts w:ascii="Times New Roman" w:hAnsi="Times New Roman"/>
          <w:sz w:val="20"/>
        </w:rPr>
        <w:t>Nivån avseende kunskap, innovation och RTD  inom den skogsbaserade industrin bör höjas och insatser för att sprida information om träprodukters egenskaper vidareutvecklas</w:t>
      </w:r>
    </w:p>
    <w:p w:rsidR="0085270B" w:rsidRPr="0021437D" w:rsidRDefault="0085270B">
      <w:pPr>
        <w:pStyle w:val="Punktlista"/>
        <w:rPr>
          <w:rFonts w:ascii="Times New Roman" w:hAnsi="Times New Roman"/>
          <w:sz w:val="20"/>
        </w:rPr>
      </w:pPr>
      <w:r w:rsidRPr="0021437D">
        <w:rPr>
          <w:rFonts w:ascii="Times New Roman" w:hAnsi="Times New Roman"/>
          <w:sz w:val="20"/>
        </w:rPr>
        <w:t xml:space="preserve">Den strategiska forskningsagendan från Skogssektorns teknikplattform bör utgöra en bas för en enhetlig syn på forskningsprioriteringar i det 7:e ramprogrammet </w:t>
      </w:r>
    </w:p>
    <w:p w:rsidR="0085270B" w:rsidRPr="0021437D" w:rsidRDefault="0085270B">
      <w:pPr>
        <w:pStyle w:val="Punktlista"/>
        <w:rPr>
          <w:rFonts w:ascii="Times New Roman" w:hAnsi="Times New Roman"/>
          <w:sz w:val="20"/>
        </w:rPr>
      </w:pPr>
      <w:r w:rsidRPr="0021437D">
        <w:rPr>
          <w:rFonts w:ascii="Times New Roman" w:hAnsi="Times New Roman"/>
          <w:sz w:val="20"/>
        </w:rPr>
        <w:t xml:space="preserve">Vidareutveckling av kluster för att underlätta samverkan och förstärka synergier i  den skogliga värdekedjan med särskilt fokus på SME </w:t>
      </w:r>
    </w:p>
    <w:p w:rsidR="0085270B" w:rsidRPr="0021437D" w:rsidRDefault="0085270B">
      <w:pPr>
        <w:pStyle w:val="Punktlista"/>
        <w:rPr>
          <w:rFonts w:ascii="Times New Roman" w:hAnsi="Times New Roman"/>
          <w:sz w:val="20"/>
        </w:rPr>
      </w:pPr>
      <w:r w:rsidRPr="0021437D">
        <w:rPr>
          <w:rFonts w:ascii="Times New Roman" w:hAnsi="Times New Roman"/>
          <w:sz w:val="20"/>
        </w:rPr>
        <w:t>Satsningar i underutvecklade regioner</w:t>
      </w:r>
    </w:p>
    <w:p w:rsidR="0085270B" w:rsidRPr="0021437D" w:rsidRDefault="0085270B">
      <w:pPr>
        <w:pStyle w:val="Punktlista"/>
        <w:numPr>
          <w:ilvl w:val="0"/>
          <w:numId w:val="0"/>
        </w:numPr>
        <w:rPr>
          <w:rFonts w:ascii="Times New Roman" w:hAnsi="Times New Roman"/>
          <w:sz w:val="20"/>
        </w:rPr>
      </w:pPr>
    </w:p>
    <w:p w:rsidR="0085270B" w:rsidRPr="0021437D" w:rsidRDefault="0085270B">
      <w:r w:rsidRPr="0021437D">
        <w:t>Handel och samarbete med tredje land</w:t>
      </w:r>
    </w:p>
    <w:p w:rsidR="0085270B" w:rsidRPr="0021437D" w:rsidRDefault="0085270B">
      <w:r w:rsidRPr="0021437D">
        <w:t>De skogsbaserade industrin inom EU har anpassat sig till den ökande internationella konkurrensen  genom fokus på innovation, ökad produktivitet och investeringar. Trots detta, saknar EUs trä- och pappers- produkter, enligt meddelandet, tillgång till tredje länders marknader till följd av höga avgifter och hinder som tillämpas av vissa handelspartners.</w:t>
      </w:r>
    </w:p>
    <w:p w:rsidR="0085270B" w:rsidRPr="0021437D" w:rsidRDefault="0085270B"/>
    <w:p w:rsidR="0085270B" w:rsidRPr="0021437D" w:rsidRDefault="0085270B">
      <w:r w:rsidRPr="0021437D">
        <w:t>Åtgärder som föreslås inom området:</w:t>
      </w:r>
    </w:p>
    <w:p w:rsidR="0085270B" w:rsidRPr="0021437D" w:rsidRDefault="0085270B">
      <w:pPr>
        <w:pStyle w:val="Punktlista"/>
        <w:rPr>
          <w:rFonts w:ascii="Times New Roman" w:hAnsi="Times New Roman"/>
          <w:sz w:val="20"/>
        </w:rPr>
      </w:pPr>
      <w:r w:rsidRPr="0021437D">
        <w:rPr>
          <w:rFonts w:ascii="Times New Roman" w:hAnsi="Times New Roman"/>
          <w:sz w:val="20"/>
        </w:rPr>
        <w:t>Säkra ramverk om att EU- företag skall kunna konkurrera globalt</w:t>
      </w:r>
    </w:p>
    <w:p w:rsidR="0085270B" w:rsidRPr="0021437D" w:rsidRDefault="0085270B">
      <w:pPr>
        <w:pStyle w:val="Punktlista"/>
        <w:rPr>
          <w:rFonts w:ascii="Times New Roman" w:hAnsi="Times New Roman"/>
          <w:sz w:val="20"/>
        </w:rPr>
      </w:pPr>
      <w:r w:rsidRPr="0021437D">
        <w:rPr>
          <w:rFonts w:ascii="Times New Roman" w:hAnsi="Times New Roman"/>
          <w:sz w:val="20"/>
        </w:rPr>
        <w:t>Fortsatt arbete avseende internationella miniminivåer för miljöskydd</w:t>
      </w:r>
    </w:p>
    <w:p w:rsidR="0085270B" w:rsidRPr="0021437D" w:rsidRDefault="0085270B">
      <w:pPr>
        <w:pStyle w:val="Punktlista"/>
        <w:rPr>
          <w:rFonts w:ascii="Times New Roman" w:hAnsi="Times New Roman"/>
          <w:sz w:val="20"/>
        </w:rPr>
      </w:pPr>
      <w:r w:rsidRPr="0021437D">
        <w:rPr>
          <w:rFonts w:ascii="Times New Roman" w:hAnsi="Times New Roman"/>
          <w:sz w:val="20"/>
        </w:rPr>
        <w:t>Standardisering inom ramen för Construction Products direktivet</w:t>
      </w:r>
    </w:p>
    <w:p w:rsidR="0085270B" w:rsidRPr="0021437D" w:rsidRDefault="0085270B">
      <w:pPr>
        <w:pStyle w:val="Punktlista"/>
        <w:rPr>
          <w:rFonts w:ascii="Times New Roman" w:hAnsi="Times New Roman"/>
          <w:sz w:val="20"/>
        </w:rPr>
      </w:pPr>
      <w:r w:rsidRPr="0021437D">
        <w:rPr>
          <w:rFonts w:ascii="Times New Roman" w:hAnsi="Times New Roman"/>
          <w:sz w:val="20"/>
        </w:rPr>
        <w:t>Samarbete avseende standardisering med tredje land</w:t>
      </w:r>
    </w:p>
    <w:p w:rsidR="0085270B" w:rsidRPr="0021437D" w:rsidRDefault="0085270B"/>
    <w:p w:rsidR="0085270B" w:rsidRPr="0021437D" w:rsidRDefault="0085270B">
      <w:r w:rsidRPr="0021437D">
        <w:t>Kommunikation och information</w:t>
      </w:r>
    </w:p>
    <w:p w:rsidR="0085270B" w:rsidRPr="0021437D" w:rsidRDefault="0085270B">
      <w:r w:rsidRPr="0021437D">
        <w:t>Efterfrågan på tryck- och förpackningspapper har ökat under lång tid, nära korrelerat med per capita inkomstökning. På många marknader möter pappers- och tryckindustrin konkurrens från elektroniska medier samt från plastindustrin. Efterfrågan på träprodukter är lägre i  EU än i Nordamerika och Japan. Meddelandet anser därför att det finns ett stort behov av att förbättra informationen om skog och skogsprodukter. Användare och konsumenter behöver informeras om att träets egenskaper som ett förnybart, återvi</w:t>
      </w:r>
      <w:r w:rsidRPr="0021437D">
        <w:t>nningsbart och klimatvänligt råmaterial.</w:t>
      </w:r>
    </w:p>
    <w:p w:rsidR="0085270B" w:rsidRPr="0021437D" w:rsidRDefault="0085270B"/>
    <w:p w:rsidR="0085270B" w:rsidRPr="0021437D" w:rsidRDefault="0085270B"/>
    <w:p w:rsidR="0085270B" w:rsidRPr="0021437D" w:rsidRDefault="0085270B"/>
    <w:p w:rsidR="0085270B" w:rsidRPr="0021437D" w:rsidRDefault="0085270B"/>
    <w:p w:rsidR="0085270B" w:rsidRPr="0021437D" w:rsidRDefault="0085270B">
      <w:r w:rsidRPr="0021437D">
        <w:t>Åtgärder som föreslås inom området.</w:t>
      </w:r>
    </w:p>
    <w:p w:rsidR="0085270B" w:rsidRPr="0021437D" w:rsidRDefault="0085270B">
      <w:pPr>
        <w:pStyle w:val="Punktlista"/>
        <w:rPr>
          <w:rFonts w:ascii="Times New Roman" w:hAnsi="Times New Roman"/>
          <w:sz w:val="20"/>
        </w:rPr>
      </w:pPr>
      <w:r w:rsidRPr="0021437D">
        <w:rPr>
          <w:rFonts w:ascii="Times New Roman" w:hAnsi="Times New Roman"/>
          <w:sz w:val="20"/>
        </w:rPr>
        <w:t>Insatser för att förbättra kunskaperna om skogsprodukter och skogsindustri</w:t>
      </w:r>
    </w:p>
    <w:p w:rsidR="0085270B" w:rsidRPr="0021437D" w:rsidRDefault="0085270B">
      <w:pPr>
        <w:pStyle w:val="Punktlista"/>
        <w:rPr>
          <w:rFonts w:ascii="Times New Roman" w:hAnsi="Times New Roman"/>
          <w:sz w:val="20"/>
        </w:rPr>
      </w:pPr>
      <w:r w:rsidRPr="0021437D">
        <w:rPr>
          <w:rFonts w:ascii="Times New Roman" w:hAnsi="Times New Roman"/>
          <w:sz w:val="20"/>
        </w:rPr>
        <w:t>Kommunikationsinsatser understödda och implementerade genom industrin</w:t>
      </w:r>
    </w:p>
    <w:p w:rsidR="0085270B" w:rsidRPr="0021437D" w:rsidRDefault="0085270B">
      <w:pPr>
        <w:pStyle w:val="Punktlista"/>
        <w:rPr>
          <w:rFonts w:ascii="Times New Roman" w:hAnsi="Times New Roman"/>
          <w:sz w:val="20"/>
        </w:rPr>
      </w:pPr>
      <w:r w:rsidRPr="0021437D">
        <w:rPr>
          <w:rFonts w:ascii="Times New Roman" w:hAnsi="Times New Roman"/>
          <w:sz w:val="20"/>
        </w:rPr>
        <w:t>Medverkan från offentliga institutioner med analyser och med att sprida kunskap om den skogsbaserad sektorn</w:t>
      </w:r>
    </w:p>
    <w:p w:rsidR="0085270B" w:rsidRPr="0021437D" w:rsidRDefault="0085270B">
      <w:pPr>
        <w:pStyle w:val="Punktlista"/>
        <w:rPr>
          <w:rFonts w:ascii="Times New Roman" w:hAnsi="Times New Roman"/>
          <w:sz w:val="20"/>
        </w:rPr>
      </w:pPr>
      <w:r w:rsidRPr="0021437D">
        <w:rPr>
          <w:rFonts w:ascii="Times New Roman" w:hAnsi="Times New Roman"/>
          <w:sz w:val="20"/>
        </w:rPr>
        <w:t>Främjande av internationella nätverk mellan medlemsstater, universitet och utbildningsanstalter regionala aktörer för att följa den långsiktiga utvecklingen inom den skogsbaserade industrin</w:t>
      </w:r>
    </w:p>
    <w:p w:rsidR="0085270B" w:rsidRPr="0021437D" w:rsidRDefault="0085270B"/>
    <w:p w:rsidR="0085270B" w:rsidRPr="0021437D" w:rsidRDefault="0085270B">
      <w:pPr>
        <w:pStyle w:val="Rubrik2"/>
      </w:pPr>
      <w:r w:rsidRPr="0021437D">
        <w:t>Gällande svenska regler och förslagets effekt på dessa</w:t>
      </w:r>
    </w:p>
    <w:p w:rsidR="0085270B" w:rsidRPr="0021437D" w:rsidRDefault="0085270B">
      <w:r w:rsidRPr="0021437D">
        <w:t>Allmänt syftar initiativet till att undanröja hinder avseende lagar och  standarder samt att förbättra innovationsklimat och kunskapsspridning kring produkter från den skogsbaserade industrin för att stärka sektorns internationella konkurrenskraft. Sådana åtgärder är i linje bl.a. med det regelförenklingsarbete som regeringen bedriver.</w:t>
      </w:r>
    </w:p>
    <w:p w:rsidR="0085270B" w:rsidRPr="0021437D" w:rsidRDefault="0085270B">
      <w:pPr>
        <w:pStyle w:val="Rubrik2"/>
      </w:pPr>
      <w:r w:rsidRPr="0021437D">
        <w:t>Budgetära konsekvenser / Konsekvensanalys</w:t>
      </w:r>
    </w:p>
    <w:p w:rsidR="0085270B" w:rsidRPr="0021437D" w:rsidRDefault="0085270B">
      <w:r w:rsidRPr="0021437D">
        <w:t>Förslagen förväntas inte leda till några budgetära konsekvenser eftersom de inte är förenade med några stödmekanismer. Någon konsekvensanalys har inte gjorts av kommissionen.</w:t>
      </w:r>
    </w:p>
    <w:p w:rsidR="0085270B" w:rsidRPr="0021437D" w:rsidRDefault="0085270B">
      <w:pPr>
        <w:pStyle w:val="Rubrik1"/>
      </w:pPr>
      <w:r w:rsidRPr="0021437D">
        <w:t>Ståndpunkter</w:t>
      </w:r>
    </w:p>
    <w:p w:rsidR="0085270B" w:rsidRPr="0021437D" w:rsidRDefault="0085270B">
      <w:pPr>
        <w:pStyle w:val="Rubrik2"/>
      </w:pPr>
      <w:r w:rsidRPr="0021437D">
        <w:t>Preliminär svensk ståndpunkt</w:t>
      </w:r>
    </w:p>
    <w:p w:rsidR="0085270B" w:rsidRPr="0021437D" w:rsidRDefault="0085270B">
      <w:pPr>
        <w:tabs>
          <w:tab w:val="left" w:pos="2835"/>
        </w:tabs>
        <w:autoSpaceDE w:val="0"/>
        <w:autoSpaceDN w:val="0"/>
        <w:adjustRightInd w:val="0"/>
        <w:spacing w:before="0" w:line="240" w:lineRule="auto"/>
        <w:jc w:val="left"/>
        <w:rPr>
          <w:color w:val="000000"/>
          <w:sz w:val="24"/>
          <w:szCs w:val="24"/>
        </w:rPr>
      </w:pPr>
      <w:r w:rsidRPr="0021437D">
        <w:rPr>
          <w:sz w:val="20"/>
        </w:rPr>
        <w:t xml:space="preserve">Regeringen välkomnar kommissionens meddelande. Frågan berör mycket viktiga industri-, forsknings-, miljö- och handelsaspekter såväl nationellt som på europeisk nivå men även globalt. Flera av de åtgärder inom de områden som kommissionen föreslår är angelägna, men regeringen betonar i detta  sammanhang vikten av väl fungerande konkurrens, öppna marknader och fri handel. </w:t>
      </w:r>
      <w:r w:rsidRPr="0021437D">
        <w:rPr>
          <w:color w:val="000000"/>
          <w:sz w:val="20"/>
        </w:rPr>
        <w:t>Regeringen anser att skogspolitiken inte bör vara en gemensam politik inom EU-samarbetet och att gemensamma stödprogram som kan snedvida marknaden för skogsråvara ska undvikas.</w:t>
      </w:r>
    </w:p>
    <w:p w:rsidR="0085270B" w:rsidRPr="0021437D" w:rsidRDefault="0085270B"/>
    <w:p w:rsidR="0085270B" w:rsidRPr="0021437D" w:rsidRDefault="0085270B">
      <w:pPr>
        <w:rPr>
          <w:sz w:val="20"/>
        </w:rPr>
      </w:pPr>
      <w:r w:rsidRPr="0021437D">
        <w:rPr>
          <w:sz w:val="20"/>
        </w:rPr>
        <w:t xml:space="preserve">Regeringen anser även att den pågående globaliseringens effekter på den skogsbaserade industrin måste tas i beaktande när åtgärder övervägs. </w:t>
      </w:r>
    </w:p>
    <w:p w:rsidR="0085270B" w:rsidRPr="0021437D" w:rsidRDefault="0085270B">
      <w:pPr>
        <w:autoSpaceDE w:val="0"/>
        <w:autoSpaceDN w:val="0"/>
        <w:adjustRightInd w:val="0"/>
        <w:spacing w:before="120" w:line="240" w:lineRule="auto"/>
        <w:rPr>
          <w:sz w:val="20"/>
        </w:rPr>
      </w:pPr>
      <w:r w:rsidRPr="0021437D">
        <w:rPr>
          <w:sz w:val="20"/>
        </w:rPr>
        <w:t xml:space="preserve">Regeringen vill också framhålla den strategiska roll som skogsnäringen har i ett hållbart samhälle, som producent av förnyelsebar råvara samt i sin funktion att reducera klimatförändringar genom upplagring av kol. Hållbar skogsnäring och ökad tillväxt av skog </w:t>
      </w:r>
      <w:r w:rsidRPr="0021437D">
        <w:rPr>
          <w:color w:val="000000"/>
          <w:sz w:val="20"/>
        </w:rPr>
        <w:t xml:space="preserve">inom ramen för den svenska skogspolitikens jämställda mål </w:t>
      </w:r>
      <w:r w:rsidRPr="0021437D">
        <w:rPr>
          <w:sz w:val="20"/>
        </w:rPr>
        <w:t xml:space="preserve">är av avgörande betydelse för att möta den ökande efterfrågan på biomassa från industrin och bioenergisektorn. </w:t>
      </w:r>
    </w:p>
    <w:p w:rsidR="0085270B" w:rsidRPr="0021437D" w:rsidRDefault="0085270B">
      <w:pPr>
        <w:rPr>
          <w:sz w:val="20"/>
        </w:rPr>
      </w:pPr>
      <w:r w:rsidRPr="0021437D">
        <w:rPr>
          <w:sz w:val="20"/>
        </w:rPr>
        <w:t>Regeringen  betonar vikten av att förslag och insatser koordineras med det övriga arbete som pågår i anknytning till skogssektorn inom EU för att  undvika dubbelarbete, underlätta synergier och säkerställa en lyckad implementering  av  eventuella åtgärder.</w:t>
      </w:r>
    </w:p>
    <w:p w:rsidR="0085270B" w:rsidRPr="0021437D" w:rsidRDefault="0085270B">
      <w:pPr>
        <w:autoSpaceDE w:val="0"/>
        <w:autoSpaceDN w:val="0"/>
        <w:adjustRightInd w:val="0"/>
        <w:spacing w:before="120" w:line="240" w:lineRule="auto"/>
        <w:rPr>
          <w:sz w:val="20"/>
        </w:rPr>
      </w:pPr>
      <w:r w:rsidRPr="0021437D">
        <w:rPr>
          <w:sz w:val="20"/>
        </w:rPr>
        <w:t xml:space="preserve">Regeringen understryker också vikten av </w:t>
      </w:r>
      <w:r w:rsidRPr="0021437D">
        <w:rPr>
          <w:color w:val="000000"/>
          <w:sz w:val="20"/>
        </w:rPr>
        <w:t xml:space="preserve">beakta skogsindustrins behov av en jämn tillgång på högkvalitativ skogsråvara till internationellt konkurrenskraftiga priser vid utformningen av </w:t>
      </w:r>
      <w:r w:rsidRPr="0021437D">
        <w:rPr>
          <w:sz w:val="20"/>
        </w:rPr>
        <w:t xml:space="preserve">åtgärder inom klimat och energiområdet. </w:t>
      </w:r>
    </w:p>
    <w:p w:rsidR="0085270B" w:rsidRPr="0021437D" w:rsidRDefault="0085270B"/>
    <w:p w:rsidR="0085270B" w:rsidRPr="0021437D" w:rsidRDefault="0085270B"/>
    <w:p w:rsidR="0085270B" w:rsidRPr="0021437D" w:rsidRDefault="0085270B">
      <w:pPr>
        <w:pStyle w:val="Rubrik2"/>
      </w:pPr>
      <w:r w:rsidRPr="0021437D">
        <w:t>Medlemsstaternas ståndpunkter</w:t>
      </w:r>
    </w:p>
    <w:p w:rsidR="0085270B" w:rsidRPr="0021437D" w:rsidRDefault="0085270B">
      <w:r w:rsidRPr="0021437D">
        <w:t>Ännu oklara</w:t>
      </w:r>
    </w:p>
    <w:p w:rsidR="0085270B" w:rsidRPr="0021437D" w:rsidRDefault="0085270B"/>
    <w:p w:rsidR="0085270B" w:rsidRPr="0021437D" w:rsidRDefault="0085270B">
      <w:pPr>
        <w:pStyle w:val="Rubrik2"/>
      </w:pPr>
      <w:r w:rsidRPr="0021437D">
        <w:t>Institutionernas ståndpunkter</w:t>
      </w:r>
    </w:p>
    <w:p w:rsidR="0085270B" w:rsidRPr="0021437D" w:rsidRDefault="0085270B">
      <w:r w:rsidRPr="0021437D">
        <w:t>Ännu oklara</w:t>
      </w:r>
    </w:p>
    <w:p w:rsidR="0085270B" w:rsidRPr="0021437D" w:rsidRDefault="0085270B"/>
    <w:p w:rsidR="0085270B" w:rsidRPr="0021437D" w:rsidRDefault="0085270B">
      <w:pPr>
        <w:pStyle w:val="Rubrik2"/>
      </w:pPr>
      <w:r w:rsidRPr="0021437D">
        <w:t>Remissinstansernas ståndpunkter</w:t>
      </w:r>
    </w:p>
    <w:p w:rsidR="0085270B" w:rsidRPr="0021437D" w:rsidRDefault="0085270B">
      <w:r w:rsidRPr="0021437D">
        <w:t>Meddelandet har ej remitterats</w:t>
      </w:r>
    </w:p>
    <w:p w:rsidR="0085270B" w:rsidRPr="0021437D" w:rsidRDefault="0085270B">
      <w:pPr>
        <w:pStyle w:val="Rubrik1"/>
      </w:pPr>
      <w:r w:rsidRPr="0021437D">
        <w:t>Förslagets förutsättningar</w:t>
      </w:r>
    </w:p>
    <w:p w:rsidR="0085270B" w:rsidRPr="0021437D" w:rsidRDefault="0085270B">
      <w:pPr>
        <w:pStyle w:val="Rubrik2"/>
      </w:pPr>
      <w:r w:rsidRPr="0021437D">
        <w:t>Rättslig grund och beslutsförfarande</w:t>
      </w:r>
    </w:p>
    <w:p w:rsidR="0085270B" w:rsidRPr="0021437D" w:rsidRDefault="0085270B">
      <w:r w:rsidRPr="0021437D">
        <w:t>-</w:t>
      </w:r>
    </w:p>
    <w:p w:rsidR="0085270B" w:rsidRPr="0021437D" w:rsidRDefault="0085270B">
      <w:pPr>
        <w:pStyle w:val="Rubrik2"/>
      </w:pPr>
      <w:r w:rsidRPr="0021437D">
        <w:t>Subsidiaritets- och proportionalitetsprincipen</w:t>
      </w:r>
    </w:p>
    <w:p w:rsidR="0085270B" w:rsidRPr="0021437D" w:rsidRDefault="0085270B">
      <w:r w:rsidRPr="0021437D">
        <w:t>-</w:t>
      </w:r>
    </w:p>
    <w:p w:rsidR="0085270B" w:rsidRPr="0021437D" w:rsidRDefault="0085270B">
      <w:pPr>
        <w:pStyle w:val="Rubrik1"/>
      </w:pPr>
      <w:r w:rsidRPr="0021437D">
        <w:t>Övrigt</w:t>
      </w:r>
    </w:p>
    <w:p w:rsidR="0085270B" w:rsidRPr="0021437D" w:rsidRDefault="0085270B">
      <w:pPr>
        <w:pStyle w:val="Rubrik2"/>
      </w:pPr>
      <w:r w:rsidRPr="0021437D">
        <w:t>Fortsatt behandling av ärendet</w:t>
      </w:r>
    </w:p>
    <w:p w:rsidR="0085270B" w:rsidRPr="0021437D" w:rsidRDefault="0085270B">
      <w:r w:rsidRPr="0021437D">
        <w:t>Första behandlingen av ärendet var i COMPRO gruppen den 4 mars 2008. Meddelandet skall eventuellt tillsammans med andra meddelanden, bli föremål för slutsatser vid konkurrenskraftsrådet den 29-30 maj 2008.</w:t>
      </w:r>
    </w:p>
    <w:p w:rsidR="0085270B" w:rsidRPr="0021437D" w:rsidRDefault="0085270B">
      <w:pPr>
        <w:pStyle w:val="Rubrik2"/>
      </w:pPr>
      <w:r w:rsidRPr="0021437D">
        <w:t>Fackuttryck / termer</w:t>
      </w:r>
    </w:p>
    <w:p w:rsidR="0085270B" w:rsidRPr="0021437D" w:rsidRDefault="0085270B">
      <w:r w:rsidRPr="0021437D">
        <w:t xml:space="preserve">    FTP: </w:t>
      </w:r>
      <w:r w:rsidRPr="0021437D">
        <w:tab/>
        <w:t>Forest-based Sector Technology Platfrom</w:t>
      </w:r>
    </w:p>
    <w:p w:rsidR="0085270B" w:rsidRPr="0021437D" w:rsidRDefault="0085270B">
      <w:r w:rsidRPr="0021437D">
        <w:t>RTD:</w:t>
      </w:r>
      <w:r w:rsidRPr="0021437D">
        <w:tab/>
        <w:t>Research, Technology and Demonstration</w:t>
      </w:r>
    </w:p>
    <w:p w:rsidR="0085270B" w:rsidRPr="0021437D" w:rsidRDefault="0085270B">
      <w:r w:rsidRPr="0021437D">
        <w:t>BAT:</w:t>
      </w:r>
      <w:r w:rsidRPr="0021437D">
        <w:tab/>
        <w:t>Best Available Technique</w:t>
      </w:r>
    </w:p>
    <w:p w:rsidR="0085270B" w:rsidRPr="0021437D" w:rsidRDefault="0085270B">
      <w:pPr>
        <w:rPr>
          <w:sz w:val="20"/>
        </w:rPr>
      </w:pPr>
      <w:r w:rsidRPr="0021437D">
        <w:t xml:space="preserve">IPPC: </w:t>
      </w:r>
      <w:r w:rsidRPr="0021437D">
        <w:tab/>
        <w:t>Integrated Pollution Prevention and Control</w:t>
      </w:r>
    </w:p>
    <w:p w:rsidR="0085270B" w:rsidRPr="0021437D" w:rsidRDefault="0085270B"/>
    <w:p w:rsidR="0085270B" w:rsidRPr="0021437D" w:rsidRDefault="0085270B"/>
    <w:p w:rsidR="0085270B" w:rsidRPr="0021437D" w:rsidRDefault="0085270B">
      <w:r w:rsidRPr="0021437D">
        <w:t xml:space="preserve">   </w:t>
      </w:r>
    </w:p>
    <w:p w:rsidR="0085270B" w:rsidRPr="0021437D" w:rsidRDefault="0085270B"/>
    <w:sectPr w:rsidR="0085270B" w:rsidRPr="0021437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70B" w:rsidRPr="0021437D" w:rsidRDefault="0085270B">
      <w:r w:rsidRPr="0021437D">
        <w:separator/>
      </w:r>
    </w:p>
  </w:endnote>
  <w:endnote w:type="continuationSeparator" w:id="0">
    <w:p w:rsidR="0085270B" w:rsidRPr="0021437D" w:rsidRDefault="0085270B">
      <w:r w:rsidRPr="002143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8527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85270B">
    <w:pPr>
      <w:pStyle w:val="SidfotH"/>
      <w:framePr w:wrap="around"/>
    </w:pPr>
    <w:r w:rsidRPr="0021437D">
      <w:t>2</w:t>
    </w:r>
  </w:p>
  <w:p w:rsidR="0085270B" w:rsidRPr="0021437D" w:rsidRDefault="0085270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85270B">
    <w:pPr>
      <w:pStyle w:val="SidfotH"/>
      <w:framePr w:wrap="around"/>
    </w:pPr>
    <w:r w:rsidRPr="0021437D">
      <w:t>1</w:t>
    </w:r>
  </w:p>
  <w:p w:rsidR="0085270B" w:rsidRPr="0021437D" w:rsidRDefault="008527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70B" w:rsidRPr="0021437D" w:rsidRDefault="0085270B">
      <w:r w:rsidRPr="0021437D">
        <w:separator/>
      </w:r>
    </w:p>
  </w:footnote>
  <w:footnote w:type="continuationSeparator" w:id="0">
    <w:p w:rsidR="0085270B" w:rsidRPr="0021437D" w:rsidRDefault="0085270B">
      <w:r w:rsidRPr="002143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8527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85270B">
    <w:pPr>
      <w:pStyle w:val="Kantrubrik"/>
      <w:framePr w:h="1157" w:hRule="exact" w:wrap="around" w:y="738"/>
    </w:pPr>
    <w:r w:rsidRPr="0021437D">
      <w:t>2007/08:FPM91</w:t>
    </w:r>
  </w:p>
  <w:p w:rsidR="0085270B" w:rsidRPr="0021437D" w:rsidRDefault="0085270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270B" w:rsidRPr="0021437D" w:rsidRDefault="0021437D">
    <w:pPr>
      <w:pStyle w:val="Sidhuvud"/>
    </w:pPr>
    <w:r w:rsidRPr="0021437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5255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270B" w:rsidRDefault="0085270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7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5270B" w:rsidRDefault="0085270B">
                    <w:pPr>
                      <w:pStyle w:val="Logo"/>
                    </w:pPr>
                    <w:r>
                      <w:object w:dxaOrig="840" w:dyaOrig="1545">
                        <v:shape id="_x0000_i1025" type="#_x0000_t75" style="width:42pt;height:77.15pt" filled="t">
                          <v:imagedata r:id="rId1" o:title=""/>
                        </v:shape>
                        <o:OLEObject Type="Embed" ProgID="Word.Picture.8" ShapeID="_x0000_i1025" DrawAspect="Content" ObjectID="_182749657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0AB73EB"/>
    <w:multiLevelType w:val="hybridMultilevel"/>
    <w:tmpl w:val="5504E326"/>
    <w:lvl w:ilvl="0" w:tplc="65A2648E">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40844669">
    <w:abstractNumId w:val="5"/>
  </w:num>
  <w:num w:numId="2" w16cid:durableId="1883786643">
    <w:abstractNumId w:val="2"/>
  </w:num>
  <w:num w:numId="3" w16cid:durableId="1191187150">
    <w:abstractNumId w:val="3"/>
  </w:num>
  <w:num w:numId="4" w16cid:durableId="517933715">
    <w:abstractNumId w:val="4"/>
  </w:num>
  <w:num w:numId="5" w16cid:durableId="1350793858">
    <w:abstractNumId w:val="6"/>
  </w:num>
  <w:num w:numId="6" w16cid:durableId="503983622">
    <w:abstractNumId w:val="0"/>
  </w:num>
  <w:num w:numId="7" w16cid:durableId="1215972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10"/>
    <w:docVar w:name="Ar" w:val="2007/08"/>
    <w:docVar w:name="Dep" w:val="Näringsdepartementet"/>
    <w:docVar w:name="DepWeb" w:val="Näringsdepartementet"/>
    <w:docVar w:name="GDB1" w:val="KOM (2008) 113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elande från kommissionen till rådet om innovativa och hållbara skogsbaserade industrier i EU - Ett bidrag till EU: tillväxt och arbetsstrate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113 final"/>
    <w:docVar w:name="Nr" w:val="91"/>
    <w:docVar w:name="RD_APPVERSION" w:val="3.00"/>
    <w:docVar w:name="Rub" w:val="Meddelande om skogsindustrin"/>
    <w:docVar w:name="UppDat" w:val="2008-04-10"/>
    <w:docVar w:name="Utsk" w:val="Näringsutskottet"/>
  </w:docVars>
  <w:rsids>
    <w:rsidRoot w:val="00E13679"/>
    <w:rsid w:val="0021437D"/>
    <w:rsid w:val="0085270B"/>
    <w:rsid w:val="00E136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46AC7D-BCB7-447B-9629-3D780B58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styleId="Punktlista">
    <w:name w:val="List Bullet"/>
    <w:basedOn w:val="Normal"/>
    <w:pPr>
      <w:numPr>
        <w:numId w:val="7"/>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1358</Words>
  <Characters>9074</Characters>
  <Application>Microsoft Office Word</Application>
  <DocSecurity>4</DocSecurity>
  <Lines>226</Lines>
  <Paragraphs>98</Paragraphs>
  <ScaleCrop>false</ScaleCrop>
  <HeadingPairs>
    <vt:vector size="2" baseType="variant">
      <vt:variant>
        <vt:lpstr>Rubrik</vt:lpstr>
      </vt:variant>
      <vt:variant>
        <vt:i4>1</vt:i4>
      </vt:variant>
    </vt:vector>
  </HeadingPairs>
  <TitlesOfParts>
    <vt:vector size="1" baseType="lpstr">
      <vt:lpstr>FPM_200708__91</vt:lpstr>
    </vt:vector>
  </TitlesOfParts>
  <Company>RD-DTSL</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FPM_200708__91</dc:title>
  <dc:subject>FPM_200708__91</dc:subject>
  <dc:creator>Riksdagen</dc:creator>
  <cp:keywords>Riksdagen</cp:keywords>
  <dc:description>KP2004-version.  Ändringarna påverkar enbart användningen inom Riksdagen. 050429 nya departement DTSL.</dc:description>
  <cp:lastModifiedBy>Lars Brink</cp:lastModifiedBy>
  <cp:revision>2</cp:revision>
  <cp:lastPrinted>2008-04-10T11:27:00Z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91</vt:lpwstr>
  </property>
  <property fmtid="{D5CDD505-2E9C-101B-9397-08002B2CF9AE}" pid="4" name="GDB1">
    <vt:lpwstr>KOM (2008) 113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skogsindustrin</vt:lpwstr>
  </property>
  <property fmtid="{D5CDD505-2E9C-101B-9397-08002B2CF9AE}" pid="8" name="UppDat">
    <vt:lpwstr>2008-04-10</vt:lpwstr>
  </property>
  <property fmtid="{D5CDD505-2E9C-101B-9397-08002B2CF9AE}" pid="9" name="AnkDat">
    <vt:lpwstr>2008-04-10</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