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E68" w:rsidRPr="00913E68" w:rsidRDefault="00913E68">
      <w:pPr>
        <w:pStyle w:val="Frslagsrubrik"/>
      </w:pPr>
      <w:r w:rsidRPr="00913E68">
        <w:t>Förslag till riksdagsbeslut</w:t>
      </w:r>
    </w:p>
    <w:p w:rsidR="00913E68" w:rsidRPr="00913E68" w:rsidRDefault="00913E68">
      <w:pPr>
        <w:pStyle w:val="Hemstlatt"/>
        <w:numPr>
          <w:ilvl w:val="0"/>
          <w:numId w:val="1"/>
        </w:numPr>
      </w:pPr>
      <w:r w:rsidRPr="00913E68">
        <w:t>Riksdagen tillkännager för regeringen som sin mening vad som anförs i motionen om behovet av en ångerrätt för näringsidkare vid distansavtal.</w:t>
      </w:r>
    </w:p>
    <w:p w:rsidR="00913E68" w:rsidRPr="00913E68" w:rsidRDefault="00913E68">
      <w:pPr>
        <w:pStyle w:val="Hemstlatt"/>
        <w:numPr>
          <w:ilvl w:val="0"/>
          <w:numId w:val="1"/>
        </w:numPr>
      </w:pPr>
      <w:r w:rsidRPr="00913E68">
        <w:t>Riksdagen tillkännager för regeringen som sin mening vad som anförs i motionen om behovet av ett förtydligande av tilläm</w:t>
      </w:r>
      <w:r w:rsidRPr="00913E68">
        <w:t>p</w:t>
      </w:r>
      <w:r w:rsidRPr="00913E68">
        <w:t>ningsområdet för 36 § lagen (1915:218) om avtal och andra rätt</w:t>
      </w:r>
      <w:r w:rsidRPr="00913E68">
        <w:t>s</w:t>
      </w:r>
      <w:r w:rsidRPr="00913E68">
        <w:t>handlingar på förmögenhetsrättens område.</w:t>
      </w:r>
    </w:p>
    <w:p w:rsidR="00913E68" w:rsidRPr="00913E68" w:rsidRDefault="00913E68">
      <w:pPr>
        <w:pStyle w:val="Rubrik1"/>
      </w:pPr>
      <w:r w:rsidRPr="00913E68">
        <w:t>Motivering</w:t>
      </w:r>
    </w:p>
    <w:p w:rsidR="00913E68" w:rsidRPr="00913E68" w:rsidRDefault="00913E68">
      <w:r w:rsidRPr="00913E68">
        <w:t>Även om det stora flertalet företag bedrivs på ett seriöst sätt, finns det en grupp företag som ägnar sig åt mer eller mindre omfattande oseriös verksa</w:t>
      </w:r>
      <w:r w:rsidRPr="00913E68">
        <w:t>m</w:t>
      </w:r>
      <w:r w:rsidRPr="00913E68">
        <w:t>het, t.ex. fakturaskojeri och användande av oetiska försäljningsmetoder. S</w:t>
      </w:r>
      <w:r w:rsidRPr="00913E68">
        <w:t>å</w:t>
      </w:r>
      <w:r w:rsidRPr="00913E68">
        <w:t>dan ”bluffverksamhet” bedöms omsätta flera miljarder kronor varje år. Må</w:t>
      </w:r>
      <w:r w:rsidRPr="00913E68">
        <w:t>l</w:t>
      </w:r>
      <w:r w:rsidRPr="00913E68">
        <w:t>tavlorna för ”bluffverksamheten” är vanligtvis andra företag, även om ko</w:t>
      </w:r>
      <w:r w:rsidRPr="00913E68">
        <w:t>n</w:t>
      </w:r>
      <w:r w:rsidRPr="00913E68">
        <w:t>sumenter också kan drabbas.</w:t>
      </w:r>
    </w:p>
    <w:p w:rsidR="00913E68" w:rsidRPr="00913E68" w:rsidRDefault="00913E68">
      <w:pPr>
        <w:pStyle w:val="Normaltindrag"/>
      </w:pPr>
      <w:r w:rsidRPr="00913E68">
        <w:t>En arbetsmetod, som uppmärksammats på senare tid, innebär att ”skojarf</w:t>
      </w:r>
      <w:r w:rsidRPr="00913E68">
        <w:t>ö</w:t>
      </w:r>
      <w:r w:rsidRPr="00913E68">
        <w:t>retaget” under ett längre telefonförsäljningssamtal beskriver den aktuella varan eller tjänsten på ett visst sätt och ger kundföretaget intryck av att den betingar ett visst pris, men när säljaren som avslutning spelar in kundens godkännande av beställningen läser säljaren i bekräftelsemeningen upp ett mycket högre pris. Om kunden i det läget inte är mycket uppmärksam kan det lätt hända att kunden genom den inspelade bekräftelsen godtar det högre priset. Det finns exempel på företag som på detta sätt förmå</w:t>
      </w:r>
      <w:r w:rsidRPr="00913E68">
        <w:t>tts köpa en d</w:t>
      </w:r>
      <w:r w:rsidRPr="00913E68">
        <w:t>o</w:t>
      </w:r>
      <w:r w:rsidRPr="00913E68">
        <w:t>mänadress för 18 000 kronor, trots att säljaren tidigare under samtalet gav intrycket att priset var 2 000 kronor.</w:t>
      </w:r>
    </w:p>
    <w:p w:rsidR="00913E68" w:rsidRPr="00913E68" w:rsidRDefault="00913E68">
      <w:pPr>
        <w:pStyle w:val="Normaltindrag"/>
      </w:pPr>
      <w:r w:rsidRPr="00913E68">
        <w:t xml:space="preserve">Ett på detta sätt träffat avtal skulle kunna angripas med stöd av ogiltighets- och jämkningsreglerna i lagen (1915:218) om avtal och andra rättshandlingar </w:t>
      </w:r>
      <w:r w:rsidRPr="00913E68">
        <w:lastRenderedPageBreak/>
        <w:t>på förmögenhetsrättens område (avtalslagen). Exempelvis kan svikligt förl</w:t>
      </w:r>
      <w:r w:rsidRPr="00913E68">
        <w:t>e</w:t>
      </w:r>
      <w:r w:rsidRPr="00913E68">
        <w:t>dande anses ha förekommit (30 § avtalslagen) eller också kan man hävda att det skulle strida mot tro och heder att med vetskap om omständigheterna vid avtalets tillkomst åberopa avtalet (33 § avtalslagen). Problemet är att det är nära nog omöjligt för kunden att bevisa vad säljaren sade under samtalets inledande del, eftersom den enda del som finns inspelad är den avslutande bekräftelsen. Därför torde det vara svårt för kunden att vin</w:t>
      </w:r>
      <w:r w:rsidRPr="00913E68">
        <w:t>na framgång på det här sättet.</w:t>
      </w:r>
    </w:p>
    <w:p w:rsidR="00913E68" w:rsidRPr="00913E68" w:rsidRDefault="00913E68">
      <w:pPr>
        <w:pStyle w:val="Normaltindrag"/>
      </w:pPr>
      <w:r w:rsidRPr="00913E68">
        <w:t>I distans- och hemförsäljningslagen (2005:59) finns regler om bland annat telefonförsäljning som gäller när säljaren är näringsidkare och köparen är konsument. I sagda lag 2 kap. 7 § stadgas att näringsidkaren snarast efter avtalsslutet ska sända konsumenten en bekräftelse som ska innehålla vissa angivna uppgifter, bl. a. varans eller tjänstens pris, att ångerrätt föreligger och hur konsumenten ska gå till väga för att utöva den. I 2 kap. 10 § anges när ångerfristen börjar löp</w:t>
      </w:r>
      <w:r w:rsidRPr="00913E68">
        <w:t>a och i 2 kap. 9 § stadgas att ångerfristen är 14 dagar.</w:t>
      </w:r>
    </w:p>
    <w:p w:rsidR="00913E68" w:rsidRPr="00913E68" w:rsidRDefault="00913E68">
      <w:pPr>
        <w:pStyle w:val="Normaltindrag"/>
      </w:pPr>
      <w:r w:rsidRPr="00913E68">
        <w:t>Dessa regler är inte tillämpliga när köparen är en näringsidkare. I relati</w:t>
      </w:r>
      <w:r w:rsidRPr="00913E68">
        <w:t>o</w:t>
      </w:r>
      <w:r w:rsidRPr="00913E68">
        <w:t>ner näringsidkare emellan anses parterna i princip vara jämbördiga och då har respektive part att slå vakt om sina egna intressen, utan att staten ska gripa in med alltför mycket skyddslagstiftning. Detta är en rimlig utgångspunkt, men erfarenheten visar att inte minst små företag ibland har svårt att tillvarata sina egna intressen vid kontakter med ”skojarföretag”. Ensamföretagare eller för</w:t>
      </w:r>
      <w:r w:rsidRPr="00913E68">
        <w:t>e</w:t>
      </w:r>
      <w:r w:rsidRPr="00913E68">
        <w:t>tag som drivs av ägaren och har några få anställda har inte sällan bristande erfarenhet av avtalsförhandlingar och k</w:t>
      </w:r>
      <w:r w:rsidRPr="00913E68">
        <w:t>an ha svårt att värja sig mot ”skojarf</w:t>
      </w:r>
      <w:r w:rsidRPr="00913E68">
        <w:t>ö</w:t>
      </w:r>
      <w:r w:rsidRPr="00913E68">
        <w:t>retagens” metoder.</w:t>
      </w:r>
    </w:p>
    <w:p w:rsidR="00913E68" w:rsidRPr="00913E68" w:rsidRDefault="00913E68">
      <w:pPr>
        <w:pStyle w:val="Normaltindrag"/>
      </w:pPr>
      <w:r w:rsidRPr="00913E68">
        <w:t>Ett sätt att motverka den typ av oseriös telefonförsäljning som beskrivs ovan skulle kunna vara att göra delar av distans- och hemförsäljningslagen – i synnerhet reglerna om ångerfrist – tillämpliga även vid försäljning till andra näringsidkare. Då skulle näringsidkaren i ovan beskrivna situationer kunna åberopa sin ångerfrist när den skriftliga bekräftelsen kommer näringsidkaren tillhanda och det blir uppenbart att priset är avsevärt högre än det pr</w:t>
      </w:r>
      <w:r w:rsidRPr="00913E68">
        <w:t>is säljaren först förespeglade. En översyn av distans- och hemförsäljningslagen bör dä</w:t>
      </w:r>
      <w:r w:rsidRPr="00913E68">
        <w:t>r</w:t>
      </w:r>
      <w:r w:rsidRPr="00913E68">
        <w:t>för göras med den just sagda inriktningen.</w:t>
      </w:r>
    </w:p>
    <w:p w:rsidR="00913E68" w:rsidRPr="00913E68" w:rsidRDefault="00913E68">
      <w:pPr>
        <w:pStyle w:val="Normaltindrag"/>
      </w:pPr>
      <w:r w:rsidRPr="00913E68">
        <w:t>Sveriges Callcenter Förening och Swedma i samråd med Svensk Handel har antagit etiska regler som ska gälla vid samtal till näringsidkare i mar</w:t>
      </w:r>
      <w:r w:rsidRPr="00913E68">
        <w:t>k</w:t>
      </w:r>
      <w:r w:rsidRPr="00913E68">
        <w:t>nadsföringssyfte. Den branschöverenskommelsen är positiv och visar på en vilja från telefonförsäljningsbranschens sida att motverka oseriösa aktörer. Överenskommelsen innebär även att en ångervecka införs, vilket är nytt när det gäller handel mellan företag i Sverige. En sådan frivillig överenskomme</w:t>
      </w:r>
      <w:r w:rsidRPr="00913E68">
        <w:t>l</w:t>
      </w:r>
      <w:r w:rsidRPr="00913E68">
        <w:t>se binder emellertid inte de oseriösa företagen och kan inte åberopas av en näringsidkare, som råkat ut för ett oseriöst företag. Överenskommelsen ko</w:t>
      </w:r>
      <w:r w:rsidRPr="00913E68">
        <w:t>m</w:t>
      </w:r>
      <w:r w:rsidRPr="00913E68">
        <w:t>mer säkert att förbättra situationen, men den lagändring som</w:t>
      </w:r>
      <w:r w:rsidRPr="00913E68">
        <w:t xml:space="preserve"> här förordas behövs ändå.</w:t>
      </w:r>
    </w:p>
    <w:p w:rsidR="00913E68" w:rsidRPr="00913E68" w:rsidRDefault="00913E68">
      <w:pPr>
        <w:pStyle w:val="Normaltindrag"/>
      </w:pPr>
      <w:r w:rsidRPr="00913E68">
        <w:t>Ett annat sätt att motverka ”skojarföretagen” skulle kunna vara att uttryc</w:t>
      </w:r>
      <w:r w:rsidRPr="00913E68">
        <w:t>k</w:t>
      </w:r>
      <w:r w:rsidRPr="00913E68">
        <w:t>ligen ange att 36 § avtalslagen är tillämplig även på avtalsvillkor i avtal me</w:t>
      </w:r>
      <w:r w:rsidRPr="00913E68">
        <w:t>l</w:t>
      </w:r>
      <w:r w:rsidRPr="00913E68">
        <w:t>lan två näringsidkare, för att därigenom förmå domstolarna att tillämpa par</w:t>
      </w:r>
      <w:r w:rsidRPr="00913E68">
        <w:t>a</w:t>
      </w:r>
      <w:r w:rsidRPr="00913E68">
        <w:t>grafen på ett mer extensivt sätt.</w:t>
      </w:r>
    </w:p>
    <w:p w:rsidR="00913E68" w:rsidRPr="00913E68" w:rsidRDefault="00913E68">
      <w:pPr>
        <w:pStyle w:val="Normaltindrag"/>
      </w:pPr>
      <w:r w:rsidRPr="00913E68">
        <w:t>36 § avtalslagen stadgar att avtalsvillkor får jämkas eller lämnas utan avs</w:t>
      </w:r>
      <w:r w:rsidRPr="00913E68">
        <w:t>e</w:t>
      </w:r>
      <w:r w:rsidRPr="00913E68">
        <w:t>ende, om villkoret är oskäligt med hänsyn till avtalets innehåll, omständigh</w:t>
      </w:r>
      <w:r w:rsidRPr="00913E68">
        <w:t>e</w:t>
      </w:r>
      <w:r w:rsidRPr="00913E68">
        <w:t>terna vid avtalets tillkomst, senare inträffade förhållanden eller omständigh</w:t>
      </w:r>
      <w:r w:rsidRPr="00913E68">
        <w:t>e</w:t>
      </w:r>
      <w:r w:rsidRPr="00913E68">
        <w:t>terna i övrigt. Exempelvis skulle paragrafen kunna tillämpas på avtalsvillkoret som gäller priset för en tjänst, om priset är helt orimligt i förhållande till den vara eller tjänst som tillhandahålls (jämför exemplet med domännamnet ovan). Tillämpningsområdet omfattar i och för sig samtliga avtalstyper, inkl</w:t>
      </w:r>
      <w:r w:rsidRPr="00913E68">
        <w:t>u</w:t>
      </w:r>
      <w:r w:rsidRPr="00913E68">
        <w:t>sive avtal mellan näringsidkare, men det bruka</w:t>
      </w:r>
      <w:r w:rsidRPr="00913E68">
        <w:t>r i juristkretsar anföras att paragrafen i rättspraxis kommit att tillämpas tämligen restriktivt på avtal mellan näringsidkare. Det finns dock ett antal exempel på att lagrummet har tillämpats på näringsidkarrelationer. Gemensamt för många av dessa rättsfall är emellertid att det varit en mycket kraftig obalans mellan parternas komp</w:t>
      </w:r>
      <w:r w:rsidRPr="00913E68">
        <w:t>e</w:t>
      </w:r>
      <w:r w:rsidRPr="00913E68">
        <w:t>tens och resurser. Ett mycket stort företag har stått mot ett mycket litet för</w:t>
      </w:r>
      <w:r w:rsidRPr="00913E68">
        <w:t>e</w:t>
      </w:r>
      <w:r w:rsidRPr="00913E68">
        <w:t>tag, för att uttrycka det på ett förenklat sätt. En sådan rättstillämpning ligger i linje med para</w:t>
      </w:r>
      <w:r w:rsidRPr="00913E68">
        <w:t>grafens andra stycke, som lyder: ”Vid prövning enligt första stycket skall särskild hänsyn tagas till behovet av skydd för den som i ege</w:t>
      </w:r>
      <w:r w:rsidRPr="00913E68">
        <w:t>n</w:t>
      </w:r>
      <w:r w:rsidRPr="00913E68">
        <w:t>skap av konsument eller eljest intager en underlägsen ställning i avtalsförhå</w:t>
      </w:r>
      <w:r w:rsidRPr="00913E68">
        <w:t>l</w:t>
      </w:r>
      <w:r w:rsidRPr="00913E68">
        <w:t>landet.”</w:t>
      </w:r>
    </w:p>
    <w:p w:rsidR="00913E68" w:rsidRPr="00913E68" w:rsidRDefault="00913E68">
      <w:pPr>
        <w:pStyle w:val="Normaltindrag"/>
      </w:pPr>
      <w:r w:rsidRPr="00913E68">
        <w:t>Relationen mellan ett ”skojarföretag” och ett seriöst företag kännetecknas dock inte nödvändigtvis av en mycket stor obalans när det gäller t.ex. ekon</w:t>
      </w:r>
      <w:r w:rsidRPr="00913E68">
        <w:t>o</w:t>
      </w:r>
      <w:r w:rsidRPr="00913E68">
        <w:t>miska resurser eller annat som typiskt sätt konstituerar en ”underlägsen stäl</w:t>
      </w:r>
      <w:r w:rsidRPr="00913E68">
        <w:t>l</w:t>
      </w:r>
      <w:r w:rsidRPr="00913E68">
        <w:t>ning”. Det som ger ”skojarföretaget” ett överläge är istället just de oseriösa affärsmetoderna. Domstolarna tenderar att vara återhållsamma med att tillä</w:t>
      </w:r>
      <w:r w:rsidRPr="00913E68">
        <w:t>m</w:t>
      </w:r>
      <w:r w:rsidRPr="00913E68">
        <w:t>pa paragrafen på avtal mellan näringsidkare, om inte den ena parten befinner sig i en ”klassisk underlägsen ställning”. Genom att i lagtexten uttryckligen ange exempelvis att paragrafen även är tillämplig utan begränsning på avtal mellan näringsidkare, skulle man kunna påverka d</w:t>
      </w:r>
      <w:r w:rsidRPr="00913E68">
        <w:t>omstolarna så att de blir mer benägna att tillämpa paragrafen på avtal mellan näringsidkare. Man kan säga att det handlar om att förtydliga tillämpningsområdet för paragrafen. Det handlar inte om att utvidga tillämpningsområdet, eftersom lagrummet redan idag i princip är tillämpligt på alla sorters avtal. Mot bakgrund av inte minst ”skojarbranschens” utveckling förefaller det finnas goda skäl för en utvec</w:t>
      </w:r>
      <w:r w:rsidRPr="00913E68">
        <w:t>k</w:t>
      </w:r>
      <w:r w:rsidRPr="00913E68">
        <w:t>ling av nu beskrivet slag. En sådan justering av 36 § avtalslagen måste give</w:t>
      </w:r>
      <w:r w:rsidRPr="00913E68">
        <w:t>t</w:t>
      </w:r>
      <w:r w:rsidRPr="00913E68">
        <w:t>vis föregås av en noggrann</w:t>
      </w:r>
      <w:r w:rsidRPr="00913E68">
        <w:t xml:space="preserve"> utredning, med tanke på att avtalslagen är ett av de mest grundläggande lagverken för vårt ekonomiska liv.</w:t>
      </w:r>
    </w:p>
    <w:p w:rsidR="00913E68" w:rsidRPr="00913E68" w:rsidRDefault="00913E68">
      <w:pPr>
        <w:pStyle w:val="Normaltindrag"/>
      </w:pPr>
      <w:r w:rsidRPr="00913E68">
        <w:t>Riksdagen tillkännagav våren 2005 som sin mening för regeringen att fr</w:t>
      </w:r>
      <w:r w:rsidRPr="00913E68">
        <w:t>å</w:t>
      </w:r>
      <w:r w:rsidRPr="00913E68">
        <w:t>gan om ökade möjligheter att jämka oskäliga avtal mellan näringsidkare bör utredas, vilket ligger i linje med yrkande 2 i denna motion. Regeringen öve</w:t>
      </w:r>
      <w:r w:rsidRPr="00913E68">
        <w:t>r</w:t>
      </w:r>
      <w:r w:rsidRPr="00913E68">
        <w:t>väger fortfarande hur detta ska genomföras, varför ett förnyat tillkännagiva</w:t>
      </w:r>
      <w:r w:rsidRPr="00913E68">
        <w:t>n</w:t>
      </w:r>
      <w:r w:rsidRPr="00913E68">
        <w:t>de förefaller vara påkallat.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E68">
        <w:trPr>
          <w:cantSplit/>
        </w:trPr>
        <w:tc>
          <w:tcPr>
            <w:tcW w:w="3046" w:type="dxa"/>
          </w:tcPr>
          <w:p w:rsidR="00913E68" w:rsidRPr="00913E68" w:rsidRDefault="00913E68">
            <w:pPr>
              <w:pStyle w:val="UnderskriftDatum"/>
              <w:spacing w:before="240"/>
            </w:pPr>
            <w:r w:rsidRPr="00913E68">
              <w:t>Stockholm den 21 oktober 2010</w:t>
            </w:r>
          </w:p>
        </w:tc>
        <w:tc>
          <w:tcPr>
            <w:tcW w:w="3047" w:type="dxa"/>
          </w:tcPr>
          <w:p w:rsidR="00913E68" w:rsidRPr="00913E68" w:rsidRDefault="00913E68">
            <w:pPr>
              <w:pStyle w:val="Underskrifter"/>
              <w:spacing w:before="240"/>
            </w:pPr>
          </w:p>
        </w:tc>
      </w:tr>
      <w:tr w:rsidR="00000000" w:rsidRPr="00913E68">
        <w:trPr>
          <w:cantSplit/>
        </w:trPr>
        <w:tc>
          <w:tcPr>
            <w:tcW w:w="3046" w:type="dxa"/>
          </w:tcPr>
          <w:p w:rsidR="00913E68" w:rsidRPr="00913E68" w:rsidRDefault="00913E68">
            <w:pPr>
              <w:pStyle w:val="Underskrifter"/>
            </w:pPr>
            <w:r w:rsidRPr="00913E68">
              <w:t>Andreas Norlén (M)</w:t>
            </w:r>
          </w:p>
        </w:tc>
        <w:tc>
          <w:tcPr>
            <w:tcW w:w="3046" w:type="dxa"/>
          </w:tcPr>
          <w:p w:rsidR="00913E68" w:rsidRPr="00913E68" w:rsidRDefault="00913E68">
            <w:pPr>
              <w:pStyle w:val="Underskrifter"/>
            </w:pPr>
            <w:r w:rsidRPr="00913E68">
              <w:t>Henrik von Sydow (M)</w:t>
            </w:r>
          </w:p>
        </w:tc>
      </w:tr>
    </w:tbl>
    <w:p w:rsidR="00913E68" w:rsidRPr="00913E68" w:rsidRDefault="00913E68">
      <w:pPr>
        <w:pStyle w:val="Normaltindrag"/>
      </w:pPr>
    </w:p>
    <w:sectPr w:rsidR="00000000" w:rsidRPr="00913E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E68" w:rsidRPr="00913E68" w:rsidRDefault="00913E68">
      <w:r w:rsidRPr="00913E68">
        <w:separator/>
      </w:r>
    </w:p>
  </w:endnote>
  <w:endnote w:type="continuationSeparator" w:id="0">
    <w:p w:rsidR="00913E68" w:rsidRPr="00913E68" w:rsidRDefault="00913E68">
      <w:r w:rsidRPr="00913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398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E68" w:rsidRDefault="00913E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18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E68" w:rsidRDefault="00913E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213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E68" w:rsidRDefault="00913E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E68" w:rsidRPr="00913E68" w:rsidRDefault="00913E68">
      <w:r w:rsidRPr="00913E68">
        <w:separator/>
      </w:r>
    </w:p>
  </w:footnote>
  <w:footnote w:type="continuationSeparator" w:id="0">
    <w:p w:rsidR="00913E68" w:rsidRPr="00913E68" w:rsidRDefault="00913E68">
      <w:r w:rsidRPr="00913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huvud"/>
    </w:pPr>
    <w:r w:rsidRPr="00913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076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E68" w:rsidRDefault="00913E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huvud"/>
    </w:pPr>
    <w:r w:rsidRPr="00913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562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E68" w:rsidRDefault="00913E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FSHNormal"/>
      <w:tabs>
        <w:tab w:val="right" w:pos="5840"/>
      </w:tabs>
    </w:pPr>
    <w:r w:rsidRPr="00913E68">
      <w:br/>
    </w:r>
    <w:r w:rsidRPr="00913E68">
      <w:fldChar w:fldCharType="begin" w:fldLock="1"/>
    </w:r>
    <w:r w:rsidRPr="00913E68">
      <w:instrText xml:space="preserve"> DOCPROPERTY</w:instrText>
    </w:r>
    <w:r w:rsidRPr="00913E68">
      <w:rPr>
        <w:sz w:val="18"/>
      </w:rPr>
      <w:instrText xml:space="preserve"> "YearUser" *\charformat </w:instrText>
    </w:r>
    <w:r w:rsidRPr="00913E68">
      <w:fldChar w:fldCharType="separate"/>
    </w:r>
    <w:r w:rsidRPr="00913E68">
      <w:t>2010/11</w:t>
    </w:r>
    <w:r w:rsidRPr="00913E68">
      <w:fldChar w:fldCharType="end"/>
    </w:r>
    <w:r w:rsidRPr="00913E68">
      <w:t xml:space="preserve"> </w:t>
    </w:r>
    <w:r w:rsidRPr="00913E68">
      <w:tab/>
      <w:t xml:space="preserve">mnr: </w:t>
    </w:r>
    <w:r w:rsidRPr="00913E68">
      <w:fldChar w:fldCharType="begin" w:fldLock="1"/>
    </w:r>
    <w:r w:rsidRPr="00913E68">
      <w:instrText xml:space="preserve"> DOCPROPERTY</w:instrText>
    </w:r>
    <w:r w:rsidRPr="00913E68">
      <w:rPr>
        <w:sz w:val="18"/>
      </w:rPr>
      <w:instrText xml:space="preserve"> "Motionsnummer" *\charformat </w:instrText>
    </w:r>
    <w:r w:rsidRPr="00913E68">
      <w:fldChar w:fldCharType="separate"/>
    </w:r>
    <w:r w:rsidRPr="00913E68">
      <w:t>C313</w:t>
    </w:r>
    <w:r w:rsidRPr="00913E68">
      <w:fldChar w:fldCharType="end"/>
    </w:r>
    <w:r w:rsidRPr="00913E68">
      <w:br/>
    </w:r>
    <w:r w:rsidRPr="00913E68">
      <w:fldChar w:fldCharType="begin" w:fldLock="1"/>
    </w:r>
    <w:r w:rsidRPr="00913E68">
      <w:instrText xml:space="preserve"> DOCPROPERTY</w:instrText>
    </w:r>
    <w:r w:rsidRPr="00913E68">
      <w:rPr>
        <w:sz w:val="18"/>
      </w:rPr>
      <w:instrText xml:space="preserve"> "Samling" *\charformat </w:instrText>
    </w:r>
    <w:r w:rsidRPr="00913E68">
      <w:fldChar w:fldCharType="end"/>
    </w:r>
    <w:r w:rsidRPr="00913E68">
      <w:tab/>
      <w:t xml:space="preserve">pnr: </w:t>
    </w:r>
    <w:r w:rsidRPr="00913E68">
      <w:fldChar w:fldCharType="begin" w:fldLock="1"/>
    </w:r>
    <w:r w:rsidRPr="00913E68">
      <w:instrText xml:space="preserve"> DOCPROPERTY</w:instrText>
    </w:r>
    <w:r w:rsidRPr="00913E68">
      <w:rPr>
        <w:sz w:val="18"/>
      </w:rPr>
      <w:instrText xml:space="preserve"> "Partinummer" *\charformat </w:instrText>
    </w:r>
    <w:r w:rsidRPr="00913E68">
      <w:fldChar w:fldCharType="separate"/>
    </w:r>
    <w:r w:rsidRPr="00913E68">
      <w:t>M1832</w:t>
    </w:r>
    <w:r w:rsidRPr="00913E68">
      <w:fldChar w:fldCharType="end"/>
    </w:r>
  </w:p>
  <w:p w:rsidR="00913E68" w:rsidRPr="00913E68" w:rsidRDefault="00913E68">
    <w:pPr>
      <w:pStyle w:val="FSHRub1"/>
    </w:pPr>
    <w:r w:rsidRPr="00913E68">
      <w:t>Motion till riksdagen</w:t>
    </w:r>
    <w:r w:rsidRPr="00913E68">
      <w:br/>
    </w:r>
    <w:r w:rsidRPr="00913E68">
      <w:fldChar w:fldCharType="begin" w:fldLock="1"/>
    </w:r>
    <w:r w:rsidRPr="00913E68">
      <w:instrText xml:space="preserve"> DOCPROPERTY "YearUser" *\charformat </w:instrText>
    </w:r>
    <w:r w:rsidRPr="00913E68">
      <w:fldChar w:fldCharType="separate"/>
    </w:r>
    <w:r w:rsidRPr="00913E68">
      <w:t>2010/11</w:t>
    </w:r>
    <w:r w:rsidRPr="00913E68">
      <w:fldChar w:fldCharType="end"/>
    </w:r>
    <w:r w:rsidRPr="00913E68">
      <w:t>:</w:t>
    </w:r>
    <w:r w:rsidRPr="00913E68">
      <w:fldChar w:fldCharType="begin" w:fldLock="1"/>
    </w:r>
    <w:r w:rsidRPr="00913E68">
      <w:instrText xml:space="preserve"> DOCPROPERTY "Motionsnummer" *\charformat </w:instrText>
    </w:r>
    <w:r w:rsidRPr="00913E68">
      <w:fldChar w:fldCharType="separate"/>
    </w:r>
    <w:r w:rsidRPr="00913E68">
      <w:t>C313</w:t>
    </w:r>
    <w:r w:rsidRPr="00913E68">
      <w:fldChar w:fldCharType="end"/>
    </w:r>
  </w:p>
  <w:p w:rsidR="00913E68" w:rsidRPr="00913E68" w:rsidRDefault="00913E68">
    <w:pPr>
      <w:pStyle w:val="FSHNormalS5"/>
    </w:pPr>
    <w:r w:rsidRPr="00913E68">
      <w:fldChar w:fldCharType="begin" w:fldLock="1"/>
    </w:r>
    <w:r w:rsidRPr="00913E68">
      <w:instrText xml:space="preserve"> DOCPROPERTY "MotionarText" *\charformat </w:instrText>
    </w:r>
    <w:r w:rsidRPr="00913E68">
      <w:fldChar w:fldCharType="separate"/>
    </w:r>
    <w:r w:rsidRPr="00913E68">
      <w:t>av Andreas Norlén och Henrik von Sydow (M)</w:t>
    </w:r>
    <w:r w:rsidRPr="00913E68">
      <w:fldChar w:fldCharType="end"/>
    </w:r>
    <w:r w:rsidRPr="00913E68">
      <w:br/>
    </w:r>
    <w:r w:rsidRPr="00913E68">
      <w:fldChar w:fldCharType="begin" w:fldLock="1"/>
    </w:r>
    <w:r w:rsidRPr="00913E68">
      <w:instrText xml:space="preserve"> DOCPROPERTY "SvarFrasKort" *\charformat </w:instrText>
    </w:r>
    <w:r w:rsidRPr="00913E68">
      <w:fldChar w:fldCharType="end"/>
    </w:r>
  </w:p>
  <w:p w:rsidR="00913E68" w:rsidRPr="00913E68" w:rsidRDefault="00913E68">
    <w:pPr>
      <w:pStyle w:val="FSHTitel"/>
    </w:pPr>
    <w:r w:rsidRPr="00913E68">
      <w:fldChar w:fldCharType="begin" w:fldLock="1"/>
    </w:r>
    <w:r w:rsidRPr="00913E68">
      <w:instrText xml:space="preserve"> DOCPROPERTY</w:instrText>
    </w:r>
    <w:r w:rsidRPr="00913E68">
      <w:rPr>
        <w:sz w:val="18"/>
      </w:rPr>
      <w:instrText xml:space="preserve"> "RubrikSvar" *\charformat </w:instrText>
    </w:r>
    <w:r w:rsidRPr="00913E68">
      <w:fldChar w:fldCharType="separate"/>
    </w:r>
    <w:r w:rsidRPr="00913E68">
      <w:t>Ångerrätt för näringsidkare</w:t>
    </w:r>
    <w:r w:rsidRPr="00913E68">
      <w:fldChar w:fldCharType="end"/>
    </w:r>
  </w:p>
  <w:p w:rsidR="00913E68" w:rsidRPr="00913E68" w:rsidRDefault="00913E68">
    <w:pPr>
      <w:pStyle w:val="Normal00"/>
    </w:pPr>
  </w:p>
  <w:p w:rsidR="00913E68" w:rsidRPr="00913E68" w:rsidRDefault="00913E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D40982"/>
    <w:multiLevelType w:val="hybridMultilevel"/>
    <w:tmpl w:val="99561FCC"/>
    <w:lvl w:ilvl="0" w:tplc="A22E50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737097">
    <w:abstractNumId w:val="3"/>
  </w:num>
  <w:num w:numId="2" w16cid:durableId="721439120">
    <w:abstractNumId w:val="2"/>
  </w:num>
  <w:num w:numId="3" w16cid:durableId="1415664447">
    <w:abstractNumId w:val="1"/>
  </w:num>
  <w:num w:numId="4" w16cid:durableId="1770001763">
    <w:abstractNumId w:val="0"/>
  </w:num>
  <w:num w:numId="5" w16cid:durableId="889801488">
    <w:abstractNumId w:val="7"/>
  </w:num>
  <w:num w:numId="6" w16cid:durableId="1448962274">
    <w:abstractNumId w:val="6"/>
  </w:num>
  <w:num w:numId="7" w16cid:durableId="31851300">
    <w:abstractNumId w:val="5"/>
  </w:num>
  <w:num w:numId="8" w16cid:durableId="620693669">
    <w:abstractNumId w:val="4"/>
  </w:num>
  <w:num w:numId="9" w16cid:durableId="1407149442">
    <w:abstractNumId w:val="8"/>
  </w:num>
  <w:num w:numId="10" w16cid:durableId="2028362361">
    <w:abstractNumId w:val="9"/>
  </w:num>
  <w:num w:numId="11" w16cid:durableId="529488061">
    <w:abstractNumId w:val="10"/>
  </w:num>
  <w:num w:numId="12" w16cid:durableId="455955209">
    <w:abstractNumId w:val="13"/>
  </w:num>
  <w:num w:numId="13" w16cid:durableId="1421484483">
    <w:abstractNumId w:val="16"/>
  </w:num>
  <w:num w:numId="14" w16cid:durableId="2035767185">
    <w:abstractNumId w:val="17"/>
  </w:num>
  <w:num w:numId="15" w16cid:durableId="481197856">
    <w:abstractNumId w:val="11"/>
  </w:num>
  <w:num w:numId="16" w16cid:durableId="1163007470">
    <w:abstractNumId w:val="19"/>
  </w:num>
  <w:num w:numId="17" w16cid:durableId="1846549537">
    <w:abstractNumId w:val="18"/>
  </w:num>
  <w:num w:numId="18" w16cid:durableId="1576165341">
    <w:abstractNumId w:val="15"/>
  </w:num>
  <w:num w:numId="19" w16cid:durableId="1587618514">
    <w:abstractNumId w:val="12"/>
  </w:num>
  <w:num w:numId="20" w16cid:durableId="274408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E2399F86-273C-4CDC-8B27-5F7CAB1250DA}"/>
  </w:docVars>
  <w:rsids>
    <w:rsidRoot w:val="00F40B20"/>
    <w:rsid w:val="00913E68"/>
    <w:rsid w:val="00F4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777ABF-E8C2-4BF5-BBE9-5E9B0AAF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6777</Characters>
  <Application>Microsoft Office Word</Application>
  <DocSecurity>4</DocSecurity>
  <Lines>118</Lines>
  <Paragraphs>21</Paragraphs>
  <ScaleCrop>false</ScaleCrop>
  <HeadingPairs>
    <vt:vector size="2" baseType="variant">
      <vt:variant>
        <vt:lpstr>Rubrik</vt:lpstr>
      </vt:variant>
      <vt:variant>
        <vt:i4>1</vt:i4>
      </vt:variant>
    </vt:vector>
  </HeadingPairs>
  <TitlesOfParts>
    <vt:vector size="1" baseType="lpstr">
      <vt:lpstr>m1832</vt:lpstr>
    </vt:vector>
  </TitlesOfParts>
  <Company>Riksdagen</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m1832</dc:title>
  <dc:subject>m1832</dc:subject>
  <dc:creator>Riksdagen</dc:creator>
  <cp:keywords>Riksdagen</cp:keywords>
  <dc:description>Versal/gemen i partibeteckning. Gemen i tryck för 0910, versal för 1011 och nyare</dc:description>
  <cp:lastModifiedBy>Lars Brink</cp:lastModifiedBy>
  <cp:revision>2</cp:revision>
  <cp:lastPrinted>2011-02-14T14:12:00Z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Ångerrätt för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för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Henrik von Sydow (M)</vt:lpwstr>
  </property>
  <property fmtid="{D5CDD505-2E9C-101B-9397-08002B2CF9AE}" pid="26" name="MotionarLista">
    <vt:lpwstr>Norlén, Andreas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20102011000000000109000018320069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20102011000000000109000018320069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{8F04418D-D47F-4117-9469-7C03584F9461}</vt:lpwstr>
  </property>
  <property fmtid="{D5CDD505-2E9C-101B-9397-08002B2CF9AE}" pid="53" name="Överföringar">
    <vt:i4>0</vt:i4>
  </property>
  <property fmtid="{D5CDD505-2E9C-101B-9397-08002B2CF9AE}" pid="54" name="Checksum">
    <vt:lpwstr>*0000007785030*</vt:lpwstr>
  </property>
  <property fmtid="{D5CDD505-2E9C-101B-9397-08002B2CF9AE}" pid="55" name="skuggnummer">
    <vt:lpwstr>2184</vt:lpwstr>
  </property>
  <property fmtid="{D5CDD505-2E9C-101B-9397-08002B2CF9AE}" pid="56" name="urixVersion">
    <vt:lpwstr>4.3.2.0</vt:lpwstr>
  </property>
  <property fmtid="{D5CDD505-2E9C-101B-9397-08002B2CF9AE}" pid="57" name="urixOrigin">
    <vt:lpwstr>110214 15:12:25.335</vt:lpwstr>
  </property>
  <property fmtid="{D5CDD505-2E9C-101B-9397-08002B2CF9AE}" pid="58" name="urixGuid">
    <vt:lpwstr>{B525A43B-F146-4C3D-92F0-197133F80320}</vt:lpwstr>
  </property>
</Properties>
</file>