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35616" w:rsidRDefault="00D35616">
            <w:pPr>
              <w:pStyle w:val="HuvudRubrik"/>
            </w:pPr>
            <w:bookmarkStart w:id="0" w:name="BetänkandeRubrik"/>
            <w:bookmarkEnd w:id="0"/>
            <w:r>
              <w:t>Skatteutskottets betänkande</w:t>
            </w:r>
            <w:r w:rsidR="00317A1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07125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35616" w:rsidRDefault="00D3561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3701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35616" w:rsidRDefault="00D35616">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37012" r:id="rId8"/>
                              </w:object>
                            </w:r>
                          </w:p>
                        </w:txbxContent>
                      </v:textbox>
                      <w10:wrap anchorx="page" anchory="page"/>
                    </v:shape>
                  </w:pict>
                </mc:Fallback>
              </mc:AlternateContent>
            </w:r>
          </w:p>
          <w:p w:rsidR="00D35616" w:rsidRDefault="00D35616">
            <w:pPr>
              <w:pStyle w:val="HuvudRubrikRad2"/>
            </w:pPr>
            <w:bookmarkStart w:id="17" w:name="BetänkandeNr"/>
            <w:bookmarkEnd w:id="17"/>
            <w:r>
              <w:t>1998/99:SkU19</w:t>
            </w:r>
          </w:p>
          <w:p w:rsidR="00D35616" w:rsidRDefault="00D35616">
            <w:pPr>
              <w:pStyle w:val="BetnkandeRubrik"/>
            </w:pPr>
            <w:bookmarkStart w:id="18" w:name="Huvudrubrik"/>
            <w:bookmarkEnd w:id="18"/>
            <w:r>
              <w:t>Tullagens överklaganderegler, m.m.</w:t>
            </w:r>
          </w:p>
        </w:tc>
        <w:tc>
          <w:tcPr>
            <w:tcW w:w="1559" w:type="dxa"/>
            <w:tcBorders>
              <w:bottom w:val="nil"/>
            </w:tcBorders>
          </w:tcPr>
          <w:p w:rsidR="00D35616" w:rsidRDefault="00D3561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35616" w:rsidRDefault="00D35616">
            <w:pPr>
              <w:spacing w:before="40" w:after="900" w:line="280" w:lineRule="exact"/>
              <w:jc w:val="left"/>
              <w:rPr>
                <w:sz w:val="28"/>
              </w:rPr>
            </w:pPr>
          </w:p>
        </w:tc>
        <w:tc>
          <w:tcPr>
            <w:tcW w:w="1559" w:type="dxa"/>
          </w:tcPr>
          <w:p w:rsidR="00D35616" w:rsidRDefault="00D3561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35616" w:rsidRDefault="00D35616">
            <w:pPr>
              <w:spacing w:before="40" w:after="900" w:line="280" w:lineRule="exact"/>
              <w:jc w:val="left"/>
              <w:rPr>
                <w:sz w:val="28"/>
              </w:rPr>
            </w:pPr>
          </w:p>
        </w:tc>
        <w:tc>
          <w:tcPr>
            <w:tcW w:w="1559" w:type="dxa"/>
            <w:tcBorders>
              <w:bottom w:val="single" w:sz="6" w:space="0" w:color="auto"/>
            </w:tcBorders>
          </w:tcPr>
          <w:p w:rsidR="00D35616" w:rsidRDefault="00D35616">
            <w:pPr>
              <w:pStyle w:val="rtal"/>
            </w:pPr>
            <w:r>
              <w:t>SkU19</w:t>
            </w:r>
          </w:p>
        </w:tc>
      </w:tr>
      <w:tr w:rsidR="00000000">
        <w:tblPrEx>
          <w:tblCellMar>
            <w:top w:w="0" w:type="dxa"/>
            <w:bottom w:w="0" w:type="dxa"/>
          </w:tblCellMar>
        </w:tblPrEx>
        <w:trPr>
          <w:cantSplit/>
          <w:trHeight w:hRule="exact" w:val="660"/>
        </w:trPr>
        <w:tc>
          <w:tcPr>
            <w:tcW w:w="3012" w:type="dxa"/>
          </w:tcPr>
          <w:p w:rsidR="00D35616" w:rsidRDefault="00D35616">
            <w:pPr>
              <w:pStyle w:val="StatusSida1"/>
            </w:pPr>
          </w:p>
        </w:tc>
        <w:tc>
          <w:tcPr>
            <w:tcW w:w="3012" w:type="dxa"/>
          </w:tcPr>
          <w:p w:rsidR="00D35616" w:rsidRDefault="00D35616">
            <w:pPr>
              <w:pStyle w:val="UtskriftsdatumSida1"/>
              <w:rPr>
                <w:b/>
                <w:sz w:val="28"/>
              </w:rPr>
            </w:pPr>
          </w:p>
        </w:tc>
        <w:tc>
          <w:tcPr>
            <w:tcW w:w="1559" w:type="dxa"/>
          </w:tcPr>
          <w:p w:rsidR="00D35616" w:rsidRDefault="00D35616"/>
        </w:tc>
      </w:tr>
    </w:tbl>
    <w:p w:rsidR="00D35616" w:rsidRDefault="00D35616">
      <w:pPr>
        <w:pStyle w:val="Rubrik1"/>
        <w:spacing w:before="0"/>
      </w:pPr>
      <w:bookmarkStart w:id="19" w:name="_Toc450534666"/>
      <w:r>
        <w:t>Sammanfattning</w:t>
      </w:r>
      <w:bookmarkEnd w:id="19"/>
    </w:p>
    <w:p w:rsidR="00D35616" w:rsidRDefault="00D35616">
      <w:bookmarkStart w:id="20" w:name="Textstart"/>
      <w:bookmarkEnd w:id="20"/>
      <w:r>
        <w:t>I betänkandet tillstyrker utskottet regeringens förslag till nya bestämmelser om överklagande i tullagen samt ändringar i ett antal andra lagar med anle</w:t>
      </w:r>
      <w:r>
        <w:t>d</w:t>
      </w:r>
      <w:r>
        <w:softHyphen/>
        <w:t xml:space="preserve">ning av omorganiseringen av Tullverket till en enda myndighet med central ledning och sex tullregioner. Förslaget innebär bl.a. att Generaltullstyrelsen avskaffas som överklagandeinstans. Huvudregeln är att beslut av Tullverket överklagas hos allmän förvaltningsdomstol. Beslut i administrativa ärenden och normgivningsärenden skall överklagas hos regeringen. </w:t>
      </w:r>
    </w:p>
    <w:p w:rsidR="00D35616" w:rsidRDefault="00D35616">
      <w:pPr>
        <w:pStyle w:val="Normaltindrag"/>
      </w:pPr>
      <w:r>
        <w:t>Utskottet tillstyrker också regeringens förslag rörande omhändertagande av varor i EU-intern trafik, informationsutbytet i EU om transporter av sprit</w:t>
      </w:r>
      <w:r>
        <w:t xml:space="preserve"> och cigaretter, kontrollen av vägavgiftspliktigt fordon i Sverige och rörande lagen om fordonsskatt på utländska fordon.</w:t>
      </w:r>
    </w:p>
    <w:p w:rsidR="00D35616" w:rsidRDefault="00D35616">
      <w:pPr>
        <w:pStyle w:val="Normaltindrag"/>
      </w:pPr>
      <w:r>
        <w:t>Lagändringarna träder i kraft den 1 juli 1999.</w:t>
      </w:r>
    </w:p>
    <w:p w:rsidR="00D35616" w:rsidRDefault="00D35616">
      <w:pPr>
        <w:pStyle w:val="Rubrik1"/>
      </w:pPr>
      <w:bookmarkStart w:id="21" w:name="_Toc450534667"/>
      <w:r>
        <w:t>Propositionen</w:t>
      </w:r>
      <w:bookmarkEnd w:id="21"/>
    </w:p>
    <w:p w:rsidR="00D35616" w:rsidRDefault="00D35616">
      <w:r>
        <w:t>Regeringen (Finansdepartementet) föreslår i proposition 1998/99:79 att riksdagen antar de i propositionen framlagda fö</w:t>
      </w:r>
      <w:r>
        <w:t>r</w:t>
      </w:r>
      <w:r>
        <w:t>slagen till</w:t>
      </w:r>
    </w:p>
    <w:p w:rsidR="00D35616" w:rsidRDefault="00D35616">
      <w:pPr>
        <w:pStyle w:val="Normaltindrag"/>
      </w:pPr>
      <w:r>
        <w:t xml:space="preserve">1. lag om ändring i utsökningsbalken, </w:t>
      </w:r>
    </w:p>
    <w:p w:rsidR="00D35616" w:rsidRDefault="00D35616">
      <w:pPr>
        <w:pStyle w:val="Normaltindrag"/>
      </w:pPr>
      <w:r>
        <w:t xml:space="preserve">2. lag om ändring i lagen (1918:163) med vissa bestämmelser om sjöfynd, </w:t>
      </w:r>
    </w:p>
    <w:p w:rsidR="00D35616" w:rsidRDefault="00D35616">
      <w:pPr>
        <w:pStyle w:val="Normaltindrag"/>
      </w:pPr>
      <w:r>
        <w:t xml:space="preserve">3. lag om ändring i lagen (1960:418) om straff för varusmuggling, </w:t>
      </w:r>
    </w:p>
    <w:p w:rsidR="00D35616" w:rsidRDefault="00D35616">
      <w:pPr>
        <w:pStyle w:val="Normaltindrag"/>
      </w:pPr>
      <w:r>
        <w:t xml:space="preserve">4. lag om ändring i lagen (1960:419) om förbud i vissa fall mot införsel av spritdrycker, </w:t>
      </w:r>
    </w:p>
    <w:p w:rsidR="00D35616" w:rsidRDefault="00D35616">
      <w:pPr>
        <w:pStyle w:val="Normaltindrag"/>
      </w:pPr>
      <w:r>
        <w:t>5. lag om ändring i lagen (1962:120) om straff i vissa fall för oriktigt u</w:t>
      </w:r>
      <w:r>
        <w:t>r</w:t>
      </w:r>
      <w:r>
        <w:t xml:space="preserve">sprungsintyg m.m., </w:t>
      </w:r>
    </w:p>
    <w:p w:rsidR="00D35616" w:rsidRDefault="00D35616">
      <w:pPr>
        <w:pStyle w:val="Normaltindrag"/>
      </w:pPr>
      <w:r>
        <w:t xml:space="preserve">6. lag om ändring i lagen (1969:200) om uttagande av utländsk tull, annan skatt, avgift eller pålaga, </w:t>
      </w:r>
    </w:p>
    <w:p w:rsidR="00D35616" w:rsidRDefault="00D35616">
      <w:pPr>
        <w:pStyle w:val="Normaltindrag"/>
      </w:pPr>
      <w:r>
        <w:t xml:space="preserve">7. lag om ändring i lagen (1972:266) om skatt på annonser och reklam, </w:t>
      </w:r>
    </w:p>
    <w:p w:rsidR="00D35616" w:rsidRDefault="00D35616">
      <w:pPr>
        <w:pStyle w:val="Normaltindrag"/>
      </w:pPr>
      <w:r>
        <w:t>8. lag om ändring i lagen (1973:431) om utredning angående brott mot u</w:t>
      </w:r>
      <w:r>
        <w:t>t</w:t>
      </w:r>
      <w:r>
        <w:t xml:space="preserve">ländsk tullag, </w:t>
      </w:r>
    </w:p>
    <w:p w:rsidR="00D35616" w:rsidRDefault="00D35616">
      <w:pPr>
        <w:pStyle w:val="Normaltindrag"/>
      </w:pPr>
      <w:r>
        <w:t xml:space="preserve">9. lag om ändring i lagen (1973:980) om transport, förvaring och förstöring av införselreglerade varor, m.m., </w:t>
      </w:r>
    </w:p>
    <w:p w:rsidR="00D35616" w:rsidRDefault="00D35616">
      <w:pPr>
        <w:pStyle w:val="Normaltindrag"/>
      </w:pPr>
      <w:r>
        <w:t xml:space="preserve">10. lag om ändring i sekretesslagen (1980:100), </w:t>
      </w:r>
    </w:p>
    <w:p w:rsidR="00D35616" w:rsidRDefault="00D35616">
      <w:pPr>
        <w:pStyle w:val="Normaltindrag"/>
      </w:pPr>
      <w:r>
        <w:t xml:space="preserve">11. lag om ändring i containerlagen (1980:152), </w:t>
      </w:r>
    </w:p>
    <w:p w:rsidR="00D35616" w:rsidRDefault="00D35616">
      <w:pPr>
        <w:pStyle w:val="Normaltindrag"/>
      </w:pPr>
      <w:r>
        <w:t xml:space="preserve">12. lag om ändring i skatteregisterlagen (1980:343), </w:t>
      </w:r>
    </w:p>
    <w:p w:rsidR="00D35616" w:rsidRDefault="00D35616">
      <w:pPr>
        <w:pStyle w:val="Normaltindrag"/>
      </w:pPr>
      <w:r>
        <w:lastRenderedPageBreak/>
        <w:t xml:space="preserve">13. lag om ändring i lagen (1999:000) om ändring i skatteregisterlagen (1980:343), </w:t>
      </w:r>
    </w:p>
    <w:p w:rsidR="00D35616" w:rsidRDefault="00D35616">
      <w:pPr>
        <w:pStyle w:val="Normaltindrag"/>
      </w:pPr>
      <w:r>
        <w:t xml:space="preserve">14. lag om ändring i lagen (1982:821) om transport av farligt gods, </w:t>
      </w:r>
    </w:p>
    <w:p w:rsidR="00D35616" w:rsidRDefault="00D35616">
      <w:pPr>
        <w:pStyle w:val="Normaltindrag"/>
      </w:pPr>
      <w:r>
        <w:t>15. lag om ändring i lagen (1984:151) om punktskatter och prisreglering</w:t>
      </w:r>
      <w:r>
        <w:t>s</w:t>
      </w:r>
      <w:r>
        <w:softHyphen/>
        <w:t xml:space="preserve">avgifter, </w:t>
      </w:r>
    </w:p>
    <w:p w:rsidR="00D35616" w:rsidRDefault="00D35616">
      <w:pPr>
        <w:pStyle w:val="Normaltindrag"/>
      </w:pPr>
      <w:r>
        <w:t xml:space="preserve">16. lag om ändring i utsökningsregisterlagen (1986:617), </w:t>
      </w:r>
    </w:p>
    <w:p w:rsidR="00D35616" w:rsidRDefault="00D35616">
      <w:pPr>
        <w:pStyle w:val="Normaltindrag"/>
      </w:pPr>
      <w:r>
        <w:t xml:space="preserve">17. lag om ändring i fartygssäkerhetslagen (1988:49), </w:t>
      </w:r>
    </w:p>
    <w:p w:rsidR="00D35616" w:rsidRDefault="00D35616">
      <w:pPr>
        <w:pStyle w:val="Normaltindrag"/>
      </w:pPr>
      <w:r>
        <w:t xml:space="preserve">18. lag om upphävande av lagen (1988:328) om fordonsskatt på utländska fordon, </w:t>
      </w:r>
    </w:p>
    <w:p w:rsidR="00D35616" w:rsidRDefault="00D35616">
      <w:pPr>
        <w:pStyle w:val="Normaltindrag"/>
      </w:pPr>
      <w:r>
        <w:t xml:space="preserve">19. lag om ändring i lagen (1988:1385) om Sveriges riksbank, </w:t>
      </w:r>
    </w:p>
    <w:p w:rsidR="00D35616" w:rsidRDefault="00D35616">
      <w:pPr>
        <w:pStyle w:val="Normaltindrag"/>
      </w:pPr>
      <w:r>
        <w:t xml:space="preserve">20. lag om ändring i karantänslagen (1989:290), </w:t>
      </w:r>
    </w:p>
    <w:p w:rsidR="00D35616" w:rsidRDefault="00D35616">
      <w:pPr>
        <w:pStyle w:val="Normaltindrag"/>
      </w:pPr>
      <w:r>
        <w:t xml:space="preserve">21. lag om ändring i tullregisterlagen (1990:137), </w:t>
      </w:r>
    </w:p>
    <w:p w:rsidR="00D35616" w:rsidRDefault="00D35616">
      <w:pPr>
        <w:pStyle w:val="Normaltindrag"/>
      </w:pPr>
      <w:r>
        <w:t xml:space="preserve">22. lag om ändring i lagen (1992:860) om kontroll av narkotika, </w:t>
      </w:r>
    </w:p>
    <w:p w:rsidR="00D35616" w:rsidRDefault="00D35616">
      <w:pPr>
        <w:pStyle w:val="Normaltindrag"/>
      </w:pPr>
      <w:r>
        <w:t xml:space="preserve">23. lag om ändring i lagen (1992:1602) om valuta- och kreditreglering, </w:t>
      </w:r>
    </w:p>
    <w:p w:rsidR="00D35616" w:rsidRDefault="00D35616">
      <w:pPr>
        <w:pStyle w:val="Normaltindrag"/>
      </w:pPr>
      <w:r>
        <w:t xml:space="preserve">24. lag om ändring i postlagen (1993:1684), </w:t>
      </w:r>
    </w:p>
    <w:p w:rsidR="00D35616" w:rsidRDefault="00D35616">
      <w:pPr>
        <w:pStyle w:val="Normaltindrag"/>
      </w:pPr>
      <w:r>
        <w:t xml:space="preserve">25. lag om ändring i mervärdesskattelagen (1994:200), </w:t>
      </w:r>
    </w:p>
    <w:p w:rsidR="00D35616" w:rsidRDefault="00D35616">
      <w:pPr>
        <w:pStyle w:val="Normaltindrag"/>
      </w:pPr>
      <w:r>
        <w:t>26. lag om ändring i lagen (1994:466) om särskilda tvångsåtgärder i b</w:t>
      </w:r>
      <w:r>
        <w:t>e</w:t>
      </w:r>
      <w:r>
        <w:t xml:space="preserve">skattningsförfarandet, </w:t>
      </w:r>
    </w:p>
    <w:p w:rsidR="00D35616" w:rsidRDefault="00D35616">
      <w:pPr>
        <w:pStyle w:val="Normaltindrag"/>
      </w:pPr>
      <w:r>
        <w:t xml:space="preserve">27. lag om ändring i lagen (1994:1547) om tullfrihet m.m. </w:t>
      </w:r>
    </w:p>
    <w:p w:rsidR="00D35616" w:rsidRDefault="00D35616">
      <w:pPr>
        <w:pStyle w:val="Normaltindrag"/>
      </w:pPr>
      <w:r>
        <w:t xml:space="preserve">28. lag om ändring i tullagen (1994:1550), </w:t>
      </w:r>
    </w:p>
    <w:p w:rsidR="00D35616" w:rsidRDefault="00D35616">
      <w:pPr>
        <w:pStyle w:val="Normaltindrag"/>
      </w:pPr>
      <w:r>
        <w:t xml:space="preserve">29. lag om ändring i lagen (1994:1551) om frihet från skatt vid import, m.m., </w:t>
      </w:r>
    </w:p>
    <w:p w:rsidR="00D35616" w:rsidRDefault="00D35616">
      <w:pPr>
        <w:pStyle w:val="Normaltindrag"/>
      </w:pPr>
      <w:r>
        <w:t>30. lag om ändring i lagen (1994:1552) om tullkontroll av varumärkes</w:t>
      </w:r>
      <w:r>
        <w:softHyphen/>
        <w:t>i</w:t>
      </w:r>
      <w:r>
        <w:t>n</w:t>
      </w:r>
      <w:r>
        <w:t xml:space="preserve">trång m.m., </w:t>
      </w:r>
    </w:p>
    <w:p w:rsidR="00D35616" w:rsidRDefault="00D35616">
      <w:pPr>
        <w:pStyle w:val="Normaltindrag"/>
      </w:pPr>
      <w:r>
        <w:t xml:space="preserve">31. lag om ändring i lagen (1994:1563) om tobaksskatt, </w:t>
      </w:r>
    </w:p>
    <w:p w:rsidR="00D35616" w:rsidRDefault="00D35616">
      <w:pPr>
        <w:pStyle w:val="Normaltindrag"/>
      </w:pPr>
      <w:r>
        <w:t xml:space="preserve">32. lag om ändring i lagen (1994:1564) om alkoholskatt, </w:t>
      </w:r>
    </w:p>
    <w:p w:rsidR="00D35616" w:rsidRDefault="00D35616">
      <w:pPr>
        <w:pStyle w:val="Normaltindrag"/>
      </w:pPr>
      <w:r>
        <w:t xml:space="preserve">33. lag om ändring i alkohollagen (1994:1738), </w:t>
      </w:r>
    </w:p>
    <w:p w:rsidR="00D35616" w:rsidRDefault="00D35616">
      <w:pPr>
        <w:pStyle w:val="Normaltindrag"/>
      </w:pPr>
      <w:r>
        <w:t xml:space="preserve">34. lag om ändring i lagen (1994:1776) om skatt på energi, </w:t>
      </w:r>
    </w:p>
    <w:p w:rsidR="00D35616" w:rsidRDefault="00D35616">
      <w:pPr>
        <w:pStyle w:val="Normaltindrag"/>
      </w:pPr>
      <w:r>
        <w:t xml:space="preserve">35. lag om ändring i lagen (1995:439) om beskattning, förtullning och folkbokföring under krig eller krigsfara m.m., </w:t>
      </w:r>
    </w:p>
    <w:p w:rsidR="00D35616" w:rsidRDefault="00D35616">
      <w:pPr>
        <w:pStyle w:val="Normaltindrag"/>
      </w:pPr>
      <w:r>
        <w:t xml:space="preserve">36. lag om ändring i vapenlagen (1996:67), </w:t>
      </w:r>
    </w:p>
    <w:p w:rsidR="00D35616" w:rsidRDefault="00D35616">
      <w:pPr>
        <w:pStyle w:val="Normaltindrag"/>
      </w:pPr>
      <w:r>
        <w:t xml:space="preserve">37. lag om ändring i lagen (1996:701) om Tullverkets befogenheter vid Sveriges gräns mot ett annat land inom Europeiska unionen, </w:t>
      </w:r>
    </w:p>
    <w:p w:rsidR="00D35616" w:rsidRDefault="00D35616">
      <w:pPr>
        <w:pStyle w:val="Normaltindrag"/>
      </w:pPr>
      <w:r>
        <w:t>38. lag om ändring i lagen (1997:1058) om register i Tullverkets brotts</w:t>
      </w:r>
      <w:r>
        <w:softHyphen/>
        <w:t>b</w:t>
      </w:r>
      <w:r>
        <w:t>e</w:t>
      </w:r>
      <w:r>
        <w:t xml:space="preserve">kämpande verksamhet, </w:t>
      </w:r>
    </w:p>
    <w:p w:rsidR="00D35616" w:rsidRDefault="00D35616">
      <w:pPr>
        <w:pStyle w:val="Normaltindrag"/>
      </w:pPr>
      <w:r>
        <w:t>39. lag om ändring i lagen (1997:1137) om vägavgift för vissa tunga fo</w:t>
      </w:r>
      <w:r>
        <w:t>r</w:t>
      </w:r>
      <w:r>
        <w:softHyphen/>
        <w:t xml:space="preserve">don, </w:t>
      </w:r>
    </w:p>
    <w:p w:rsidR="00D35616" w:rsidRDefault="00D35616">
      <w:pPr>
        <w:pStyle w:val="Normaltindrag"/>
      </w:pPr>
      <w:r>
        <w:t xml:space="preserve">40. lag om ändring i yrkestrafiklagen (1998:490), </w:t>
      </w:r>
    </w:p>
    <w:p w:rsidR="00D35616" w:rsidRDefault="00D35616">
      <w:pPr>
        <w:pStyle w:val="Normaltindrag"/>
      </w:pPr>
      <w:r>
        <w:t>41. lag om ändring i lagen (1998:506) om punktskattekontroll av tran</w:t>
      </w:r>
      <w:r>
        <w:t>s</w:t>
      </w:r>
      <w:r>
        <w:softHyphen/>
        <w:t xml:space="preserve">porter m.m. av alkoholvaror, tobaksvaror och mineraloljeprodukter, </w:t>
      </w:r>
    </w:p>
    <w:p w:rsidR="00D35616" w:rsidRDefault="00D35616">
      <w:pPr>
        <w:pStyle w:val="Normaltindrag"/>
      </w:pPr>
      <w:r>
        <w:t>42. lag om ändring i lagen (1998:527) om det statliga personadressregis</w:t>
      </w:r>
      <w:r>
        <w:t>t</w:t>
      </w:r>
      <w:r>
        <w:softHyphen/>
        <w:t xml:space="preserve">ret.  </w:t>
      </w:r>
    </w:p>
    <w:p w:rsidR="00D35616" w:rsidRDefault="00D35616">
      <w:r>
        <w:t>Under våren 1999 kommer Tullverket att genomgå en omorganisation. Tul</w:t>
      </w:r>
      <w:r>
        <w:t>l</w:t>
      </w:r>
      <w:r>
        <w:softHyphen/>
        <w:t>verket utgörs i dag av Generaltullstyrelsen, som är chefsmyndighet, samt sex regionala tullmyndigheter. Omorganisationen innebär att Tullverket kommer att bestå av en enda myndighet med en central ledning och sex tullregioner. Den nya organisationen är tänkt att gälla från den 1 juli 1999.</w:t>
      </w:r>
    </w:p>
    <w:p w:rsidR="00D35616" w:rsidRDefault="00D35616">
      <w:pPr>
        <w:pStyle w:val="Normaltindrag"/>
      </w:pPr>
      <w:r>
        <w:t>Propositionen innehåller förslag till nya bestämmelser om överklagande i tullagen samt ändringar i ett antal andra lagar med anledning av omorganis</w:t>
      </w:r>
      <w:r>
        <w:t>a</w:t>
      </w:r>
      <w:r>
        <w:softHyphen/>
        <w:t>tionen. Förslaget är begränsat till vad som är nödvändigt för att Tullverkets nya organisation skall kunna genomföras.</w:t>
      </w:r>
    </w:p>
    <w:p w:rsidR="00D35616" w:rsidRDefault="00D35616">
      <w:pPr>
        <w:pStyle w:val="Normaltindrag"/>
      </w:pPr>
      <w:r>
        <w:t>I propositionen föreslås sålunda att Generaltullstyrelsen avskaffas som överklagandeinstans. Enligt huvudregeln skall beslut av Tullverket överkl</w:t>
      </w:r>
      <w:r>
        <w:t>a</w:t>
      </w:r>
      <w:r>
        <w:softHyphen/>
        <w:t>gas hos allmän förvaltningsdomstol. Beslut i administrativa ärenden och normgivningsärenden skall överklagas hos regeringen. Vidare föreslås att bestämmelserna om överklagande utformas på så sätt att det klarare framgår att dessa även gäller beslut beträffande annan skatt än tull och avgift som skall tas ut vid import. Det föreslås också att frågor om utdömande av vite skall prövas av allmän förvaltningsdomstol.</w:t>
      </w:r>
    </w:p>
    <w:p w:rsidR="00D35616" w:rsidRDefault="00D35616">
      <w:pPr>
        <w:pStyle w:val="Normaltindrag"/>
      </w:pPr>
      <w:r>
        <w:t xml:space="preserve">I propositionen gör regeringen vidare den bedömningen att det allmänna ombudet skall behållas </w:t>
      </w:r>
      <w:r>
        <w:t>i tullagen och att Tullagsutredningens förslag om att införa bestämmelser om dröjsmålstalan i tullagen inte skall genomföras nu.</w:t>
      </w:r>
    </w:p>
    <w:p w:rsidR="00D35616" w:rsidRDefault="00D35616">
      <w:pPr>
        <w:pStyle w:val="Normaltindrag"/>
      </w:pPr>
      <w:r>
        <w:t>I propositionen föreslås vidare att Tullverket skall få möjlighet att vägra att lämna ut en vara som omhändertagits med stöd av lagen om Tullverkets befogenheter vid Sveriges gräns mot ett annat land inom Europeiska unionen (inregränslagen), om varan inte får föras in i eller ut ur landet eller om sä</w:t>
      </w:r>
      <w:r>
        <w:t>r</w:t>
      </w:r>
      <w:r>
        <w:softHyphen/>
        <w:t>skilda villkor för införseln eller utförseln inte är uppfyllda. Om den som för in eller för ut varan inte inom viss tid uppfyllt villkoren för införseln eller utförseln eller, vid införsel, återutfört varan skall denna kunna förverkas efter beslut av Tullverket. Detta beslut, liksom övriga beslut enligt de nya b</w:t>
      </w:r>
      <w:r>
        <w:t>e</w:t>
      </w:r>
      <w:r>
        <w:t>stämmelserna, skall kunna överklagas till allmän förvaltningsdomstol.</w:t>
      </w:r>
    </w:p>
    <w:p w:rsidR="00D35616" w:rsidRDefault="00D35616">
      <w:pPr>
        <w:pStyle w:val="Normaltindrag"/>
      </w:pPr>
      <w:r>
        <w:t>I propositionen lämnas också förslag till vissa ändringar av bestämmel</w:t>
      </w:r>
      <w:r>
        <w:softHyphen/>
        <w:t>se</w:t>
      </w:r>
      <w:r>
        <w:t>r</w:t>
      </w:r>
      <w:r>
        <w:t>na om ledsagardokument i lagarna om tobaks- och alkoholskatt. Bakgrun</w:t>
      </w:r>
      <w:r>
        <w:softHyphen/>
        <w:t>den till förändringarna är att man på gemenskapsnivå har kommit överens om att införa ett varningssystem för snabbt informationsutbyte avseende transporter av sprit och cigaretter och att svenska myndigheter redan från starten bör ha den information om avgående transporter som är nödvändig för att systemet skall fungera. Ändringarna innebär att föreskrifter och antal exemplar av ledsagardokument m.m. flyttas över till förordningarna o</w:t>
      </w:r>
      <w:r>
        <w:t>m alkohol- och tobaksskatt. Även på energiområdet görs ändringar på motsva</w:t>
      </w:r>
      <w:r>
        <w:softHyphen/>
        <w:t>rande sätt i lagen och förordningen. Samtidigt görs den bedömningen att det i nämnda förordningar bör införas föreskrifter om att upplagshavare i vissa fall skall upprätta ledsagardokument i fem exemplar och sända in ett exemplar till ansvarig myndighet.</w:t>
      </w:r>
    </w:p>
    <w:p w:rsidR="00D35616" w:rsidRDefault="00D35616">
      <w:pPr>
        <w:pStyle w:val="Normaltindrag"/>
      </w:pPr>
      <w:r>
        <w:t>I propositionen föreslås även en ändring i vägavgiftslagen. Ändringen i</w:t>
      </w:r>
      <w:r>
        <w:t>n</w:t>
      </w:r>
      <w:r>
        <w:t>nebär att om en förare av ett vägavgiftspliktigt svenskt fordon inte kan visa upp ett vägavgiftsbevis vid kontroll på grund av att beviset inte tillställts ägaren, är föraren skyldig att i stället visa upp kvitto på betald vägavgift.</w:t>
      </w:r>
    </w:p>
    <w:p w:rsidR="00D35616" w:rsidRDefault="00D35616">
      <w:pPr>
        <w:pStyle w:val="Normaltindrag"/>
      </w:pPr>
      <w:r>
        <w:t>Slutligen föreslås att lagen om fordonsskatt på utländska fordon skall up</w:t>
      </w:r>
      <w:r>
        <w:t>p</w:t>
      </w:r>
      <w:r>
        <w:softHyphen/>
        <w:t>hävas.</w:t>
      </w:r>
    </w:p>
    <w:p w:rsidR="00D35616" w:rsidRDefault="00D35616">
      <w:pPr>
        <w:pStyle w:val="Normaltindrag"/>
      </w:pPr>
      <w:r>
        <w:t>Lagändringarna föreslås träda i kraft den 1 juli 1999.</w:t>
      </w:r>
    </w:p>
    <w:p w:rsidR="00D35616" w:rsidRDefault="00D35616">
      <w:r>
        <w:t xml:space="preserve">Lagförslagen finns i </w:t>
      </w:r>
      <w:r>
        <w:rPr>
          <w:i/>
        </w:rPr>
        <w:t>bilaga 1</w:t>
      </w:r>
      <w:r>
        <w:t xml:space="preserve"> till betänkandet.</w:t>
      </w:r>
    </w:p>
    <w:p w:rsidR="00D35616" w:rsidRDefault="00D35616">
      <w:pPr>
        <w:pStyle w:val="Rubrik1"/>
      </w:pPr>
      <w:bookmarkStart w:id="22" w:name="_Toc450534668"/>
      <w:r>
        <w:t>Utskottet</w:t>
      </w:r>
      <w:bookmarkEnd w:id="22"/>
    </w:p>
    <w:p w:rsidR="00D35616" w:rsidRDefault="00D35616">
      <w:pPr>
        <w:pStyle w:val="R2"/>
        <w:spacing w:before="123"/>
      </w:pPr>
      <w:r>
        <w:t>Ställningstagande</w:t>
      </w:r>
    </w:p>
    <w:p w:rsidR="00D35616" w:rsidRDefault="00D35616">
      <w:r>
        <w:t>Utskottet instämmer i regeringens bedömning att det finns skäl att åter</w:t>
      </w:r>
      <w:r>
        <w:softHyphen/>
        <w:t>ko</w:t>
      </w:r>
      <w:r>
        <w:t>m</w:t>
      </w:r>
      <w:r>
        <w:t>ma till frågan om förfarandet för omprövning i tullagen och frågan om dröjsmålstalan så snart som Tullagsutredningen lämnat sitt slutbetänkande. Utsko</w:t>
      </w:r>
      <w:r>
        <w:t>t</w:t>
      </w:r>
      <w:r>
        <w:t>tet har inte heller i övrigt något att i sak erinra mot regeringens för</w:t>
      </w:r>
      <w:r>
        <w:softHyphen/>
        <w:t xml:space="preserve">slag.   </w:t>
      </w:r>
    </w:p>
    <w:p w:rsidR="00D35616" w:rsidRDefault="00D35616">
      <w:pPr>
        <w:pStyle w:val="Normaltindrag"/>
      </w:pPr>
      <w:r>
        <w:t xml:space="preserve">De i propositionen framlagda lagförslagen omfattar några paragrafer som föreslås ändrade också i proposition 1998/99:86 Ändrade skatteregler med anledning av att taxfreeförsäljningen inom EU upphör. Det gäller 52 och 57 §§ tullagen (lagförslag 2.28 i proposition 1998/99:79), </w:t>
      </w:r>
      <w:r>
        <w:t>9 § tobaksskattelagen (lagförslag 2.31 i proposition 1998/99:79) och 8 § alkoholskattelagen (la</w:t>
      </w:r>
      <w:r>
        <w:t>g</w:t>
      </w:r>
      <w:r>
        <w:softHyphen/>
        <w:t>förslag 2.32 i proposition 1998/99:79). Alla ändringarna skall träda i kraft den 1 juli 1999 och bör av författningstekniska skäl sammanföras i skatte</w:t>
      </w:r>
      <w:r>
        <w:softHyphen/>
        <w:t>u</w:t>
      </w:r>
      <w:r>
        <w:t>t</w:t>
      </w:r>
      <w:r>
        <w:t>skottets betänkande 1998/99:SkU21. Vidare förordar utskottet en redaktio</w:t>
      </w:r>
      <w:r>
        <w:softHyphen/>
        <w:t>nell justering i lagförslag 2.30 Förslag till lag om ändring i lagen (1994:1552) om tullkontroll av varumärkesintrång m.m. i proposition 1998/99:79. Lagförslaget får efter justering den lyd</w:t>
      </w:r>
      <w:r>
        <w:t xml:space="preserve">else som framgår av </w:t>
      </w:r>
      <w:r>
        <w:rPr>
          <w:i/>
        </w:rPr>
        <w:t>bilaga 2</w:t>
      </w:r>
      <w:r>
        <w:t xml:space="preserve"> till betänkandet. Med de ändringar som föranleds härav tillstyrker utskottet propositionen. </w:t>
      </w:r>
    </w:p>
    <w:p w:rsidR="00D35616" w:rsidRDefault="00D35616">
      <w:pPr>
        <w:pStyle w:val="Rubrik2"/>
      </w:pPr>
      <w:bookmarkStart w:id="23" w:name="_Toc450534669"/>
      <w:r>
        <w:t>Hemställan</w:t>
      </w:r>
      <w:bookmarkEnd w:id="23"/>
    </w:p>
    <w:p w:rsidR="00D35616" w:rsidRDefault="00D35616">
      <w:r>
        <w:t>Utskottet hemställer</w:t>
      </w:r>
    </w:p>
    <w:p w:rsidR="00D35616" w:rsidRDefault="00D35616">
      <w:pPr>
        <w:pStyle w:val="hembetr"/>
      </w:pPr>
      <w:r>
        <w:t>att riksdagen med bifall till proposition 1998/99:79 antar de i propo</w:t>
      </w:r>
      <w:r>
        <w:softHyphen/>
        <w:t xml:space="preserve">sitionen framlagda förslagen till </w:t>
      </w:r>
    </w:p>
    <w:p w:rsidR="00D35616" w:rsidRDefault="00D35616">
      <w:pPr>
        <w:pStyle w:val="hemtext"/>
      </w:pPr>
      <w:r>
        <w:t xml:space="preserve">1. lag om ändring i utsökningsbalken, </w:t>
      </w:r>
    </w:p>
    <w:p w:rsidR="00D35616" w:rsidRDefault="00D35616">
      <w:pPr>
        <w:pStyle w:val="hemtext"/>
      </w:pPr>
      <w:r>
        <w:t xml:space="preserve">2. lag om ändring i lagen (1918:163) med vissa bestämmelser om sjöfynd, </w:t>
      </w:r>
    </w:p>
    <w:p w:rsidR="00D35616" w:rsidRDefault="00D35616">
      <w:pPr>
        <w:pStyle w:val="hemtext"/>
      </w:pPr>
      <w:r>
        <w:t xml:space="preserve">3. lag om ändring i lagen (1960:418) om straff för varusmuggling, </w:t>
      </w:r>
    </w:p>
    <w:p w:rsidR="00D35616" w:rsidRDefault="00D35616">
      <w:pPr>
        <w:pStyle w:val="hemtext"/>
      </w:pPr>
      <w:r>
        <w:t>4. lag om ändring i lagen (1960:419) om förbud i vissa fall mot inför</w:t>
      </w:r>
      <w:r>
        <w:softHyphen/>
        <w:t xml:space="preserve">sel av spritdrycker, </w:t>
      </w:r>
    </w:p>
    <w:p w:rsidR="00D35616" w:rsidRDefault="00D35616">
      <w:pPr>
        <w:pStyle w:val="hemtext"/>
      </w:pPr>
      <w:r>
        <w:t>5. lag om ändring i lagen (1962:120) om straff i vissa fall för oriktigt u</w:t>
      </w:r>
      <w:r>
        <w:t>r</w:t>
      </w:r>
      <w:r>
        <w:t xml:space="preserve">sprungsintyg m.m., </w:t>
      </w:r>
    </w:p>
    <w:p w:rsidR="00D35616" w:rsidRDefault="00D35616">
      <w:pPr>
        <w:pStyle w:val="hemtext"/>
      </w:pPr>
      <w:r>
        <w:t xml:space="preserve">6. lag om ändring i lagen (1969:200) om uttagande av utländsk tull, annan skatt, avgift eller pålaga, </w:t>
      </w:r>
    </w:p>
    <w:p w:rsidR="00D35616" w:rsidRDefault="00D35616">
      <w:pPr>
        <w:pStyle w:val="hemtext"/>
      </w:pPr>
      <w:r>
        <w:t xml:space="preserve">7. lag om ändring i lagen (1972:266) om skatt på annonser och reklam, </w:t>
      </w:r>
    </w:p>
    <w:p w:rsidR="00D35616" w:rsidRDefault="00D35616">
      <w:pPr>
        <w:pStyle w:val="hemtext"/>
      </w:pPr>
      <w:r>
        <w:t>8. lag om ändring i lagen (1973:431) om utredning angående brott mot u</w:t>
      </w:r>
      <w:r>
        <w:t>t</w:t>
      </w:r>
      <w:r>
        <w:t xml:space="preserve">ländsk tullag, </w:t>
      </w:r>
    </w:p>
    <w:p w:rsidR="00D35616" w:rsidRDefault="00D35616">
      <w:pPr>
        <w:pStyle w:val="hemtext"/>
      </w:pPr>
      <w:r>
        <w:t>9. lag om ändring i lagen (1973:980) om transport, förvaring och för</w:t>
      </w:r>
      <w:r>
        <w:softHyphen/>
        <w:t xml:space="preserve">störing av införselreglerade varor, m.m., </w:t>
      </w:r>
    </w:p>
    <w:p w:rsidR="00D35616" w:rsidRDefault="00D35616">
      <w:pPr>
        <w:pStyle w:val="hemtext"/>
      </w:pPr>
      <w:r>
        <w:t xml:space="preserve">10. lag om ändring i sekretesslagen (1980:100), </w:t>
      </w:r>
    </w:p>
    <w:p w:rsidR="00D35616" w:rsidRDefault="00D35616">
      <w:pPr>
        <w:pStyle w:val="hemtext"/>
      </w:pPr>
      <w:r>
        <w:t xml:space="preserve">11. lag om ändring i containerlagen (1980:152), </w:t>
      </w:r>
    </w:p>
    <w:p w:rsidR="00D35616" w:rsidRDefault="00D35616">
      <w:pPr>
        <w:pStyle w:val="hemtext"/>
      </w:pPr>
      <w:r>
        <w:t xml:space="preserve">12. lag om ändring i skatteregisterlagen (1980:343), </w:t>
      </w:r>
    </w:p>
    <w:p w:rsidR="00D35616" w:rsidRDefault="00D35616">
      <w:pPr>
        <w:pStyle w:val="hemtext"/>
      </w:pPr>
      <w:r>
        <w:t xml:space="preserve">13. lag om ändring i lagen (1999:000) om ändring i skatteregisterlagen (1980:343), </w:t>
      </w:r>
    </w:p>
    <w:p w:rsidR="00D35616" w:rsidRDefault="00D35616">
      <w:pPr>
        <w:pStyle w:val="hemtext"/>
      </w:pPr>
      <w:r>
        <w:t xml:space="preserve">14. lag om ändring i lagen (1982:821) om transport av farligt gods, </w:t>
      </w:r>
    </w:p>
    <w:p w:rsidR="00D35616" w:rsidRDefault="00D35616">
      <w:pPr>
        <w:pStyle w:val="hemtext"/>
      </w:pPr>
      <w:r>
        <w:t>15. lag om ändring i lagen (1984:151) om punktskatter och prisregle</w:t>
      </w:r>
      <w:r>
        <w:softHyphen/>
        <w:t>ring</w:t>
      </w:r>
      <w:r>
        <w:t>s</w:t>
      </w:r>
      <w:r>
        <w:softHyphen/>
        <w:t xml:space="preserve">avgifter, </w:t>
      </w:r>
    </w:p>
    <w:p w:rsidR="00D35616" w:rsidRDefault="00D35616">
      <w:pPr>
        <w:pStyle w:val="hemtext"/>
      </w:pPr>
      <w:r>
        <w:t xml:space="preserve">16. lag om ändring i utsökningsregisterlagen (1986:617), </w:t>
      </w:r>
    </w:p>
    <w:p w:rsidR="00D35616" w:rsidRDefault="00D35616">
      <w:pPr>
        <w:pStyle w:val="hemtext"/>
      </w:pPr>
      <w:r>
        <w:t xml:space="preserve">17. lag om ändring i fartygssäkerhetslagen (1988:49), </w:t>
      </w:r>
    </w:p>
    <w:p w:rsidR="00D35616" w:rsidRDefault="00D35616">
      <w:pPr>
        <w:pStyle w:val="hemtext"/>
      </w:pPr>
      <w:r>
        <w:t xml:space="preserve">18. lag om upphävande av lagen (1988:328) om fordonsskatt på utländska fordon, </w:t>
      </w:r>
    </w:p>
    <w:p w:rsidR="00D35616" w:rsidRDefault="00D35616">
      <w:pPr>
        <w:pStyle w:val="hemtext"/>
      </w:pPr>
      <w:r>
        <w:t xml:space="preserve">19. lag om ändring i lagen (1988:1385) om Sveriges riksbank, </w:t>
      </w:r>
    </w:p>
    <w:p w:rsidR="00D35616" w:rsidRDefault="00D35616">
      <w:pPr>
        <w:pStyle w:val="hemtext"/>
      </w:pPr>
      <w:r>
        <w:t xml:space="preserve">20. lag om ändring i karantänslagen (1989:290), </w:t>
      </w:r>
    </w:p>
    <w:p w:rsidR="00D35616" w:rsidRDefault="00D35616">
      <w:pPr>
        <w:pStyle w:val="hemtext"/>
      </w:pPr>
      <w:r>
        <w:t xml:space="preserve">21. lag om ändring i tullregisterlagen (1990:137), </w:t>
      </w:r>
    </w:p>
    <w:p w:rsidR="00D35616" w:rsidRDefault="00D35616">
      <w:pPr>
        <w:pStyle w:val="hemtext"/>
      </w:pPr>
      <w:r>
        <w:t xml:space="preserve">22. lag om ändring i lagen (1992:860) om kontroll av narkotika, </w:t>
      </w:r>
    </w:p>
    <w:p w:rsidR="00D35616" w:rsidRDefault="00D35616">
      <w:pPr>
        <w:pStyle w:val="hemtext"/>
      </w:pPr>
      <w:r>
        <w:t>23. lag om ändring i lagen (1992:1602) om valuta- och kreditregle</w:t>
      </w:r>
      <w:r>
        <w:softHyphen/>
        <w:t xml:space="preserve">ring, </w:t>
      </w:r>
    </w:p>
    <w:p w:rsidR="00D35616" w:rsidRDefault="00D35616">
      <w:pPr>
        <w:pStyle w:val="hemtext"/>
      </w:pPr>
      <w:r>
        <w:t xml:space="preserve">24. lag om ändring i postlagen (1993:1684), </w:t>
      </w:r>
    </w:p>
    <w:p w:rsidR="00D35616" w:rsidRDefault="00D35616">
      <w:pPr>
        <w:pStyle w:val="hemtext"/>
      </w:pPr>
      <w:r>
        <w:t xml:space="preserve">25. lag om ändring i mervärdesskattelagen (1994:200), </w:t>
      </w:r>
    </w:p>
    <w:p w:rsidR="00D35616" w:rsidRDefault="00D35616">
      <w:pPr>
        <w:pStyle w:val="hemtext"/>
      </w:pPr>
      <w:r>
        <w:t>26. lag om ändring i lagen (1994:466) om särskilda tvångsåtgärder i b</w:t>
      </w:r>
      <w:r>
        <w:t>e</w:t>
      </w:r>
      <w:r>
        <w:t xml:space="preserve">skattningsförfarandet, </w:t>
      </w:r>
    </w:p>
    <w:p w:rsidR="00D35616" w:rsidRDefault="00D35616">
      <w:pPr>
        <w:pStyle w:val="hemtext"/>
      </w:pPr>
      <w:r>
        <w:t xml:space="preserve">27. lag om ändring i lagen (1994:1547) om tullfrihet m.m. </w:t>
      </w:r>
    </w:p>
    <w:p w:rsidR="00D35616" w:rsidRDefault="00D35616">
      <w:pPr>
        <w:pStyle w:val="hemtext"/>
      </w:pPr>
      <w:r>
        <w:t xml:space="preserve">28. lag om ändring i tullagen (1994:1550) med den ändringen att 52 och 57 §§ utgår ur förslaget, </w:t>
      </w:r>
    </w:p>
    <w:p w:rsidR="00D35616" w:rsidRDefault="00D35616">
      <w:pPr>
        <w:pStyle w:val="hemtext"/>
      </w:pPr>
      <w:r>
        <w:t xml:space="preserve">29. lag om ändring i lagen (1994:1551) om frihet från skatt vid import, m.m., </w:t>
      </w:r>
    </w:p>
    <w:p w:rsidR="00D35616" w:rsidRDefault="00D35616">
      <w:pPr>
        <w:pStyle w:val="hemtext"/>
      </w:pPr>
      <w:r>
        <w:t>30. lag om ändring i lagen (1994:1552) om tullkontroll av varu</w:t>
      </w:r>
      <w:r>
        <w:softHyphen/>
        <w:t>märkes</w:t>
      </w:r>
      <w:r>
        <w:softHyphen/>
        <w:t>i</w:t>
      </w:r>
      <w:r>
        <w:t>n</w:t>
      </w:r>
      <w:r>
        <w:t xml:space="preserve">trång m.m. med den ändringen att lagförslaget erhåller den i </w:t>
      </w:r>
      <w:r>
        <w:rPr>
          <w:i/>
        </w:rPr>
        <w:t>bilaga 2</w:t>
      </w:r>
      <w:r>
        <w:t xml:space="preserve"> föreslagna lydelsen, </w:t>
      </w:r>
    </w:p>
    <w:p w:rsidR="00D35616" w:rsidRDefault="00D35616">
      <w:pPr>
        <w:pStyle w:val="hemtext"/>
      </w:pPr>
      <w:r>
        <w:t>31. lag om ändring i lagen (1994:1563) om tobaksskatt med den änd</w:t>
      </w:r>
      <w:r>
        <w:softHyphen/>
        <w:t xml:space="preserve">ringen att 9 § utgår ur förslaget, </w:t>
      </w:r>
    </w:p>
    <w:p w:rsidR="00D35616" w:rsidRDefault="00D35616">
      <w:pPr>
        <w:pStyle w:val="hemtext"/>
      </w:pPr>
      <w:r>
        <w:t>32. lag om ändring i lagen (1994:1564) om alkoholskatt med den änd</w:t>
      </w:r>
      <w:r>
        <w:softHyphen/>
        <w:t>rin</w:t>
      </w:r>
      <w:r>
        <w:t>g</w:t>
      </w:r>
      <w:r>
        <w:t xml:space="preserve">en att 8 § utgår ur förslaget, </w:t>
      </w:r>
    </w:p>
    <w:p w:rsidR="00D35616" w:rsidRDefault="00D35616">
      <w:pPr>
        <w:pStyle w:val="hemtext"/>
      </w:pPr>
      <w:r>
        <w:t xml:space="preserve">33. lag om ändring i alkohollagen (1994:1738), </w:t>
      </w:r>
    </w:p>
    <w:p w:rsidR="00D35616" w:rsidRDefault="00D35616">
      <w:pPr>
        <w:pStyle w:val="hemtext"/>
      </w:pPr>
      <w:r>
        <w:t xml:space="preserve">34. lag om ändring i lagen (1994:1776) om skatt på energi, </w:t>
      </w:r>
    </w:p>
    <w:p w:rsidR="00D35616" w:rsidRDefault="00D35616">
      <w:pPr>
        <w:pStyle w:val="hemtext"/>
      </w:pPr>
      <w:r>
        <w:t xml:space="preserve">35. lag om ändring i lagen (1995:439) om beskattning, förtullning och folkbokföring under krig eller krigsfara m.m., </w:t>
      </w:r>
    </w:p>
    <w:p w:rsidR="00D35616" w:rsidRDefault="00D35616">
      <w:pPr>
        <w:pStyle w:val="hemtext"/>
      </w:pPr>
      <w:r>
        <w:t xml:space="preserve">36. lag om ändring i vapenlagen (1996:67), </w:t>
      </w:r>
    </w:p>
    <w:p w:rsidR="00D35616" w:rsidRDefault="00D35616">
      <w:pPr>
        <w:pStyle w:val="hemtext"/>
      </w:pPr>
      <w:r>
        <w:t xml:space="preserve">37. lag om ändring i lagen (1996:701) om Tullverkets befogenheter vid Sveriges gräns mot ett annat land inom Europeiska unionen, </w:t>
      </w:r>
    </w:p>
    <w:p w:rsidR="00D35616" w:rsidRDefault="00D35616">
      <w:pPr>
        <w:pStyle w:val="hemtext"/>
      </w:pPr>
      <w:r>
        <w:t>38. lag om ändring i lagen (1997:1058) om register i Tullverkets brotts</w:t>
      </w:r>
      <w:r>
        <w:softHyphen/>
        <w:t>b</w:t>
      </w:r>
      <w:r>
        <w:t>e</w:t>
      </w:r>
      <w:r>
        <w:t xml:space="preserve">kämpande verksamhet, </w:t>
      </w:r>
    </w:p>
    <w:p w:rsidR="00D35616" w:rsidRDefault="00D35616">
      <w:pPr>
        <w:pStyle w:val="hemtext"/>
      </w:pPr>
      <w:r>
        <w:t>39. lag om ändring i lagen (1997:1137) om vägavgift för vissa tunga fo</w:t>
      </w:r>
      <w:r>
        <w:t>r</w:t>
      </w:r>
      <w:r>
        <w:softHyphen/>
        <w:t xml:space="preserve">don, </w:t>
      </w:r>
    </w:p>
    <w:p w:rsidR="00D35616" w:rsidRDefault="00D35616">
      <w:pPr>
        <w:pStyle w:val="hemtext"/>
      </w:pPr>
      <w:r>
        <w:t xml:space="preserve">40. lag om ändring i yrkestrafiklagen (1998:490), </w:t>
      </w:r>
    </w:p>
    <w:p w:rsidR="00D35616" w:rsidRDefault="00D35616">
      <w:pPr>
        <w:pStyle w:val="hemtext"/>
      </w:pPr>
      <w:r>
        <w:t>41. lag om ändring i lagen (1998:506) om punktskattekontroll av tran</w:t>
      </w:r>
      <w:r>
        <w:t>s</w:t>
      </w:r>
      <w:r>
        <w:softHyphen/>
        <w:t>porter m.m. av alkoholvaror, tobaksvaror och mineraloljepro</w:t>
      </w:r>
      <w:r>
        <w:softHyphen/>
        <w:t xml:space="preserve">dukter, </w:t>
      </w:r>
    </w:p>
    <w:p w:rsidR="00D35616" w:rsidRDefault="00D35616">
      <w:pPr>
        <w:pStyle w:val="hemtext"/>
      </w:pPr>
      <w:r>
        <w:t>42. lag om ändring i lagen (1998:527) om det statliga personadress</w:t>
      </w:r>
      <w:r>
        <w:softHyphen/>
        <w:t>regis</w:t>
      </w:r>
      <w:r>
        <w:t>t</w:t>
      </w:r>
      <w:r>
        <w:t xml:space="preserve">ret.  </w:t>
      </w:r>
    </w:p>
    <w:p w:rsidR="00D35616" w:rsidRDefault="00D35616">
      <w:pPr>
        <w:pStyle w:val="Stockholm"/>
      </w:pPr>
      <w:r>
        <w:br w:type="page"/>
        <w:t xml:space="preserve">Stockholm den 4 maj 1999 </w:t>
      </w:r>
    </w:p>
    <w:p w:rsidR="00D35616" w:rsidRDefault="00D35616">
      <w:pPr>
        <w:pStyle w:val="Vgnar"/>
      </w:pPr>
      <w:r>
        <w:t>På skatteutskottets vägnar</w:t>
      </w:r>
    </w:p>
    <w:p w:rsidR="00D35616" w:rsidRDefault="00D35616">
      <w:pPr>
        <w:pStyle w:val="Ordfnamn"/>
      </w:pPr>
      <w:r>
        <w:t>Arne Kjörnsberg</w:t>
      </w:r>
    </w:p>
    <w:p w:rsidR="00D35616" w:rsidRDefault="00D35616">
      <w:pPr>
        <w:pStyle w:val="Deltagare"/>
      </w:pPr>
      <w:bookmarkStart w:id="24" w:name="Ordförande"/>
      <w:bookmarkStart w:id="25" w:name="Deltagare"/>
      <w:bookmarkStart w:id="26" w:name="Nästa_Reservation"/>
      <w:bookmarkEnd w:id="24"/>
      <w:bookmarkEnd w:id="25"/>
      <w:bookmarkEnd w:id="26"/>
      <w:r>
        <w:t xml:space="preserve">I beslutet har deltagit: Arne Kjörnsberg (s), Lisbeth Staaf-Igelström (s), Per Rosengren (v), Holger Gustafsson (kd), Carl Fredrik Graf (m), Per Erik Granström (s), Carl Erik Hedlund (m), Ulla Wester (s), Marie Engström (v), Kenneth Lantz (kd), Yvonne Ruwaida (mp), Rolf Kenneryd (c), Johan Pehrson (fp), Lars U Granberg (s), Catharina Hagen (m), Per-Olof Svensson (s) och Stefan Hagfeldt (m). </w:t>
      </w:r>
    </w:p>
    <w:p w:rsidR="00D35616" w:rsidRDefault="00D35616"/>
    <w:p w:rsidR="00D35616" w:rsidRDefault="00D35616">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D35616" w:rsidRDefault="00D35616">
      <w:pPr>
        <w:pStyle w:val="Normaltindrag"/>
        <w:sectPr w:rsidR="00000000">
          <w:headerReference w:type="default" r:id="rId11"/>
          <w:footerReference w:type="default" r:id="rId12"/>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p w:rsidR="00D35616" w:rsidRDefault="00D35616">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D35616" w:rsidRDefault="00D35616">
      <w:pPr>
        <w:pStyle w:val="Normaltindrag"/>
      </w:pPr>
    </w:p>
    <w:sectPr w:rsidR="00D35616">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616" w:rsidRDefault="00D35616">
      <w:pPr>
        <w:spacing w:before="0" w:line="240" w:lineRule="auto"/>
      </w:pPr>
      <w:r>
        <w:separator/>
      </w:r>
    </w:p>
  </w:endnote>
  <w:endnote w:type="continuationSeparator" w:id="0">
    <w:p w:rsidR="00D35616" w:rsidRDefault="00D356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16" w:rsidRDefault="00D35616">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35616" w:rsidRDefault="00D356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16" w:rsidRDefault="00D35616">
    <w:pPr>
      <w:pStyle w:val="SidfotH"/>
      <w:framePr w:wrap="around"/>
    </w:pPr>
    <w:r>
      <w:fldChar w:fldCharType="begin" w:fldLock="1"/>
    </w:r>
    <w:r>
      <w:instrText xml:space="preserve"> P</w:instrText>
    </w:r>
    <w:r>
      <w:instrText>A</w:instrText>
    </w:r>
    <w:r>
      <w:instrText xml:space="preserve">GE </w:instrText>
    </w:r>
    <w:r>
      <w:fldChar w:fldCharType="separate"/>
    </w:r>
    <w:r>
      <w:rPr>
        <w:noProof/>
      </w:rPr>
      <w:t>7</w:t>
    </w:r>
    <w:r>
      <w:fldChar w:fldCharType="end"/>
    </w:r>
  </w:p>
  <w:p w:rsidR="00D35616" w:rsidRDefault="00D3561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16" w:rsidRDefault="00D35616">
    <w:pPr>
      <w:pStyle w:val="SidfotH"/>
      <w:framePr w:wrap="around"/>
    </w:pPr>
    <w:r>
      <w:fldChar w:fldCharType="begin" w:fldLock="1"/>
    </w:r>
    <w:r>
      <w:instrText xml:space="preserve"> P</w:instrText>
    </w:r>
    <w:r>
      <w:instrText>A</w:instrText>
    </w:r>
    <w:r>
      <w:instrText xml:space="preserve">GE </w:instrText>
    </w:r>
    <w:r>
      <w:fldChar w:fldCharType="separate"/>
    </w:r>
    <w:r>
      <w:rPr>
        <w:noProof/>
      </w:rPr>
      <w:t>70</w:t>
    </w:r>
    <w:r>
      <w:fldChar w:fldCharType="end"/>
    </w:r>
  </w:p>
  <w:p w:rsidR="00D35616" w:rsidRDefault="00D3561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16" w:rsidRDefault="00D35616">
    <w:pPr>
      <w:pStyle w:val="SidfotH"/>
      <w:framePr w:wrap="around"/>
    </w:pPr>
    <w:r>
      <w:fldChar w:fldCharType="begin" w:fldLock="1"/>
    </w:r>
    <w:r>
      <w:instrText xml:space="preserve"> P</w:instrText>
    </w:r>
    <w:r>
      <w:instrText>A</w:instrText>
    </w:r>
    <w:r>
      <w:instrText xml:space="preserve">GE </w:instrText>
    </w:r>
    <w:r>
      <w:fldChar w:fldCharType="separate"/>
    </w:r>
    <w:r>
      <w:rPr>
        <w:noProof/>
      </w:rPr>
      <w:t>71</w:t>
    </w:r>
    <w:r>
      <w:fldChar w:fldCharType="end"/>
    </w:r>
  </w:p>
  <w:p w:rsidR="00D35616" w:rsidRDefault="00D356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616" w:rsidRDefault="00D35616">
      <w:pPr>
        <w:pStyle w:val="Sidfot"/>
      </w:pPr>
    </w:p>
  </w:footnote>
  <w:footnote w:type="continuationSeparator" w:id="0">
    <w:p w:rsidR="00D35616" w:rsidRDefault="00D3561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16" w:rsidRDefault="00D35616">
    <w:pPr>
      <w:pStyle w:val="SidhuvudKant"/>
      <w:framePr w:w="1985" w:h="2743" w:hRule="exact" w:wrap="around" w:vAnchor="page" w:hAnchor="page" w:x="7372" w:y="568" w:anchorLock="0"/>
      <w:rPr>
        <w:noProof/>
      </w:rPr>
    </w:pPr>
    <w:r>
      <w:rPr>
        <w:noProof/>
      </w:rPr>
      <w:t>1998/99:SkU19</w:t>
    </w:r>
  </w:p>
  <w:p w:rsidR="00D35616" w:rsidRDefault="00D35616">
    <w:pPr>
      <w:pStyle w:val="SidhuvudKantBilaga"/>
      <w:framePr w:w="1985" w:h="2743" w:hRule="exact" w:wrap="around" w:vAnchor="page" w:hAnchor="page" w:x="7372" w:y="568" w:anchorLock="0"/>
      <w:rPr>
        <w:noProof/>
      </w:rPr>
    </w:pPr>
  </w:p>
  <w:p w:rsidR="00D35616" w:rsidRDefault="00D35616">
    <w:pPr>
      <w:pStyle w:val="SidhuvudKant"/>
      <w:framePr w:w="1985" w:h="2743" w:hRule="exact" w:wrap="around" w:vAnchor="page" w:hAnchor="page" w:x="7372" w:y="568" w:anchorLock="0"/>
    </w:pPr>
  </w:p>
  <w:p w:rsidR="00D35616" w:rsidRDefault="00D356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16" w:rsidRDefault="00D35616">
    <w:pPr>
      <w:pStyle w:val="SidhuvudKant"/>
      <w:framePr w:w="1985" w:h="2743" w:hRule="exact" w:wrap="around" w:vAnchor="page" w:hAnchor="page" w:x="7372" w:y="568" w:anchorLock="0"/>
      <w:rPr>
        <w:noProof/>
      </w:rPr>
    </w:pPr>
    <w:r>
      <w:rPr>
        <w:noProof/>
      </w:rPr>
      <w:t>1998/99:SkU19</w:t>
    </w:r>
  </w:p>
  <w:p w:rsidR="00D35616" w:rsidRDefault="00D35616">
    <w:pPr>
      <w:pStyle w:val="SidhuvudKantBilaga"/>
      <w:framePr w:w="1985" w:h="2743" w:hRule="exact" w:wrap="around" w:vAnchor="page" w:hAnchor="page" w:x="7372" w:y="568" w:anchorLock="0"/>
      <w:rPr>
        <w:noProof/>
      </w:rPr>
    </w:pPr>
    <w:r>
      <w:rPr>
        <w:noProof/>
      </w:rPr>
      <w:t>Bilaga 1</w:t>
    </w:r>
  </w:p>
  <w:p w:rsidR="00D35616" w:rsidRDefault="00D35616">
    <w:pPr>
      <w:pStyle w:val="SidhuvudKant"/>
      <w:framePr w:w="1985" w:h="2743" w:hRule="exact" w:wrap="around" w:vAnchor="page" w:hAnchor="page" w:x="7372" w:y="568" w:anchorLock="0"/>
    </w:pPr>
  </w:p>
  <w:p w:rsidR="00D35616" w:rsidRDefault="00D3561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16" w:rsidRDefault="00D35616">
    <w:pPr>
      <w:pStyle w:val="SidhuvudKant"/>
      <w:framePr w:w="1985" w:h="2743" w:hRule="exact" w:wrap="around" w:vAnchor="page" w:hAnchor="page" w:x="7372" w:y="568" w:anchorLock="0"/>
      <w:rPr>
        <w:noProof/>
      </w:rPr>
    </w:pPr>
    <w:r>
      <w:rPr>
        <w:noProof/>
      </w:rPr>
      <w:t>1998/99:SkU19</w:t>
    </w:r>
  </w:p>
  <w:p w:rsidR="00D35616" w:rsidRDefault="00D35616">
    <w:pPr>
      <w:pStyle w:val="SidhuvudKantBilaga"/>
      <w:framePr w:w="1985" w:h="2743" w:hRule="exact" w:wrap="around" w:vAnchor="page" w:hAnchor="page" w:x="7372" w:y="568" w:anchorLock="0"/>
      <w:rPr>
        <w:noProof/>
      </w:rPr>
    </w:pPr>
    <w:r>
      <w:rPr>
        <w:noProof/>
      </w:rPr>
      <w:t>Bilaga 1</w:t>
    </w:r>
  </w:p>
  <w:p w:rsidR="00D35616" w:rsidRDefault="00D35616">
    <w:pPr>
      <w:pStyle w:val="SidhuvudKant"/>
      <w:framePr w:w="1985" w:h="2743" w:hRule="exact" w:wrap="around" w:vAnchor="page" w:hAnchor="page" w:x="7372" w:y="568" w:anchorLock="0"/>
    </w:pPr>
  </w:p>
  <w:p w:rsidR="00D35616" w:rsidRDefault="00D3561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16" w:rsidRDefault="00D35616">
    <w:pPr>
      <w:pStyle w:val="SidhuvudKant"/>
      <w:framePr w:w="1985" w:h="2743" w:hRule="exact" w:wrap="around" w:vAnchor="page" w:hAnchor="page" w:x="7372" w:y="568" w:anchorLock="0"/>
      <w:rPr>
        <w:noProof/>
      </w:rPr>
    </w:pPr>
    <w:r>
      <w:rPr>
        <w:noProof/>
      </w:rPr>
      <w:t>1998/99:SkU19</w:t>
    </w:r>
  </w:p>
  <w:p w:rsidR="00D35616" w:rsidRDefault="00D35616">
    <w:pPr>
      <w:pStyle w:val="SidhuvudKantBilaga"/>
      <w:framePr w:w="1985" w:h="2743" w:hRule="exact" w:wrap="around" w:vAnchor="page" w:hAnchor="page" w:x="7372" w:y="568" w:anchorLock="0"/>
      <w:rPr>
        <w:noProof/>
      </w:rPr>
    </w:pPr>
    <w:r>
      <w:rPr>
        <w:noProof/>
      </w:rPr>
      <w:t>Bilaga 2</w:t>
    </w:r>
  </w:p>
  <w:p w:rsidR="00D35616" w:rsidRDefault="00D35616">
    <w:pPr>
      <w:pStyle w:val="SidhuvudKant"/>
      <w:framePr w:w="1985" w:h="2743" w:hRule="exact" w:wrap="around" w:vAnchor="page" w:hAnchor="page" w:x="7372" w:y="568" w:anchorLock="0"/>
    </w:pPr>
  </w:p>
  <w:p w:rsidR="00D35616" w:rsidRDefault="00D3561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6536ED"/>
    <w:rsid w:val="00317A15"/>
    <w:rsid w:val="006536ED"/>
    <w:rsid w:val="00D356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100120-6BE7-4B46-8E59-F93A3BF2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1873</Words>
  <Characters>10943</Characters>
  <Application>Microsoft Office Word</Application>
  <DocSecurity>4</DocSecurity>
  <Lines>312</Lines>
  <Paragraphs>136</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Skatteutskottets betänkande</vt:lpstr>
      <vt:lpstr>Sammanfattning</vt:lpstr>
      <vt:lpstr>Propositionen</vt:lpstr>
      <vt:lpstr>Utskottet</vt:lpstr>
      <vt:lpstr>    Hemställan</vt:lpstr>
    </vt:vector>
  </TitlesOfParts>
  <Company>Riksdagen</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1999-05-20T12:41:00Z</cp:lastPrinted>
  <dcterms:created xsi:type="dcterms:W3CDTF">2025-12-15T19:32:00Z</dcterms:created>
  <dcterms:modified xsi:type="dcterms:W3CDTF">2025-12-15T19:32:00Z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