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188" w:rsidRPr="00646C7B" w:rsidRDefault="00937188">
      <w:pPr>
        <w:pStyle w:val="Frslagsrubrik"/>
        <w:shd w:val="clear" w:color="000000" w:fill="auto"/>
      </w:pPr>
      <w:r w:rsidRPr="00646C7B">
        <w:t>Förslag till riksdagsbeslut</w:t>
      </w:r>
    </w:p>
    <w:p w:rsidR="00937188" w:rsidRPr="00646C7B" w:rsidRDefault="00937188">
      <w:pPr>
        <w:pStyle w:val="Hemstlatt"/>
        <w:numPr>
          <w:ilvl w:val="0"/>
          <w:numId w:val="0"/>
        </w:numPr>
        <w:shd w:val="clear" w:color="000000" w:fill="auto"/>
      </w:pPr>
      <w:r w:rsidRPr="00646C7B">
        <w:t>Riksdagen tillkännager för regeringen som sin mening vad som anförs i motionen om öronmärkning av skolpengen, nämligen att grundbeloppet som betalas ut till huvudmannen enligt 10 kap. 38 § och 16 kap. 53 § skollagen endast ska få användas för de ändamål som anges i den aktuella paragrafen och ingenting annat.</w:t>
      </w:r>
    </w:p>
    <w:p w:rsidR="00937188" w:rsidRPr="00646C7B" w:rsidRDefault="00937188">
      <w:pPr>
        <w:pStyle w:val="Rubrik1"/>
        <w:shd w:val="clear" w:color="000000" w:fill="auto"/>
      </w:pPr>
      <w:r w:rsidRPr="00646C7B">
        <w:t>Motivering</w:t>
      </w:r>
    </w:p>
    <w:p w:rsidR="00937188" w:rsidRPr="00646C7B" w:rsidRDefault="00937188">
      <w:pPr>
        <w:shd w:val="clear" w:color="000000" w:fill="auto"/>
      </w:pPr>
      <w:r w:rsidRPr="00646C7B">
        <w:t>Undersökningar har visat att skolor med enskild huvudman generellt sett har en lägre andel behöriga lärare, men också en lägre lärartäthet, än kommunala skolor. Den kommunala skolan har över 80 procent behöriga lärare, medan andelen behöriga lärare i friskolor är under 60 procent (RUT 2010:7). Vad gäller lärartätheten för den kommunala skolan är den 8,3, vilket ska jämföras med 7,7 för skolor med enskild huvudman (RUT 2011:0950).</w:t>
      </w:r>
    </w:p>
    <w:p w:rsidR="00937188" w:rsidRPr="00646C7B" w:rsidRDefault="00937188">
      <w:pPr>
        <w:pStyle w:val="Normaltindrag"/>
        <w:shd w:val="clear" w:color="000000" w:fill="auto"/>
        <w:spacing w:after="120"/>
      </w:pPr>
      <w:r w:rsidRPr="00646C7B">
        <w:t>För att säkerställa alla elevers rätt till likvärdig utbildning, men också att kvaliteten på skolutbildningen inte urholkas, föreslår vi att grundbeloppet som betalas ut till huvudmannen enligt 10 kap. 38 § i skollagen, endast skall få användas till de ändamål som stipuleras i den aktuella paragrafen och inge</w:t>
      </w:r>
      <w:r w:rsidRPr="00646C7B">
        <w:t>n</w:t>
      </w:r>
      <w:r w:rsidRPr="00646C7B">
        <w:t>ting annat. Vi föreslår därför följande ändring i 10 kap. 38 § skollagen:</w:t>
      </w:r>
    </w:p>
    <w:tbl>
      <w:tblPr>
        <w:tblW w:w="5954" w:type="dxa"/>
        <w:tblLayout w:type="fixed"/>
        <w:tblCellMar>
          <w:left w:w="70" w:type="dxa"/>
          <w:right w:w="70" w:type="dxa"/>
        </w:tblCellMar>
        <w:tblLook w:val="0000" w:firstRow="0" w:lastRow="0" w:firstColumn="0" w:lastColumn="0" w:noHBand="0" w:noVBand="0"/>
      </w:tblPr>
      <w:tblGrid>
        <w:gridCol w:w="2977"/>
        <w:gridCol w:w="2977"/>
      </w:tblGrid>
      <w:tr w:rsidR="00000000" w:rsidRPr="00646C7B">
        <w:tc>
          <w:tcPr>
            <w:tcW w:w="4322" w:type="dxa"/>
          </w:tcPr>
          <w:p w:rsidR="00937188" w:rsidRPr="00646C7B" w:rsidRDefault="00937188">
            <w:pPr>
              <w:pStyle w:val="Lagtext"/>
              <w:shd w:val="clear" w:color="000000" w:fill="auto"/>
            </w:pPr>
            <w:r w:rsidRPr="00646C7B">
              <w:t>Nuvarande lydelse</w:t>
            </w:r>
          </w:p>
        </w:tc>
        <w:tc>
          <w:tcPr>
            <w:tcW w:w="4322" w:type="dxa"/>
          </w:tcPr>
          <w:p w:rsidR="00937188" w:rsidRPr="00646C7B" w:rsidRDefault="00937188">
            <w:pPr>
              <w:pStyle w:val="Lagtext"/>
              <w:shd w:val="clear" w:color="000000" w:fill="auto"/>
            </w:pPr>
            <w:r w:rsidRPr="00646C7B">
              <w:t>Föreslagen lydelse</w:t>
            </w:r>
          </w:p>
        </w:tc>
      </w:tr>
      <w:tr w:rsidR="00000000" w:rsidRPr="00646C7B">
        <w:tc>
          <w:tcPr>
            <w:tcW w:w="4322" w:type="dxa"/>
          </w:tcPr>
          <w:p w:rsidR="00937188" w:rsidRPr="00646C7B" w:rsidRDefault="00937188">
            <w:pPr>
              <w:shd w:val="clear" w:color="000000" w:fill="auto"/>
            </w:pPr>
            <w:r w:rsidRPr="00646C7B">
              <w:rPr>
                <w:b/>
                <w:bCs/>
              </w:rPr>
              <w:t>38 §</w:t>
            </w:r>
            <w:r w:rsidRPr="00646C7B">
              <w:t xml:space="preserve"> Grundbeloppet ska avse ersät</w:t>
            </w:r>
            <w:r w:rsidRPr="00646C7B">
              <w:t>t</w:t>
            </w:r>
            <w:r w:rsidRPr="00646C7B">
              <w:t>ning för</w:t>
            </w:r>
          </w:p>
          <w:p w:rsidR="00937188" w:rsidRPr="00646C7B" w:rsidRDefault="00937188">
            <w:pPr>
              <w:shd w:val="clear" w:color="000000" w:fill="auto"/>
              <w:spacing w:before="0"/>
            </w:pPr>
            <w:r w:rsidRPr="00646C7B">
              <w:t xml:space="preserve">1. undervisning, </w:t>
            </w:r>
          </w:p>
          <w:p w:rsidR="00937188" w:rsidRPr="00646C7B" w:rsidRDefault="00937188">
            <w:pPr>
              <w:shd w:val="clear" w:color="000000" w:fill="auto"/>
              <w:spacing w:before="0"/>
            </w:pPr>
            <w:r w:rsidRPr="00646C7B">
              <w:t xml:space="preserve">2. lärverktyg, </w:t>
            </w:r>
          </w:p>
          <w:p w:rsidR="00937188" w:rsidRPr="00646C7B" w:rsidRDefault="00937188">
            <w:pPr>
              <w:shd w:val="clear" w:color="000000" w:fill="auto"/>
              <w:spacing w:before="0"/>
            </w:pPr>
            <w:r w:rsidRPr="00646C7B">
              <w:t xml:space="preserve">3. elevhälsa, </w:t>
            </w:r>
          </w:p>
          <w:p w:rsidR="00937188" w:rsidRPr="00646C7B" w:rsidRDefault="00937188">
            <w:pPr>
              <w:shd w:val="clear" w:color="000000" w:fill="auto"/>
              <w:spacing w:before="0"/>
            </w:pPr>
            <w:r w:rsidRPr="00646C7B">
              <w:t xml:space="preserve">4. måltider, </w:t>
            </w:r>
          </w:p>
          <w:p w:rsidR="00937188" w:rsidRPr="00646C7B" w:rsidRDefault="00937188">
            <w:pPr>
              <w:shd w:val="clear" w:color="000000" w:fill="auto"/>
              <w:spacing w:before="0"/>
            </w:pPr>
            <w:r w:rsidRPr="00646C7B">
              <w:t xml:space="preserve">5. administration, </w:t>
            </w:r>
          </w:p>
          <w:p w:rsidR="00937188" w:rsidRPr="00646C7B" w:rsidRDefault="00937188">
            <w:pPr>
              <w:shd w:val="clear" w:color="000000" w:fill="auto"/>
              <w:spacing w:before="0"/>
            </w:pPr>
            <w:r w:rsidRPr="00646C7B">
              <w:lastRenderedPageBreak/>
              <w:t xml:space="preserve">6. mervärdesskatt, och </w:t>
            </w:r>
          </w:p>
          <w:p w:rsidR="00937188" w:rsidRPr="00646C7B" w:rsidRDefault="00937188">
            <w:pPr>
              <w:shd w:val="clear" w:color="000000" w:fill="auto"/>
              <w:spacing w:before="0"/>
            </w:pPr>
            <w:r w:rsidRPr="00646C7B">
              <w:t xml:space="preserve">7. lokalkostnader. </w:t>
            </w:r>
          </w:p>
          <w:p w:rsidR="00937188" w:rsidRPr="00646C7B" w:rsidRDefault="00937188">
            <w:pPr>
              <w:shd w:val="clear" w:color="000000" w:fill="auto"/>
            </w:pPr>
            <w:r w:rsidRPr="00646C7B">
              <w:t>Grundbeloppet ska b</w:t>
            </w:r>
            <w:r w:rsidRPr="00646C7B">
              <w:t>e</w:t>
            </w:r>
            <w:r w:rsidRPr="00646C7B">
              <w:t>stämmas efter samma grunder som hemkomm</w:t>
            </w:r>
            <w:r w:rsidRPr="00646C7B">
              <w:t>u</w:t>
            </w:r>
            <w:r w:rsidRPr="00646C7B">
              <w:t>nen tillämpar vid fördelning av r</w:t>
            </w:r>
            <w:r w:rsidRPr="00646C7B">
              <w:t>e</w:t>
            </w:r>
            <w:r w:rsidRPr="00646C7B">
              <w:t>surser till den egna grun</w:t>
            </w:r>
            <w:r w:rsidRPr="00646C7B">
              <w:t>d</w:t>
            </w:r>
            <w:r w:rsidRPr="00646C7B">
              <w:t>skolan.</w:t>
            </w:r>
          </w:p>
          <w:p w:rsidR="00937188" w:rsidRPr="00646C7B" w:rsidRDefault="00937188">
            <w:pPr>
              <w:shd w:val="clear" w:color="000000" w:fill="auto"/>
              <w:rPr>
                <w:i/>
              </w:rPr>
            </w:pPr>
          </w:p>
        </w:tc>
        <w:tc>
          <w:tcPr>
            <w:tcW w:w="4322" w:type="dxa"/>
          </w:tcPr>
          <w:p w:rsidR="00937188" w:rsidRPr="00646C7B" w:rsidRDefault="00937188">
            <w:pPr>
              <w:shd w:val="clear" w:color="000000" w:fill="auto"/>
            </w:pPr>
            <w:r w:rsidRPr="00646C7B">
              <w:rPr>
                <w:b/>
                <w:bCs/>
              </w:rPr>
              <w:lastRenderedPageBreak/>
              <w:t>38 §</w:t>
            </w:r>
            <w:r w:rsidRPr="00646C7B">
              <w:t xml:space="preserve"> Grundbeloppet ska avse ersät</w:t>
            </w:r>
            <w:r w:rsidRPr="00646C7B">
              <w:t>t</w:t>
            </w:r>
            <w:r w:rsidRPr="00646C7B">
              <w:t>ning för</w:t>
            </w:r>
          </w:p>
          <w:p w:rsidR="00937188" w:rsidRPr="00646C7B" w:rsidRDefault="00937188">
            <w:pPr>
              <w:shd w:val="clear" w:color="000000" w:fill="auto"/>
              <w:spacing w:before="0"/>
            </w:pPr>
            <w:r w:rsidRPr="00646C7B">
              <w:t xml:space="preserve">1. undervisning, </w:t>
            </w:r>
          </w:p>
          <w:p w:rsidR="00937188" w:rsidRPr="00646C7B" w:rsidRDefault="00937188">
            <w:pPr>
              <w:shd w:val="clear" w:color="000000" w:fill="auto"/>
              <w:spacing w:before="0"/>
            </w:pPr>
            <w:r w:rsidRPr="00646C7B">
              <w:t xml:space="preserve">2. lärverktyg, </w:t>
            </w:r>
          </w:p>
          <w:p w:rsidR="00937188" w:rsidRPr="00646C7B" w:rsidRDefault="00937188">
            <w:pPr>
              <w:shd w:val="clear" w:color="000000" w:fill="auto"/>
              <w:spacing w:before="0"/>
            </w:pPr>
            <w:r w:rsidRPr="00646C7B">
              <w:t xml:space="preserve">3. elevhälsa, </w:t>
            </w:r>
          </w:p>
          <w:p w:rsidR="00937188" w:rsidRPr="00646C7B" w:rsidRDefault="00937188">
            <w:pPr>
              <w:shd w:val="clear" w:color="000000" w:fill="auto"/>
              <w:spacing w:before="0"/>
            </w:pPr>
            <w:r w:rsidRPr="00646C7B">
              <w:t xml:space="preserve">4. måltider, </w:t>
            </w:r>
          </w:p>
          <w:p w:rsidR="00937188" w:rsidRPr="00646C7B" w:rsidRDefault="00937188">
            <w:pPr>
              <w:shd w:val="clear" w:color="000000" w:fill="auto"/>
              <w:spacing w:before="0"/>
            </w:pPr>
            <w:r w:rsidRPr="00646C7B">
              <w:t xml:space="preserve">5. administration, </w:t>
            </w:r>
          </w:p>
          <w:p w:rsidR="00937188" w:rsidRPr="00646C7B" w:rsidRDefault="00937188">
            <w:pPr>
              <w:shd w:val="clear" w:color="000000" w:fill="auto"/>
              <w:spacing w:before="0"/>
            </w:pPr>
            <w:r w:rsidRPr="00646C7B">
              <w:lastRenderedPageBreak/>
              <w:t xml:space="preserve">6. mervärdesskatt, och </w:t>
            </w:r>
          </w:p>
          <w:p w:rsidR="00937188" w:rsidRPr="00646C7B" w:rsidRDefault="00937188">
            <w:pPr>
              <w:shd w:val="clear" w:color="000000" w:fill="auto"/>
              <w:spacing w:before="0"/>
            </w:pPr>
            <w:r w:rsidRPr="00646C7B">
              <w:t xml:space="preserve">7. lokalkostnader. </w:t>
            </w:r>
          </w:p>
          <w:p w:rsidR="00937188" w:rsidRPr="00646C7B" w:rsidRDefault="00937188">
            <w:pPr>
              <w:shd w:val="clear" w:color="000000" w:fill="auto"/>
            </w:pPr>
            <w:r w:rsidRPr="00646C7B">
              <w:t>Grundbeloppet ska b</w:t>
            </w:r>
            <w:r w:rsidRPr="00646C7B">
              <w:t>e</w:t>
            </w:r>
            <w:r w:rsidRPr="00646C7B">
              <w:t>stämmas efter samma grunder som hemkomm</w:t>
            </w:r>
            <w:r w:rsidRPr="00646C7B">
              <w:t>u</w:t>
            </w:r>
            <w:r w:rsidRPr="00646C7B">
              <w:t>nen tillämpar vid fördelning av r</w:t>
            </w:r>
            <w:r w:rsidRPr="00646C7B">
              <w:t>e</w:t>
            </w:r>
            <w:r w:rsidRPr="00646C7B">
              <w:t>surser till den egna grun</w:t>
            </w:r>
            <w:r w:rsidRPr="00646C7B">
              <w:t>d</w:t>
            </w:r>
            <w:r w:rsidRPr="00646C7B">
              <w:t>skolan.</w:t>
            </w:r>
          </w:p>
          <w:p w:rsidR="00937188" w:rsidRPr="00646C7B" w:rsidRDefault="00937188">
            <w:pPr>
              <w:shd w:val="clear" w:color="000000" w:fill="auto"/>
            </w:pPr>
            <w:r w:rsidRPr="00646C7B">
              <w:t>Grundbeloppet får e</w:t>
            </w:r>
            <w:r w:rsidRPr="00646C7B">
              <w:t>n</w:t>
            </w:r>
            <w:r w:rsidRPr="00646C7B">
              <w:t>dast användas till de ändamål som stipuleras i de</w:t>
            </w:r>
            <w:r w:rsidRPr="00646C7B">
              <w:t>n</w:t>
            </w:r>
            <w:r w:rsidRPr="00646C7B">
              <w:t>na paragraf.</w:t>
            </w:r>
          </w:p>
        </w:tc>
      </w:tr>
    </w:tbl>
    <w:p w:rsidR="00937188" w:rsidRPr="00646C7B" w:rsidRDefault="00937188">
      <w:pPr>
        <w:shd w:val="clear" w:color="000000" w:fill="auto"/>
        <w:spacing w:after="120"/>
      </w:pPr>
      <w:r w:rsidRPr="00646C7B">
        <w:lastRenderedPageBreak/>
        <w:t>Samma förhållande bör naturligtvis gälla gymnasieskolan. Enligt Skolverket (Personal i gymnasieskolan läsår 2010/11), är lärartätheten per 100 elever 8,4 för den kommunala skolan, vilket skall jämföras med 7,0 för skolor med e</w:t>
      </w:r>
      <w:r w:rsidRPr="00646C7B">
        <w:t>n</w:t>
      </w:r>
      <w:r w:rsidRPr="00646C7B">
        <w:t>skild huvudman. Skillnaden är således större än vad som gäller i grundskolan. Vi föreslår därför följande ändring i 16 kap. 53 § skollagen:</w:t>
      </w:r>
    </w:p>
    <w:tbl>
      <w:tblPr>
        <w:tblW w:w="5954" w:type="dxa"/>
        <w:tblLayout w:type="fixed"/>
        <w:tblCellMar>
          <w:left w:w="70" w:type="dxa"/>
          <w:right w:w="70" w:type="dxa"/>
        </w:tblCellMar>
        <w:tblLook w:val="0000" w:firstRow="0" w:lastRow="0" w:firstColumn="0" w:lastColumn="0" w:noHBand="0" w:noVBand="0"/>
      </w:tblPr>
      <w:tblGrid>
        <w:gridCol w:w="2908"/>
        <w:gridCol w:w="68"/>
        <w:gridCol w:w="2842"/>
        <w:gridCol w:w="136"/>
      </w:tblGrid>
      <w:tr w:rsidR="00000000" w:rsidRPr="00646C7B">
        <w:trPr>
          <w:gridAfter w:val="1"/>
          <w:wAfter w:w="139" w:type="dxa"/>
        </w:trPr>
        <w:tc>
          <w:tcPr>
            <w:tcW w:w="2977" w:type="dxa"/>
          </w:tcPr>
          <w:p w:rsidR="00937188" w:rsidRPr="00646C7B" w:rsidRDefault="00937188">
            <w:pPr>
              <w:pStyle w:val="Lagtext"/>
              <w:shd w:val="clear" w:color="000000" w:fill="auto"/>
            </w:pPr>
            <w:r w:rsidRPr="00646C7B">
              <w:t>Nuvarande lydelse</w:t>
            </w:r>
          </w:p>
        </w:tc>
        <w:tc>
          <w:tcPr>
            <w:tcW w:w="2977" w:type="dxa"/>
            <w:gridSpan w:val="2"/>
          </w:tcPr>
          <w:p w:rsidR="00937188" w:rsidRPr="00646C7B" w:rsidRDefault="00937188">
            <w:pPr>
              <w:pStyle w:val="Lagtext"/>
              <w:shd w:val="clear" w:color="000000" w:fill="auto"/>
            </w:pPr>
            <w:r w:rsidRPr="00646C7B">
              <w:t>Föreslagen lydelse</w:t>
            </w:r>
          </w:p>
        </w:tc>
      </w:tr>
      <w:tr w:rsidR="00000000" w:rsidRPr="00646C7B">
        <w:trPr>
          <w:gridAfter w:val="1"/>
          <w:wAfter w:w="139" w:type="dxa"/>
        </w:trPr>
        <w:tc>
          <w:tcPr>
            <w:tcW w:w="2977" w:type="dxa"/>
          </w:tcPr>
          <w:p w:rsidR="00937188" w:rsidRPr="00646C7B" w:rsidRDefault="00937188">
            <w:pPr>
              <w:shd w:val="clear" w:color="000000" w:fill="auto"/>
            </w:pPr>
            <w:r w:rsidRPr="00646C7B">
              <w:rPr>
                <w:b/>
                <w:bCs/>
              </w:rPr>
              <w:t>53 §</w:t>
            </w:r>
            <w:r w:rsidRPr="00646C7B">
              <w:t xml:space="preserve"> Grundbeloppet ska avse ersät</w:t>
            </w:r>
            <w:r w:rsidRPr="00646C7B">
              <w:t>t</w:t>
            </w:r>
            <w:r w:rsidRPr="00646C7B">
              <w:t>ning för</w:t>
            </w:r>
          </w:p>
          <w:p w:rsidR="00937188" w:rsidRPr="00646C7B" w:rsidRDefault="00937188">
            <w:pPr>
              <w:shd w:val="clear" w:color="000000" w:fill="auto"/>
              <w:spacing w:before="0"/>
            </w:pPr>
            <w:r w:rsidRPr="00646C7B">
              <w:t xml:space="preserve">1. undervisning, </w:t>
            </w:r>
          </w:p>
          <w:p w:rsidR="00937188" w:rsidRPr="00646C7B" w:rsidRDefault="00937188">
            <w:pPr>
              <w:shd w:val="clear" w:color="000000" w:fill="auto"/>
              <w:spacing w:before="0"/>
            </w:pPr>
            <w:r w:rsidRPr="00646C7B">
              <w:t xml:space="preserve">2. lärverktyg, </w:t>
            </w:r>
          </w:p>
          <w:p w:rsidR="00937188" w:rsidRPr="00646C7B" w:rsidRDefault="00937188">
            <w:pPr>
              <w:shd w:val="clear" w:color="000000" w:fill="auto"/>
              <w:spacing w:before="0"/>
            </w:pPr>
            <w:r w:rsidRPr="00646C7B">
              <w:t xml:space="preserve">3. elevhälsa, </w:t>
            </w:r>
          </w:p>
          <w:p w:rsidR="00937188" w:rsidRPr="00646C7B" w:rsidRDefault="00937188">
            <w:pPr>
              <w:shd w:val="clear" w:color="000000" w:fill="auto"/>
              <w:spacing w:before="0"/>
            </w:pPr>
            <w:r w:rsidRPr="00646C7B">
              <w:t xml:space="preserve">4. måltider, </w:t>
            </w:r>
          </w:p>
          <w:p w:rsidR="00937188" w:rsidRPr="00646C7B" w:rsidRDefault="00937188">
            <w:pPr>
              <w:shd w:val="clear" w:color="000000" w:fill="auto"/>
              <w:spacing w:before="0"/>
            </w:pPr>
            <w:r w:rsidRPr="00646C7B">
              <w:t xml:space="preserve">5. administration, </w:t>
            </w:r>
          </w:p>
          <w:p w:rsidR="00937188" w:rsidRPr="00646C7B" w:rsidRDefault="00937188">
            <w:pPr>
              <w:shd w:val="clear" w:color="000000" w:fill="auto"/>
              <w:spacing w:before="0"/>
            </w:pPr>
            <w:r w:rsidRPr="00646C7B">
              <w:t xml:space="preserve">6. mervärdesskatt, och </w:t>
            </w:r>
          </w:p>
          <w:p w:rsidR="00937188" w:rsidRPr="00646C7B" w:rsidRDefault="00937188">
            <w:pPr>
              <w:shd w:val="clear" w:color="000000" w:fill="auto"/>
              <w:spacing w:before="0"/>
            </w:pPr>
            <w:r w:rsidRPr="00646C7B">
              <w:t xml:space="preserve">7. lokalkostnader. </w:t>
            </w:r>
          </w:p>
          <w:p w:rsidR="00937188" w:rsidRPr="00646C7B" w:rsidRDefault="00937188">
            <w:pPr>
              <w:shd w:val="clear" w:color="000000" w:fill="auto"/>
              <w:rPr>
                <w:i/>
              </w:rPr>
            </w:pPr>
          </w:p>
        </w:tc>
        <w:tc>
          <w:tcPr>
            <w:tcW w:w="2977" w:type="dxa"/>
            <w:gridSpan w:val="2"/>
          </w:tcPr>
          <w:p w:rsidR="00937188" w:rsidRPr="00646C7B" w:rsidRDefault="00937188">
            <w:pPr>
              <w:shd w:val="clear" w:color="000000" w:fill="auto"/>
            </w:pPr>
            <w:r w:rsidRPr="00646C7B">
              <w:rPr>
                <w:b/>
                <w:bCs/>
              </w:rPr>
              <w:t>53 §</w:t>
            </w:r>
            <w:r w:rsidRPr="00646C7B">
              <w:t xml:space="preserve"> Grundbeloppet ska avse ersät</w:t>
            </w:r>
            <w:r w:rsidRPr="00646C7B">
              <w:t>t</w:t>
            </w:r>
            <w:r w:rsidRPr="00646C7B">
              <w:t>ning för</w:t>
            </w:r>
          </w:p>
          <w:p w:rsidR="00937188" w:rsidRPr="00646C7B" w:rsidRDefault="00937188">
            <w:pPr>
              <w:shd w:val="clear" w:color="000000" w:fill="auto"/>
              <w:spacing w:before="0"/>
            </w:pPr>
            <w:r w:rsidRPr="00646C7B">
              <w:t xml:space="preserve">1. undervisning, </w:t>
            </w:r>
          </w:p>
          <w:p w:rsidR="00937188" w:rsidRPr="00646C7B" w:rsidRDefault="00937188">
            <w:pPr>
              <w:shd w:val="clear" w:color="000000" w:fill="auto"/>
              <w:spacing w:before="0"/>
            </w:pPr>
            <w:r w:rsidRPr="00646C7B">
              <w:t xml:space="preserve">2. lärverktyg, </w:t>
            </w:r>
          </w:p>
          <w:p w:rsidR="00937188" w:rsidRPr="00646C7B" w:rsidRDefault="00937188">
            <w:pPr>
              <w:shd w:val="clear" w:color="000000" w:fill="auto"/>
              <w:spacing w:before="0"/>
            </w:pPr>
            <w:r w:rsidRPr="00646C7B">
              <w:t xml:space="preserve">3. elevhälsa, </w:t>
            </w:r>
          </w:p>
          <w:p w:rsidR="00937188" w:rsidRPr="00646C7B" w:rsidRDefault="00937188">
            <w:pPr>
              <w:shd w:val="clear" w:color="000000" w:fill="auto"/>
              <w:spacing w:before="0"/>
            </w:pPr>
            <w:r w:rsidRPr="00646C7B">
              <w:t xml:space="preserve">4. måltider, </w:t>
            </w:r>
          </w:p>
          <w:p w:rsidR="00937188" w:rsidRPr="00646C7B" w:rsidRDefault="00937188">
            <w:pPr>
              <w:shd w:val="clear" w:color="000000" w:fill="auto"/>
              <w:spacing w:before="0"/>
            </w:pPr>
            <w:r w:rsidRPr="00646C7B">
              <w:t xml:space="preserve">5. administration, </w:t>
            </w:r>
          </w:p>
          <w:p w:rsidR="00937188" w:rsidRPr="00646C7B" w:rsidRDefault="00937188">
            <w:pPr>
              <w:shd w:val="clear" w:color="000000" w:fill="auto"/>
              <w:spacing w:before="0"/>
            </w:pPr>
            <w:r w:rsidRPr="00646C7B">
              <w:t xml:space="preserve">6. mervärdesskatt, och </w:t>
            </w:r>
          </w:p>
          <w:p w:rsidR="00937188" w:rsidRPr="00646C7B" w:rsidRDefault="00937188">
            <w:pPr>
              <w:shd w:val="clear" w:color="000000" w:fill="auto"/>
              <w:spacing w:before="0"/>
            </w:pPr>
            <w:r w:rsidRPr="00646C7B">
              <w:t xml:space="preserve">7. lokalkostnader. </w:t>
            </w:r>
          </w:p>
          <w:p w:rsidR="00937188" w:rsidRPr="00646C7B" w:rsidRDefault="00937188">
            <w:pPr>
              <w:shd w:val="clear" w:color="000000" w:fill="auto"/>
            </w:pPr>
            <w:r w:rsidRPr="00646C7B">
              <w:t>Grundbeloppet får e</w:t>
            </w:r>
            <w:r w:rsidRPr="00646C7B">
              <w:t>n</w:t>
            </w:r>
            <w:r w:rsidRPr="00646C7B">
              <w:t>dast användas till de ändamål som stipuleras i de</w:t>
            </w:r>
            <w:r w:rsidRPr="00646C7B">
              <w:t>n</w:t>
            </w:r>
            <w:r w:rsidRPr="00646C7B">
              <w:t xml:space="preserve">na paragraf. </w:t>
            </w:r>
          </w:p>
        </w:tc>
      </w:tr>
      <w:tr w:rsidR="00000000" w:rsidRPr="00646C7B">
        <w:trPr>
          <w:cantSplit/>
        </w:trPr>
        <w:tc>
          <w:tcPr>
            <w:tcW w:w="3046" w:type="dxa"/>
            <w:gridSpan w:val="2"/>
          </w:tcPr>
          <w:p w:rsidR="00937188" w:rsidRPr="00646C7B" w:rsidRDefault="00937188">
            <w:pPr>
              <w:pStyle w:val="UnderskriftDatum"/>
              <w:shd w:val="clear" w:color="000000" w:fill="auto"/>
              <w:spacing w:before="240"/>
            </w:pPr>
            <w:r w:rsidRPr="00646C7B">
              <w:t>Stockholm den 3 oktober 2011</w:t>
            </w:r>
          </w:p>
        </w:tc>
        <w:tc>
          <w:tcPr>
            <w:tcW w:w="3047" w:type="dxa"/>
            <w:gridSpan w:val="2"/>
          </w:tcPr>
          <w:p w:rsidR="00937188" w:rsidRPr="00646C7B" w:rsidRDefault="00937188">
            <w:pPr>
              <w:pStyle w:val="Underskrifter"/>
              <w:shd w:val="clear" w:color="000000" w:fill="auto"/>
              <w:spacing w:before="240"/>
            </w:pPr>
          </w:p>
        </w:tc>
      </w:tr>
      <w:tr w:rsidR="00000000" w:rsidRPr="00646C7B">
        <w:trPr>
          <w:cantSplit/>
        </w:trPr>
        <w:tc>
          <w:tcPr>
            <w:tcW w:w="3046" w:type="dxa"/>
            <w:gridSpan w:val="2"/>
          </w:tcPr>
          <w:p w:rsidR="00937188" w:rsidRPr="00646C7B" w:rsidRDefault="00937188">
            <w:pPr>
              <w:pStyle w:val="Underskrifter"/>
              <w:shd w:val="clear" w:color="000000" w:fill="auto"/>
            </w:pPr>
            <w:r w:rsidRPr="00646C7B">
              <w:t>Richard Jomshof (SD)</w:t>
            </w:r>
          </w:p>
        </w:tc>
        <w:tc>
          <w:tcPr>
            <w:tcW w:w="3046" w:type="dxa"/>
            <w:gridSpan w:val="2"/>
          </w:tcPr>
          <w:p w:rsidR="00937188" w:rsidRPr="00646C7B" w:rsidRDefault="00937188">
            <w:pPr>
              <w:pStyle w:val="Underskrifter"/>
              <w:shd w:val="clear" w:color="000000" w:fill="auto"/>
            </w:pPr>
            <w:r w:rsidRPr="00646C7B">
              <w:t>Margareta Sandstedt (SD)</w:t>
            </w:r>
          </w:p>
        </w:tc>
      </w:tr>
    </w:tbl>
    <w:p w:rsidR="00937188" w:rsidRPr="00646C7B" w:rsidRDefault="00937188">
      <w:pPr>
        <w:pStyle w:val="Normaltindrag"/>
        <w:shd w:val="clear" w:color="000000" w:fill="auto"/>
      </w:pPr>
    </w:p>
    <w:sectPr w:rsidR="00937188" w:rsidRPr="00646C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188" w:rsidRPr="00646C7B" w:rsidRDefault="00937188">
      <w:r w:rsidRPr="00646C7B">
        <w:separator/>
      </w:r>
    </w:p>
  </w:endnote>
  <w:endnote w:type="continuationSeparator" w:id="0">
    <w:p w:rsidR="00937188" w:rsidRPr="00646C7B" w:rsidRDefault="00937188">
      <w:r w:rsidRPr="00646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646C7B">
    <w:pPr>
      <w:pStyle w:val="Sidfot"/>
    </w:pPr>
    <w:r w:rsidRPr="00646C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31666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88" w:rsidRDefault="009371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7188" w:rsidRDefault="009371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646C7B">
    <w:pPr>
      <w:pStyle w:val="Sidfot"/>
    </w:pPr>
    <w:r w:rsidRPr="00646C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481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88" w:rsidRDefault="009371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7188" w:rsidRDefault="009371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646C7B">
    <w:pPr>
      <w:pStyle w:val="Sidfot"/>
    </w:pPr>
    <w:r w:rsidRPr="00646C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31194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88" w:rsidRDefault="009371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7188" w:rsidRDefault="009371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188" w:rsidRPr="00646C7B" w:rsidRDefault="00937188">
      <w:r w:rsidRPr="00646C7B">
        <w:separator/>
      </w:r>
    </w:p>
  </w:footnote>
  <w:footnote w:type="continuationSeparator" w:id="0">
    <w:p w:rsidR="00937188" w:rsidRPr="00646C7B" w:rsidRDefault="00937188">
      <w:r w:rsidRPr="00646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646C7B">
    <w:pPr>
      <w:pStyle w:val="Sidhuvud"/>
    </w:pPr>
    <w:r w:rsidRPr="00646C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9619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88" w:rsidRDefault="009371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7188" w:rsidRDefault="009371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646C7B">
    <w:pPr>
      <w:pStyle w:val="Sidhuvud"/>
    </w:pPr>
    <w:r w:rsidRPr="00646C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6132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7188" w:rsidRDefault="009371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7188" w:rsidRDefault="009371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188" w:rsidRPr="00646C7B" w:rsidRDefault="00937188">
    <w:pPr>
      <w:pStyle w:val="FSHNormal"/>
      <w:tabs>
        <w:tab w:val="right" w:pos="5840"/>
      </w:tabs>
    </w:pPr>
    <w:r w:rsidRPr="00646C7B">
      <w:br/>
    </w:r>
    <w:r w:rsidRPr="00646C7B">
      <w:fldChar w:fldCharType="begin" w:fldLock="1"/>
    </w:r>
    <w:r w:rsidRPr="00646C7B">
      <w:instrText xml:space="preserve"> DOCPROPERTY</w:instrText>
    </w:r>
    <w:r w:rsidRPr="00646C7B">
      <w:rPr>
        <w:sz w:val="18"/>
      </w:rPr>
      <w:instrText xml:space="preserve"> "YearUser" *\charformat </w:instrText>
    </w:r>
    <w:r w:rsidRPr="00646C7B">
      <w:fldChar w:fldCharType="separate"/>
    </w:r>
    <w:r w:rsidRPr="00646C7B">
      <w:t>2011/12</w:t>
    </w:r>
    <w:r w:rsidRPr="00646C7B">
      <w:fldChar w:fldCharType="end"/>
    </w:r>
    <w:r w:rsidRPr="00646C7B">
      <w:t xml:space="preserve"> </w:t>
    </w:r>
    <w:r w:rsidRPr="00646C7B">
      <w:tab/>
      <w:t xml:space="preserve">mnr: </w:t>
    </w:r>
    <w:r w:rsidRPr="00646C7B">
      <w:fldChar w:fldCharType="begin" w:fldLock="1"/>
    </w:r>
    <w:r w:rsidRPr="00646C7B">
      <w:instrText xml:space="preserve"> DOCPROPERTY</w:instrText>
    </w:r>
    <w:r w:rsidRPr="00646C7B">
      <w:rPr>
        <w:sz w:val="18"/>
      </w:rPr>
      <w:instrText xml:space="preserve"> "Motionsnummer" *\charformat </w:instrText>
    </w:r>
    <w:r w:rsidRPr="00646C7B">
      <w:fldChar w:fldCharType="separate"/>
    </w:r>
    <w:r w:rsidRPr="00646C7B">
      <w:t>Ub511</w:t>
    </w:r>
    <w:r w:rsidRPr="00646C7B">
      <w:fldChar w:fldCharType="end"/>
    </w:r>
    <w:r w:rsidRPr="00646C7B">
      <w:br/>
    </w:r>
    <w:r w:rsidRPr="00646C7B">
      <w:fldChar w:fldCharType="begin" w:fldLock="1"/>
    </w:r>
    <w:r w:rsidRPr="00646C7B">
      <w:instrText xml:space="preserve"> DOCPROPERTY</w:instrText>
    </w:r>
    <w:r w:rsidRPr="00646C7B">
      <w:rPr>
        <w:sz w:val="18"/>
      </w:rPr>
      <w:instrText xml:space="preserve"> "Samling" *\charformat </w:instrText>
    </w:r>
    <w:r w:rsidRPr="00646C7B">
      <w:fldChar w:fldCharType="end"/>
    </w:r>
    <w:r w:rsidRPr="00646C7B">
      <w:tab/>
      <w:t xml:space="preserve">pnr: </w:t>
    </w:r>
    <w:r w:rsidRPr="00646C7B">
      <w:fldChar w:fldCharType="begin" w:fldLock="1"/>
    </w:r>
    <w:r w:rsidRPr="00646C7B">
      <w:instrText xml:space="preserve"> DOCPROPERTY</w:instrText>
    </w:r>
    <w:r w:rsidRPr="00646C7B">
      <w:rPr>
        <w:sz w:val="18"/>
      </w:rPr>
      <w:instrText xml:space="preserve"> "Partinummer" *\charformat </w:instrText>
    </w:r>
    <w:r w:rsidRPr="00646C7B">
      <w:fldChar w:fldCharType="separate"/>
    </w:r>
    <w:r w:rsidRPr="00646C7B">
      <w:t>SD9</w:t>
    </w:r>
    <w:r w:rsidRPr="00646C7B">
      <w:fldChar w:fldCharType="end"/>
    </w:r>
  </w:p>
  <w:p w:rsidR="00937188" w:rsidRPr="00646C7B" w:rsidRDefault="00937188">
    <w:pPr>
      <w:pStyle w:val="FSHRub1"/>
    </w:pPr>
    <w:r w:rsidRPr="00646C7B">
      <w:t>Motion till riksdagen</w:t>
    </w:r>
    <w:r w:rsidRPr="00646C7B">
      <w:br/>
    </w:r>
    <w:r w:rsidRPr="00646C7B">
      <w:fldChar w:fldCharType="begin" w:fldLock="1"/>
    </w:r>
    <w:r w:rsidRPr="00646C7B">
      <w:instrText xml:space="preserve"> DOCPROPERTY "YearUser" *\charformat </w:instrText>
    </w:r>
    <w:r w:rsidRPr="00646C7B">
      <w:fldChar w:fldCharType="separate"/>
    </w:r>
    <w:r w:rsidRPr="00646C7B">
      <w:t>2011/12</w:t>
    </w:r>
    <w:r w:rsidRPr="00646C7B">
      <w:fldChar w:fldCharType="end"/>
    </w:r>
    <w:r w:rsidRPr="00646C7B">
      <w:t>:</w:t>
    </w:r>
    <w:r w:rsidRPr="00646C7B">
      <w:fldChar w:fldCharType="begin" w:fldLock="1"/>
    </w:r>
    <w:r w:rsidRPr="00646C7B">
      <w:instrText xml:space="preserve"> DOCPROPERTY "Motionsnummer" *\charformat </w:instrText>
    </w:r>
    <w:r w:rsidRPr="00646C7B">
      <w:fldChar w:fldCharType="separate"/>
    </w:r>
    <w:r w:rsidRPr="00646C7B">
      <w:t>Ub511</w:t>
    </w:r>
    <w:r w:rsidRPr="00646C7B">
      <w:fldChar w:fldCharType="end"/>
    </w:r>
  </w:p>
  <w:p w:rsidR="00937188" w:rsidRPr="00646C7B" w:rsidRDefault="00937188">
    <w:pPr>
      <w:pStyle w:val="FSHNormalS5"/>
    </w:pPr>
    <w:r w:rsidRPr="00646C7B">
      <w:fldChar w:fldCharType="begin" w:fldLock="1"/>
    </w:r>
    <w:r w:rsidRPr="00646C7B">
      <w:instrText xml:space="preserve"> DOCPROPERTY "MotionarText" *\charformat </w:instrText>
    </w:r>
    <w:r w:rsidRPr="00646C7B">
      <w:fldChar w:fldCharType="separate"/>
    </w:r>
    <w:r w:rsidRPr="00646C7B">
      <w:t>av Richard Jomshof och Margareta Sandstedt (SD)</w:t>
    </w:r>
    <w:r w:rsidRPr="00646C7B">
      <w:fldChar w:fldCharType="end"/>
    </w:r>
    <w:r w:rsidRPr="00646C7B">
      <w:br/>
    </w:r>
    <w:r w:rsidRPr="00646C7B">
      <w:fldChar w:fldCharType="begin" w:fldLock="1"/>
    </w:r>
    <w:r w:rsidRPr="00646C7B">
      <w:instrText xml:space="preserve"> DOCPROPERTY "SvarFrasKort" *\charformat </w:instrText>
    </w:r>
    <w:r w:rsidRPr="00646C7B">
      <w:fldChar w:fldCharType="end"/>
    </w:r>
  </w:p>
  <w:p w:rsidR="00937188" w:rsidRPr="00646C7B" w:rsidRDefault="00937188">
    <w:pPr>
      <w:pStyle w:val="FSHTitel"/>
    </w:pPr>
    <w:r w:rsidRPr="00646C7B">
      <w:fldChar w:fldCharType="begin" w:fldLock="1"/>
    </w:r>
    <w:r w:rsidRPr="00646C7B">
      <w:instrText xml:space="preserve"> DOCPROPERTY</w:instrText>
    </w:r>
    <w:r w:rsidRPr="00646C7B">
      <w:rPr>
        <w:sz w:val="18"/>
      </w:rPr>
      <w:instrText xml:space="preserve"> "RubrikSvar" *\charformat </w:instrText>
    </w:r>
    <w:r w:rsidRPr="00646C7B">
      <w:fldChar w:fldCharType="separate"/>
    </w:r>
    <w:r w:rsidRPr="00646C7B">
      <w:t>Öronmärkning av skolpengen</w:t>
    </w:r>
    <w:r w:rsidRPr="00646C7B">
      <w:fldChar w:fldCharType="end"/>
    </w:r>
  </w:p>
  <w:p w:rsidR="00937188" w:rsidRPr="00646C7B" w:rsidRDefault="00937188">
    <w:pPr>
      <w:pStyle w:val="Normal00"/>
    </w:pPr>
  </w:p>
  <w:p w:rsidR="00937188" w:rsidRPr="00646C7B" w:rsidRDefault="009371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6B161C"/>
    <w:multiLevelType w:val="hybridMultilevel"/>
    <w:tmpl w:val="7F28AA98"/>
    <w:lvl w:ilvl="0" w:tplc="326CE8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739006">
    <w:abstractNumId w:val="3"/>
  </w:num>
  <w:num w:numId="2" w16cid:durableId="1292908239">
    <w:abstractNumId w:val="2"/>
  </w:num>
  <w:num w:numId="3" w16cid:durableId="1764302001">
    <w:abstractNumId w:val="1"/>
  </w:num>
  <w:num w:numId="4" w16cid:durableId="1568766562">
    <w:abstractNumId w:val="0"/>
  </w:num>
  <w:num w:numId="5" w16cid:durableId="1640108967">
    <w:abstractNumId w:val="7"/>
  </w:num>
  <w:num w:numId="6" w16cid:durableId="824854282">
    <w:abstractNumId w:val="6"/>
  </w:num>
  <w:num w:numId="7" w16cid:durableId="455953659">
    <w:abstractNumId w:val="5"/>
  </w:num>
  <w:num w:numId="8" w16cid:durableId="271013192">
    <w:abstractNumId w:val="4"/>
  </w:num>
  <w:num w:numId="9" w16cid:durableId="1746104121">
    <w:abstractNumId w:val="8"/>
  </w:num>
  <w:num w:numId="10" w16cid:durableId="1037969398">
    <w:abstractNumId w:val="9"/>
  </w:num>
  <w:num w:numId="11" w16cid:durableId="930626225">
    <w:abstractNumId w:val="10"/>
  </w:num>
  <w:num w:numId="12" w16cid:durableId="1734818064">
    <w:abstractNumId w:val="13"/>
  </w:num>
  <w:num w:numId="13" w16cid:durableId="1263491089">
    <w:abstractNumId w:val="15"/>
  </w:num>
  <w:num w:numId="14" w16cid:durableId="1009525308">
    <w:abstractNumId w:val="16"/>
  </w:num>
  <w:num w:numId="15" w16cid:durableId="280576998">
    <w:abstractNumId w:val="11"/>
  </w:num>
  <w:num w:numId="16" w16cid:durableId="204801240">
    <w:abstractNumId w:val="18"/>
  </w:num>
  <w:num w:numId="17" w16cid:durableId="2054428779">
    <w:abstractNumId w:val="17"/>
  </w:num>
  <w:num w:numId="18" w16cid:durableId="149448501">
    <w:abstractNumId w:val="14"/>
  </w:num>
  <w:num w:numId="19" w16cid:durableId="411856716">
    <w:abstractNumId w:val="12"/>
  </w:num>
  <w:num w:numId="20" w16cid:durableId="19431060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F18D46FE-CB1E-4F47-A773-E1B0F6C993DB},{710FA618-5B25-4BFF-97BA-81B32B30C3BD}"/>
  </w:docVars>
  <w:rsids>
    <w:rsidRoot w:val="008C19E6"/>
    <w:rsid w:val="00646C7B"/>
    <w:rsid w:val="008C19E6"/>
    <w:rsid w:val="009371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92B558-78A1-49B7-AFCA-B40E764D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line="240" w:lineRule="auto"/>
    </w:pPr>
    <w:rPr>
      <w:rFonts w:ascii="Courier New" w:hAnsi="Courier New" w:cs="Courier New"/>
      <w:sz w:val="21"/>
      <w:szCs w:val="21"/>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85942">
      <w:bodyDiv w:val="1"/>
      <w:marLeft w:val="0"/>
      <w:marRight w:val="0"/>
      <w:marTop w:val="0"/>
      <w:marBottom w:val="0"/>
      <w:divBdr>
        <w:top w:val="none" w:sz="0" w:space="0" w:color="auto"/>
        <w:left w:val="none" w:sz="0" w:space="0" w:color="auto"/>
        <w:bottom w:val="none" w:sz="0" w:space="0" w:color="auto"/>
        <w:right w:val="none" w:sz="0" w:space="0" w:color="auto"/>
      </w:divBdr>
      <w:divsChild>
        <w:div w:id="30889443">
          <w:marLeft w:val="-15"/>
          <w:marRight w:val="-15"/>
          <w:marTop w:val="0"/>
          <w:marBottom w:val="0"/>
          <w:divBdr>
            <w:top w:val="none" w:sz="0" w:space="0" w:color="auto"/>
            <w:left w:val="single" w:sz="6" w:space="0" w:color="DADADA"/>
            <w:bottom w:val="none" w:sz="0" w:space="0" w:color="auto"/>
            <w:right w:val="single" w:sz="6" w:space="0" w:color="DADADA"/>
          </w:divBdr>
          <w:divsChild>
            <w:div w:id="2060932826">
              <w:marLeft w:val="0"/>
              <w:marRight w:val="0"/>
              <w:marTop w:val="0"/>
              <w:marBottom w:val="0"/>
              <w:divBdr>
                <w:top w:val="none" w:sz="0" w:space="0" w:color="auto"/>
                <w:left w:val="single" w:sz="48" w:space="0" w:color="FFFFFF"/>
                <w:bottom w:val="none" w:sz="0" w:space="0" w:color="auto"/>
                <w:right w:val="none" w:sz="0" w:space="0" w:color="auto"/>
              </w:divBdr>
              <w:divsChild>
                <w:div w:id="1489587952">
                  <w:marLeft w:val="-15"/>
                  <w:marRight w:val="-15"/>
                  <w:marTop w:val="0"/>
                  <w:marBottom w:val="0"/>
                  <w:divBdr>
                    <w:top w:val="none" w:sz="0" w:space="0" w:color="auto"/>
                    <w:left w:val="single" w:sz="6" w:space="0" w:color="F9C661"/>
                    <w:bottom w:val="none" w:sz="0" w:space="0" w:color="auto"/>
                    <w:right w:val="single" w:sz="6" w:space="0" w:color="DADADA"/>
                  </w:divBdr>
                  <w:divsChild>
                    <w:div w:id="1954631744">
                      <w:marLeft w:val="-30"/>
                      <w:marRight w:val="-45"/>
                      <w:marTop w:val="0"/>
                      <w:marBottom w:val="0"/>
                      <w:divBdr>
                        <w:top w:val="none" w:sz="0" w:space="0" w:color="auto"/>
                        <w:left w:val="none" w:sz="0" w:space="0" w:color="auto"/>
                        <w:bottom w:val="none" w:sz="0" w:space="0" w:color="auto"/>
                        <w:right w:val="none" w:sz="0" w:space="0" w:color="auto"/>
                      </w:divBdr>
                      <w:divsChild>
                        <w:div w:id="20071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2392</Characters>
  <Application>Microsoft Office Word</Application>
  <DocSecurity>4</DocSecurity>
  <Lines>85</Lines>
  <Paragraphs>57</Paragraphs>
  <ScaleCrop>false</ScaleCrop>
  <HeadingPairs>
    <vt:vector size="2" baseType="variant">
      <vt:variant>
        <vt:lpstr>Rubrik</vt:lpstr>
      </vt:variant>
      <vt:variant>
        <vt:i4>1</vt:i4>
      </vt:variant>
    </vt:vector>
  </HeadingPairs>
  <TitlesOfParts>
    <vt:vector size="1" baseType="lpstr">
      <vt:lpstr>SD9</vt:lpstr>
    </vt:vector>
  </TitlesOfParts>
  <Company>Riksdagen</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dc:title>
  <dc:subject>SD9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2012-01-09T14:49:00Z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Öronmärkning av skolpengen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Öronmärkning av skolpengen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20112012000000830068000000090069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20112012000000830068000000090069</vt:lpwstr>
  </property>
  <property fmtid="{D5CDD505-2E9C-101B-9397-08002B2CF9AE}" pid="50" name="nummer">
    <vt:lpwstr>511</vt:lpwstr>
  </property>
  <property fmtid="{D5CDD505-2E9C-101B-9397-08002B2CF9AE}" pid="51" name="utskottsbeteckning">
    <vt:lpwstr>Ub</vt:lpwstr>
  </property>
  <property fmtid="{D5CDD505-2E9C-101B-9397-08002B2CF9AE}" pid="52" name="GlobalUID">
    <vt:lpwstr>{5F1104C3-24B6-454D-B97F-B2C43FA3C7FA}</vt:lpwstr>
  </property>
  <property fmtid="{D5CDD505-2E9C-101B-9397-08002B2CF9AE}" pid="53" name="Överföringar">
    <vt:i4>0</vt:i4>
  </property>
  <property fmtid="{D5CDD505-2E9C-101B-9397-08002B2CF9AE}" pid="54" name="Checksum">
    <vt:lpwstr>*1018901987121*</vt:lpwstr>
  </property>
  <property fmtid="{D5CDD505-2E9C-101B-9397-08002B2CF9AE}" pid="55" name="skuggnummer">
    <vt:lpwstr>3086</vt:lpwstr>
  </property>
  <property fmtid="{D5CDD505-2E9C-101B-9397-08002B2CF9AE}" pid="56" name="urixVersion">
    <vt:lpwstr>4.5.0.25</vt:lpwstr>
  </property>
  <property fmtid="{D5CDD505-2E9C-101B-9397-08002B2CF9AE}" pid="57" name="urixOrigin">
    <vt:lpwstr>120110 12:05:36.049</vt:lpwstr>
  </property>
  <property fmtid="{D5CDD505-2E9C-101B-9397-08002B2CF9AE}" pid="58" name="urixGuid">
    <vt:lpwstr>{9B5B6048-ACAB-4209-8061-ECBA53860CF7}</vt:lpwstr>
  </property>
</Properties>
</file>