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25983962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E869A6C572454C14AD6605C1347A0C9D"/>
        </w:placeholder>
        <w:text/>
      </w:sdtPr>
      <w:sdtEndPr/>
      <w:sdtContent>
        <w:p w:rsidRPr="009B062B" w:rsidR="00AF30DD" w:rsidP="0065688A" w:rsidRDefault="00AF30DD" w14:paraId="4A65C2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cd16ba-54b2-4771-9f10-9bee7ea75373"/>
        <w:id w:val="-1376150369"/>
        <w:lock w:val="sdtLocked"/>
      </w:sdtPr>
      <w:sdtEndPr/>
      <w:sdtContent>
        <w:p w:rsidR="00502A07" w:rsidRDefault="00CA0650" w14:paraId="0A38E69B" w14:textId="77777777">
          <w:pPr>
            <w:pStyle w:val="Frslagstext"/>
          </w:pPr>
          <w:r>
            <w:t>Riksdagen ställer sig bakom det som anförs i motionen om ändring av namn på den föreslagna lagen i enlighet med tillgänglighetsdirektivet och tillkännager detta för regeringen.</w:t>
          </w:r>
        </w:p>
      </w:sdtContent>
    </w:sdt>
    <w:sdt>
      <w:sdtPr>
        <w:alias w:val="Yrkande 2"/>
        <w:tag w:val="649ecc57-ab5d-4907-9137-1c6fe9715b23"/>
        <w:id w:val="1553811990"/>
        <w:lock w:val="sdtLocked"/>
      </w:sdtPr>
      <w:sdtEndPr/>
      <w:sdtContent>
        <w:p w:rsidR="00502A07" w:rsidRDefault="00CA0650" w14:paraId="736CC1AD" w14:textId="77777777">
          <w:pPr>
            <w:pStyle w:val="Frslagstext"/>
          </w:pPr>
          <w:r>
            <w:t>Riksdagen ställer sig bakom det som anförs i motionen om att texten i tillgänglighetsdirektivets artiklar 2, 3, 24 och 29 samt bilagorna I och V bör införlivas i svensk författning och tillkännager detta för regeringen.</w:t>
          </w:r>
        </w:p>
      </w:sdtContent>
    </w:sdt>
    <w:sdt>
      <w:sdtPr>
        <w:alias w:val="Yrkande 3"/>
        <w:tag w:val="5d20fa45-0b4a-4843-aa1d-dffc34efd2ca"/>
        <w:id w:val="452988118"/>
        <w:lock w:val="sdtLocked"/>
      </w:sdtPr>
      <w:sdtEndPr/>
      <w:sdtContent>
        <w:p w:rsidR="00502A07" w:rsidRDefault="00CA0650" w14:paraId="43DCED15" w14:textId="77777777">
          <w:pPr>
            <w:pStyle w:val="Frslagstext"/>
          </w:pPr>
          <w:r>
            <w:t>Riksdagen ställer sig bakom det som anförs i motionen om att utreda om en grundlagsändring krävs för att tillgänglighetsdirektivet ska kunna anses helt genomfört i svensk rätt och att regeringen vid behov ska återkomma till riksdagen med lagförslag,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78DAAFF9B1649CC9F71ED28746B2544"/>
        </w:placeholder>
        <w:text/>
      </w:sdtPr>
      <w:sdtEndPr/>
      <w:sdtContent>
        <w:p w:rsidRPr="009B062B" w:rsidR="006D79C9" w:rsidP="00333E95" w:rsidRDefault="006D79C9" w14:paraId="56C0C31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7387A" w:rsidP="002A50EF" w:rsidRDefault="00B7387A" w14:paraId="54B97C8C" w14:textId="653B78E6">
      <w:pPr>
        <w:pStyle w:val="Normalutanindragellerluft"/>
      </w:pPr>
      <w:r>
        <w:t>Tillgänglighetsdirektivet har varit efterlängtat av alla som vill se ett samhälle som är mer tillgängligt för alla människor. Miljöpartiet har sedan länge drivit på förbättrad lagstiftning för tillgänglighet</w:t>
      </w:r>
      <w:r w:rsidR="00CA0650">
        <w:t>,</w:t>
      </w:r>
      <w:r>
        <w:t xml:space="preserve"> och för oss är det väldigt viktigt att tillgänglighetsdirek</w:t>
      </w:r>
      <w:r w:rsidR="002A50EF">
        <w:softHyphen/>
      </w:r>
      <w:r>
        <w:t>tivet har kommit på plats och kommer</w:t>
      </w:r>
      <w:r w:rsidR="00CA0650">
        <w:t xml:space="preserve"> att</w:t>
      </w:r>
      <w:r>
        <w:t xml:space="preserve"> införlivas i Sverige. I bästa fall bidrar det till att universell utformning verkligen slår rot som idé inom alla områden. </w:t>
      </w:r>
    </w:p>
    <w:p w:rsidR="00B7387A" w:rsidP="002A50EF" w:rsidRDefault="00B7387A" w14:paraId="5E9F9E67" w14:textId="70392FB8">
      <w:r>
        <w:t>Behandlingen av denna fråga har visat att det saknas fördjupad kunskap och utred</w:t>
      </w:r>
      <w:r w:rsidR="002A50EF">
        <w:softHyphen/>
      </w:r>
      <w:r>
        <w:t xml:space="preserve">ning kring hur tillgänglighetskraven på bästa sätt införlivas. I remissyttrandena har </w:t>
      </w:r>
      <w:r w:rsidR="00CA0650">
        <w:t>bl.a.</w:t>
      </w:r>
      <w:r>
        <w:t xml:space="preserve"> Funktionsrätt Sverige och Myndigheten för delaktighet (MFD) gett uttryck för att det behövs mer fördjupad analys eftersom det i nuläget inte är tydligt </w:t>
      </w:r>
      <w:r w:rsidR="00CA0650">
        <w:t>bl.a.</w:t>
      </w:r>
      <w:r>
        <w:t xml:space="preserve"> hur tillgänglig</w:t>
      </w:r>
      <w:r w:rsidR="002A50EF">
        <w:softHyphen/>
      </w:r>
      <w:r>
        <w:t>hetskraven ska få den breda tillämpning som tillgänglighetsdirektive</w:t>
      </w:r>
      <w:r w:rsidR="00A71D7E">
        <w:t>t</w:t>
      </w:r>
      <w:r>
        <w:t xml:space="preserve"> syftar till. </w:t>
      </w:r>
    </w:p>
    <w:p w:rsidR="00B7387A" w:rsidP="002A50EF" w:rsidRDefault="00B7387A" w14:paraId="46AF8A79" w14:textId="0E6933C8">
      <w:r>
        <w:t xml:space="preserve">För att ta fasta på den oro som såväl Funktionsrätt Sverige </w:t>
      </w:r>
      <w:r w:rsidR="00CA0650">
        <w:t>som</w:t>
      </w:r>
      <w:r>
        <w:t xml:space="preserve"> MFD lyfter och se till att potentialen i direktivet efterlevs i så hög grad som möjligt anser vi att följande ändringar bör göras. </w:t>
      </w:r>
    </w:p>
    <w:p w:rsidRPr="002A50EF" w:rsidR="00B7387A" w:rsidP="002A50EF" w:rsidRDefault="00B7387A" w14:paraId="19668A1F" w14:textId="77777777">
      <w:pPr>
        <w:pStyle w:val="Rubrik2"/>
      </w:pPr>
      <w:r w:rsidRPr="002A50EF">
        <w:lastRenderedPageBreak/>
        <w:t>Ändring av namn på den föreslagna lagen</w:t>
      </w:r>
    </w:p>
    <w:p w:rsidR="00566BA5" w:rsidP="002A50EF" w:rsidRDefault="00566BA5" w14:paraId="0B07B480" w14:textId="5962B99D">
      <w:pPr>
        <w:pStyle w:val="Normalutanindragellerluft"/>
      </w:pPr>
      <w:r>
        <w:t xml:space="preserve">Regeringen har </w:t>
      </w:r>
      <w:r w:rsidR="00AF7A00">
        <w:t xml:space="preserve">efter synpunkter från Lagrådet </w:t>
      </w:r>
      <w:r>
        <w:t>valt titeln ”</w:t>
      </w:r>
      <w:r w:rsidR="00AF7A00">
        <w:t>l</w:t>
      </w:r>
      <w:r>
        <w:t>ag om vissa produkters och tjänsters tillgänglighet”</w:t>
      </w:r>
      <w:r w:rsidR="00CA0650">
        <w:t>.</w:t>
      </w:r>
      <w:r>
        <w:t xml:space="preserve"> </w:t>
      </w:r>
      <w:r w:rsidR="00B7387A">
        <w:t>Utredningens förslag till titel var ”</w:t>
      </w:r>
      <w:r w:rsidR="00AF7A00">
        <w:t>l</w:t>
      </w:r>
      <w:r w:rsidR="00B7387A">
        <w:t xml:space="preserve">ag om digital tillgänglighet för produkter och tjänster”. </w:t>
      </w:r>
    </w:p>
    <w:p w:rsidR="00B7387A" w:rsidP="002A50EF" w:rsidRDefault="00566BA5" w14:paraId="2093E332" w14:textId="1F836B23">
      <w:r>
        <w:t xml:space="preserve">Miljöpartiet anser likt </w:t>
      </w:r>
      <w:r w:rsidR="00B7387A">
        <w:t xml:space="preserve">Funktionsrätt Sverige </w:t>
      </w:r>
      <w:r>
        <w:t xml:space="preserve">att </w:t>
      </w:r>
      <w:r w:rsidR="00AF7A00">
        <w:t>både regeringen</w:t>
      </w:r>
      <w:r w:rsidR="00CA0650">
        <w:t>s</w:t>
      </w:r>
      <w:r w:rsidR="00AF7A00">
        <w:t xml:space="preserve"> och utredningens förslag</w:t>
      </w:r>
      <w:r>
        <w:t xml:space="preserve"> är missvisande. Funktionsrätt Sverige vill i</w:t>
      </w:r>
      <w:r w:rsidR="00CA0650">
        <w:t xml:space="preserve"> </w:t>
      </w:r>
      <w:r>
        <w:t xml:space="preserve">stället </w:t>
      </w:r>
      <w:r w:rsidR="00B7387A">
        <w:t>se titeln ”</w:t>
      </w:r>
      <w:r w:rsidR="00AF7A00">
        <w:t>l</w:t>
      </w:r>
      <w:r w:rsidR="00B7387A">
        <w:t xml:space="preserve">ag om tillgänglighet till produkter och tjänster” för att mer vara i linje med direktivet. De </w:t>
      </w:r>
      <w:r w:rsidR="00AF7A00">
        <w:t>l</w:t>
      </w:r>
      <w:r w:rsidR="00B7387A">
        <w:t xml:space="preserve">yfter vikten av att lagen verkligen ska komma till användning så som det är tänkt och att bestämmelser i bilagor om tillgänglighetskrav kan användas i flera sammanhang. Miljöpartiet anser att </w:t>
      </w:r>
      <w:r w:rsidR="00AF7A00">
        <w:t xml:space="preserve">lagen bör ha titeln ”lag om tillgänglighet till produkter och tjänster”. </w:t>
      </w:r>
    </w:p>
    <w:p w:rsidRPr="002A50EF" w:rsidR="00A71D7E" w:rsidP="002A50EF" w:rsidRDefault="00A71D7E" w14:paraId="6E78015A" w14:textId="0C2C6A5C">
      <w:pPr>
        <w:pStyle w:val="Rubrik2"/>
      </w:pPr>
      <w:r w:rsidRPr="002A50EF">
        <w:t>Införliva artiklar</w:t>
      </w:r>
      <w:r w:rsidRPr="002A50EF" w:rsidR="00CA0650">
        <w:t xml:space="preserve">na </w:t>
      </w:r>
      <w:r w:rsidRPr="002A50EF">
        <w:t>2, 3, 24 och 29 samt bilagorna</w:t>
      </w:r>
      <w:r w:rsidRPr="002A50EF" w:rsidR="00CA0650">
        <w:t> </w:t>
      </w:r>
      <w:r w:rsidRPr="002A50EF">
        <w:t>I och</w:t>
      </w:r>
      <w:r w:rsidRPr="002A50EF" w:rsidR="00CA0650">
        <w:t> </w:t>
      </w:r>
      <w:r w:rsidRPr="002A50EF">
        <w:t xml:space="preserve">V i svensk författning </w:t>
      </w:r>
    </w:p>
    <w:p w:rsidR="00B7387A" w:rsidP="002A50EF" w:rsidRDefault="00566BA5" w14:paraId="10F9A74E" w14:textId="7D5541D7">
      <w:pPr>
        <w:pStyle w:val="Normalutanindragellerluft"/>
      </w:pPr>
      <w:r w:rsidRPr="00881F0F">
        <w:t xml:space="preserve">MFD anför </w:t>
      </w:r>
      <w:r w:rsidRPr="00881F0F" w:rsidR="00B7387A">
        <w:t xml:space="preserve">att </w:t>
      </w:r>
      <w:r w:rsidRPr="00881F0F" w:rsidR="00881F0F">
        <w:t xml:space="preserve">om </w:t>
      </w:r>
      <w:r w:rsidRPr="00881F0F" w:rsidR="00B7387A">
        <w:t>de tillgänglighetskrav som ställs</w:t>
      </w:r>
      <w:r w:rsidRPr="00881F0F" w:rsidR="00AF7A00">
        <w:t xml:space="preserve"> i direktivet</w:t>
      </w:r>
      <w:r w:rsidRPr="00881F0F" w:rsidR="00B7387A">
        <w:t xml:space="preserve"> </w:t>
      </w:r>
      <w:r w:rsidRPr="00881F0F" w:rsidR="00881F0F">
        <w:t xml:space="preserve">ska kunna </w:t>
      </w:r>
      <w:r w:rsidRPr="00881F0F" w:rsidR="00B7387A">
        <w:t xml:space="preserve">få bredare tillämpning behöver </w:t>
      </w:r>
      <w:r w:rsidRPr="00881F0F" w:rsidR="00881F0F">
        <w:t xml:space="preserve">det </w:t>
      </w:r>
      <w:r w:rsidRPr="00881F0F" w:rsidR="00B7387A">
        <w:t>förtydligas hur tillgänglighetsskyldigheter ska verka.</w:t>
      </w:r>
      <w:r w:rsidR="00B7387A">
        <w:t xml:space="preserve"> De menar att denna koppling till annan unionsrätt är ett viktigt grundsyfte för direktivet och liknar artikel 24 vid en nyckel eller ett kugghjul för att klargöra tillämpningen av tillgänglig</w:t>
      </w:r>
      <w:r w:rsidR="002A50EF">
        <w:softHyphen/>
      </w:r>
      <w:r w:rsidR="00B7387A">
        <w:t>hetskraven i direktivets bilaga</w:t>
      </w:r>
      <w:r w:rsidR="00CA0650">
        <w:t> I</w:t>
      </w:r>
      <w:r w:rsidR="00B7387A">
        <w:t xml:space="preserve"> i förhållande till nuvarande tillgänglighetsskyldighet i EU-lagstiftningen.</w:t>
      </w:r>
    </w:p>
    <w:p w:rsidR="00B7387A" w:rsidP="002A50EF" w:rsidRDefault="00B7387A" w14:paraId="4F4E1021" w14:textId="065BE520">
      <w:r>
        <w:t>Regeringens bedömning är att det i vissa fall bör presumeras att tillgänglighetskrav i andra unionsakter överensstämmer med de krav som framgår av artikel 24 i tillgäng</w:t>
      </w:r>
      <w:r w:rsidR="002A50EF">
        <w:softHyphen/>
      </w:r>
      <w:r>
        <w:t xml:space="preserve">lighetsdirektivet. Regeringen lyfter </w:t>
      </w:r>
      <w:r w:rsidR="00CA0650">
        <w:t>bl.a.</w:t>
      </w:r>
      <w:r>
        <w:t xml:space="preserve"> att eftersom tillgänglighetsdirektivet är subsi</w:t>
      </w:r>
      <w:r w:rsidR="002A50EF">
        <w:softHyphen/>
      </w:r>
      <w:r>
        <w:t>diär</w:t>
      </w:r>
      <w:r w:rsidR="00CA0650">
        <w:t>t</w:t>
      </w:r>
      <w:r>
        <w:t xml:space="preserve"> i förhållande till andra unionsrättsakter ska de</w:t>
      </w:r>
      <w:r w:rsidR="00CA0650">
        <w:t>t</w:t>
      </w:r>
      <w:r>
        <w:t xml:space="preserve"> tillämpas endast om inget annat anges i den andra rättsakten.</w:t>
      </w:r>
    </w:p>
    <w:p w:rsidR="00B7387A" w:rsidP="002A50EF" w:rsidRDefault="00B7387A" w14:paraId="6D3B8A87" w14:textId="39337236">
      <w:r>
        <w:t>MFD trycker på att det behövs tydliga och effektiva legala verktyg för att visa på möjligheten att använda tillgänglighetskraven i bilaga</w:t>
      </w:r>
      <w:r w:rsidR="00CA0650">
        <w:t> I</w:t>
      </w:r>
      <w:r>
        <w:t xml:space="preserve"> även för andra varor och tjänster än för dem som definieras i direktivet. De skriver att utredningens förslag innebär en risk för </w:t>
      </w:r>
      <w:r w:rsidR="006E2ADD">
        <w:t xml:space="preserve">att </w:t>
      </w:r>
      <w:r>
        <w:t>direktivets syfte som det uttrycks i artikel 24 inte efterlevs när direktivet genomförs i Sverige. De befarar att det kommer att saknas möjlighet att använda till</w:t>
      </w:r>
      <w:r w:rsidR="002A50EF">
        <w:softHyphen/>
      </w:r>
      <w:r>
        <w:t>gänglighetskraven generellt för att påvisa efterlevnad av generella tillgänglighets</w:t>
      </w:r>
      <w:r w:rsidR="002A50EF">
        <w:softHyphen/>
      </w:r>
      <w:r>
        <w:t xml:space="preserve">bestämmelser i annan unionsrätt, i enlighet med tillgänglighetsdirektivet. </w:t>
      </w:r>
    </w:p>
    <w:p w:rsidR="00B7387A" w:rsidP="002A50EF" w:rsidRDefault="00B7387A" w14:paraId="1044BCF0" w14:textId="1D8108D1">
      <w:r>
        <w:t xml:space="preserve">Miljöpartiet delar denna oro, och anser inte att regeringens bedömning är i linje med direktivets anda </w:t>
      </w:r>
      <w:r w:rsidR="00CA0650">
        <w:t>– dvs.</w:t>
      </w:r>
      <w:r>
        <w:t xml:space="preserve"> att kunna använda tillgänglighetsdirektivet som ett tydligt och effektivt verktyg</w:t>
      </w:r>
      <w:r w:rsidR="00CA0650">
        <w:t xml:space="preserve"> för</w:t>
      </w:r>
      <w:r>
        <w:t xml:space="preserve"> att påvisa efterlevnad av tillgänglighetsbestämmelser generellt. </w:t>
      </w:r>
    </w:p>
    <w:p w:rsidR="00A71D7E" w:rsidP="002A50EF" w:rsidRDefault="00A71D7E" w14:paraId="3F304059" w14:textId="10F3D0C4">
      <w:r>
        <w:t>Utöver artikel 24 finns det även flera andra artiklar som inte återfinns i lagen. Även tillgänglighetskraven i bilagorna</w:t>
      </w:r>
      <w:r w:rsidR="00CA0650">
        <w:t> </w:t>
      </w:r>
      <w:r>
        <w:t>I och</w:t>
      </w:r>
      <w:r w:rsidR="00CA0650">
        <w:t> </w:t>
      </w:r>
      <w:r>
        <w:t xml:space="preserve">V saknas. Detta är också något som Funktionsrätt Sverige uppmärksammar. De företräder organisationer och människor med erfarenhet </w:t>
      </w:r>
      <w:r w:rsidR="006E2ADD">
        <w:t xml:space="preserve">av vikten av tillgänglighet och </w:t>
      </w:r>
      <w:r w:rsidR="00CA0650">
        <w:t xml:space="preserve">vet </w:t>
      </w:r>
      <w:r w:rsidR="006E2ADD">
        <w:t xml:space="preserve">därmed </w:t>
      </w:r>
      <w:r>
        <w:t>hur viktigt det är med tydlighet för att en förändring ska ske. När artiklarna finns i direktivet bör motsvarande text återfinnas i den svenska lagen. Funktionsrätt Sverige lyfter att alla ändringar och undantag i svensk författning innebär ökad risk för fragmentiserat regelverk</w:t>
      </w:r>
      <w:r w:rsidR="00CA0650">
        <w:t>,</w:t>
      </w:r>
      <w:r>
        <w:t xml:space="preserve"> vilket är precis vad tillgäng</w:t>
      </w:r>
      <w:r w:rsidR="002A50EF">
        <w:softHyphen/>
      </w:r>
      <w:r>
        <w:t xml:space="preserve">lighetsdirektivet har för avsikt att motverka. Det försvårar konkurrens och inkludering för svenska aktörer. Vi instämmer i denna bedömning. </w:t>
      </w:r>
    </w:p>
    <w:p w:rsidR="00B7387A" w:rsidP="002A50EF" w:rsidRDefault="00B7387A" w14:paraId="7C1C59A0" w14:textId="0E31DB81">
      <w:r>
        <w:t xml:space="preserve">För att ta fasta på den oro som såväl MFD </w:t>
      </w:r>
      <w:r w:rsidR="00CA0650">
        <w:t>som</w:t>
      </w:r>
      <w:r>
        <w:t xml:space="preserve"> </w:t>
      </w:r>
      <w:r w:rsidR="00566BA5">
        <w:t>F</w:t>
      </w:r>
      <w:r>
        <w:t xml:space="preserve">unktionsrätt Sverige lyfter och se till att potentialen i direktivet synliggörs i så hög grad som möjligt anser vi att texten i </w:t>
      </w:r>
      <w:r>
        <w:lastRenderedPageBreak/>
        <w:t>direktivets artiklar</w:t>
      </w:r>
      <w:r w:rsidR="00CA0650">
        <w:t> </w:t>
      </w:r>
      <w:r>
        <w:t>2,</w:t>
      </w:r>
      <w:r w:rsidR="00CA0650">
        <w:t> </w:t>
      </w:r>
      <w:r>
        <w:t>3, 24 och 29 samt bilagorna</w:t>
      </w:r>
      <w:r w:rsidR="00CA0650">
        <w:t> </w:t>
      </w:r>
      <w:r>
        <w:t>I och</w:t>
      </w:r>
      <w:r w:rsidR="00CA0650">
        <w:t> </w:t>
      </w:r>
      <w:r>
        <w:t>V bör införlivas i svensk författning. Det vill vi ge regeringen till</w:t>
      </w:r>
      <w:r w:rsidR="00CA0650">
        <w:t xml:space="preserve"> </w:t>
      </w:r>
      <w:r>
        <w:t xml:space="preserve">känna. </w:t>
      </w:r>
    </w:p>
    <w:p w:rsidRPr="002A50EF" w:rsidR="00B7387A" w:rsidP="002A50EF" w:rsidRDefault="00B7387A" w14:paraId="3CC04E12" w14:textId="7EF0A1D1">
      <w:pPr>
        <w:pStyle w:val="Rubrik2"/>
      </w:pPr>
      <w:r w:rsidRPr="002A50EF">
        <w:t>Grundlagsutredning</w:t>
      </w:r>
    </w:p>
    <w:p w:rsidR="00B7387A" w:rsidP="002A50EF" w:rsidRDefault="00B7387A" w14:paraId="707CC72F" w14:textId="749CAA05">
      <w:pPr>
        <w:pStyle w:val="Normalutanindragellerluft"/>
      </w:pPr>
      <w:r>
        <w:t>Lagrådet har lyft fram behov av utredning som rör normgivning och grundlagsfrågor som påverkar förutsättningar för genomförande. Vi delar Lagrådets analys att de oklar</w:t>
      </w:r>
      <w:r w:rsidR="002A50EF">
        <w:softHyphen/>
      </w:r>
      <w:r>
        <w:t xml:space="preserve">heter som föreligger kring tillgänglighetsdirektivets införlivande samt normgivning bör utredas omgående och tillkännager detta för regeringen. </w:t>
      </w:r>
    </w:p>
    <w:sdt>
      <w:sdtPr>
        <w:alias w:val="CC_Underskrifter"/>
        <w:tag w:val="CC_Underskrifter"/>
        <w:id w:val="583496634"/>
        <w:lock w:val="sdtContentLocked"/>
        <w:placeholder>
          <w:docPart w:val="75423102758E491E8009737D55685CD3"/>
        </w:placeholder>
      </w:sdtPr>
      <w:sdtEndPr/>
      <w:sdtContent>
        <w:p w:rsidR="0065688A" w:rsidP="00250259" w:rsidRDefault="0065688A" w14:paraId="2B8DF804" w14:textId="77777777"/>
        <w:p w:rsidRPr="008E0FE2" w:rsidR="004801AC" w:rsidP="00250259" w:rsidRDefault="002A50EF" w14:paraId="0600F1C3" w14:textId="64B0FA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2A07" w14:paraId="320FB54F" w14:textId="77777777">
        <w:trPr>
          <w:cantSplit/>
        </w:trPr>
        <w:tc>
          <w:tcPr>
            <w:tcW w:w="50" w:type="pct"/>
            <w:vAlign w:val="bottom"/>
          </w:tcPr>
          <w:p w:rsidR="00502A07" w:rsidRDefault="00CA0650" w14:paraId="5BF3CD20" w14:textId="77777777">
            <w:pPr>
              <w:pStyle w:val="Underskrifter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502A07" w:rsidRDefault="00CA0650" w14:paraId="33111998" w14:textId="77777777">
            <w:pPr>
              <w:pStyle w:val="Underskrifter"/>
            </w:pPr>
            <w:r>
              <w:t>Camilla Hansén (MP)</w:t>
            </w:r>
          </w:p>
        </w:tc>
      </w:tr>
      <w:tr w:rsidR="00502A07" w14:paraId="38195FDE" w14:textId="77777777">
        <w:trPr>
          <w:cantSplit/>
        </w:trPr>
        <w:tc>
          <w:tcPr>
            <w:tcW w:w="50" w:type="pct"/>
            <w:vAlign w:val="bottom"/>
          </w:tcPr>
          <w:p w:rsidR="00502A07" w:rsidRDefault="00CA0650" w14:paraId="1FAB706B" w14:textId="77777777">
            <w:pPr>
              <w:pStyle w:val="Underskrifter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502A07" w:rsidRDefault="00CA0650" w14:paraId="0F046EBF" w14:textId="77777777">
            <w:pPr>
              <w:pStyle w:val="Underskrifter"/>
            </w:pPr>
            <w:r>
              <w:t>Amanda Lind (MP)</w:t>
            </w:r>
          </w:p>
        </w:tc>
        <w:bookmarkEnd w:id="2"/>
      </w:tr>
    </w:tbl>
    <w:p w:rsidR="00F8482F" w:rsidRDefault="00F8482F" w14:paraId="0A501EF9" w14:textId="77777777"/>
    <w:sectPr w:rsidR="00F8482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FBE4" w14:textId="77777777" w:rsidR="002D245F" w:rsidRDefault="002D245F" w:rsidP="000C1CAD">
      <w:pPr>
        <w:spacing w:line="240" w:lineRule="auto"/>
      </w:pPr>
      <w:r>
        <w:separator/>
      </w:r>
    </w:p>
  </w:endnote>
  <w:endnote w:type="continuationSeparator" w:id="0">
    <w:p w14:paraId="55A1D1AF" w14:textId="77777777" w:rsidR="002D245F" w:rsidRDefault="002D24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28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65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91DA" w14:textId="596B6905" w:rsidR="00262EA3" w:rsidRPr="00250259" w:rsidRDefault="00262EA3" w:rsidP="002502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7B27" w14:textId="77777777" w:rsidR="002D245F" w:rsidRDefault="002D245F" w:rsidP="000C1CAD">
      <w:pPr>
        <w:spacing w:line="240" w:lineRule="auto"/>
      </w:pPr>
      <w:r>
        <w:separator/>
      </w:r>
    </w:p>
  </w:footnote>
  <w:footnote w:type="continuationSeparator" w:id="0">
    <w:p w14:paraId="59E748F6" w14:textId="77777777" w:rsidR="002D245F" w:rsidRDefault="002D24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9B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00297A" wp14:editId="7243E7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7D2CB" w14:textId="54F9DA37" w:rsidR="00262EA3" w:rsidRDefault="002A50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7387A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5688A">
                                <w:t>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0029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E7D2CB" w14:textId="54F9DA37" w:rsidR="00262EA3" w:rsidRDefault="002A50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7387A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5688A">
                          <w:t>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7115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F4AE" w14:textId="77777777" w:rsidR="00262EA3" w:rsidRDefault="00262EA3" w:rsidP="008563AC">
    <w:pPr>
      <w:jc w:val="right"/>
    </w:pPr>
  </w:p>
  <w:p w14:paraId="4F7177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5983960"/>
  <w:bookmarkStart w:id="7" w:name="_Hlk125983961"/>
  <w:p w14:paraId="02B84D8A" w14:textId="77777777" w:rsidR="00262EA3" w:rsidRDefault="002A50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27B75E" wp14:editId="38B25E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8365D8" w14:textId="6B3AA278" w:rsidR="00262EA3" w:rsidRDefault="002A50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025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387A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688A">
          <w:t>017</w:t>
        </w:r>
      </w:sdtContent>
    </w:sdt>
  </w:p>
  <w:p w14:paraId="12E710F3" w14:textId="77777777" w:rsidR="00262EA3" w:rsidRPr="008227B3" w:rsidRDefault="002A50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820009" w14:textId="63DBEA36" w:rsidR="00262EA3" w:rsidRPr="008227B3" w:rsidRDefault="002A50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025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0259">
          <w:t>:2319</w:t>
        </w:r>
      </w:sdtContent>
    </w:sdt>
  </w:p>
  <w:p w14:paraId="2748373B" w14:textId="1F1EC22F" w:rsidR="00262EA3" w:rsidRDefault="002A50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50259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2A35FE867A044269FAFFF0D493C443B"/>
      </w:placeholder>
      <w:text/>
    </w:sdtPr>
    <w:sdtEndPr/>
    <w:sdtContent>
      <w:p w14:paraId="187BA3BC" w14:textId="494FDA5E" w:rsidR="00262EA3" w:rsidRDefault="00B93FD4" w:rsidP="00283E0F">
        <w:pPr>
          <w:pStyle w:val="FSHRub2"/>
        </w:pPr>
        <w:r>
          <w:t>med anledning av prop. 2022/23:42 Genomförande av tillgänglighetsdirektivet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4519D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B738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CEB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259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0EF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45F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30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A07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A5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88A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DD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1F0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1AE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D7E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A00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87A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FD4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65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A59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2F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8DF091"/>
  <w15:chartTrackingRefBased/>
  <w15:docId w15:val="{80C98A5F-A246-4396-9334-17FDA8C6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9A6C572454C14AD6605C1347A0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6EA39-A04D-4F33-BF4D-66B3276F8E3D}"/>
      </w:docPartPr>
      <w:docPartBody>
        <w:p w:rsidR="002D5EDC" w:rsidRDefault="00834A52">
          <w:pPr>
            <w:pStyle w:val="E869A6C572454C14AD6605C1347A0C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8DAAFF9B1649CC9F71ED28746B2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8C12B-2175-4CC3-A0C2-A8D7B606ED20}"/>
      </w:docPartPr>
      <w:docPartBody>
        <w:p w:rsidR="002D5EDC" w:rsidRDefault="00834A52">
          <w:pPr>
            <w:pStyle w:val="D78DAAFF9B1649CC9F71ED28746B25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79D64-C14D-47F4-B377-7452DC38305F}"/>
      </w:docPartPr>
      <w:docPartBody>
        <w:p w:rsidR="002D5EDC" w:rsidRDefault="00127438">
          <w:r w:rsidRPr="00880B0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A35FE867A044269FAFFF0D493C4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B7760-ACE8-423C-9DE7-31FEF7770291}"/>
      </w:docPartPr>
      <w:docPartBody>
        <w:p w:rsidR="002D5EDC" w:rsidRDefault="00127438">
          <w:r w:rsidRPr="00880B0B">
            <w:rPr>
              <w:rStyle w:val="Platshllartext"/>
            </w:rPr>
            <w:t>[ange din text här]</w:t>
          </w:r>
        </w:p>
      </w:docPartBody>
    </w:docPart>
    <w:docPart>
      <w:docPartPr>
        <w:name w:val="75423102758E491E8009737D55685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65BF-A574-4620-BBD4-28C019B4838C}"/>
      </w:docPartPr>
      <w:docPartBody>
        <w:p w:rsidR="00680B58" w:rsidRDefault="00680B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38"/>
    <w:rsid w:val="00127438"/>
    <w:rsid w:val="002D5EDC"/>
    <w:rsid w:val="00680B58"/>
    <w:rsid w:val="00682A33"/>
    <w:rsid w:val="00834A52"/>
    <w:rsid w:val="00C3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7438"/>
    <w:rPr>
      <w:color w:val="F4B083" w:themeColor="accent2" w:themeTint="99"/>
    </w:rPr>
  </w:style>
  <w:style w:type="paragraph" w:customStyle="1" w:styleId="E869A6C572454C14AD6605C1347A0C9D">
    <w:name w:val="E869A6C572454C14AD6605C1347A0C9D"/>
  </w:style>
  <w:style w:type="paragraph" w:customStyle="1" w:styleId="D78DAAFF9B1649CC9F71ED28746B2544">
    <w:name w:val="D78DAAFF9B1649CC9F71ED28746B2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2D836-E931-4849-BB3F-4A6FCFA2842F}"/>
</file>

<file path=customXml/itemProps2.xml><?xml version="1.0" encoding="utf-8"?>
<ds:datastoreItem xmlns:ds="http://schemas.openxmlformats.org/officeDocument/2006/customXml" ds:itemID="{A17D2721-6DA3-4712-A7BD-561EECF84E44}"/>
</file>

<file path=customXml/itemProps3.xml><?xml version="1.0" encoding="utf-8"?>
<ds:datastoreItem xmlns:ds="http://schemas.openxmlformats.org/officeDocument/2006/customXml" ds:itemID="{C451776F-A187-42DC-9EF2-2041E4F5C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853</Words>
  <Characters>4985</Characters>
  <Application>Microsoft Office Word</Application>
  <DocSecurity>0</DocSecurity>
  <Lines>87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regeringens proposition 2022 23 42 Genomförande av tillgänglighetsdirektivet</vt:lpstr>
      <vt:lpstr>
      </vt:lpstr>
    </vt:vector>
  </TitlesOfParts>
  <Company>Sveriges riksdag</Company>
  <LinksUpToDate>false</LinksUpToDate>
  <CharactersWithSpaces>5810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