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91C39" w:rsidRPr="004E4752">
        <w:tblPrEx>
          <w:tblCellMar>
            <w:top w:w="0" w:type="dxa"/>
            <w:bottom w:w="0" w:type="dxa"/>
          </w:tblCellMar>
        </w:tblPrEx>
        <w:tc>
          <w:tcPr>
            <w:tcW w:w="2268" w:type="dxa"/>
          </w:tcPr>
          <w:p w:rsidR="00C91C39" w:rsidRPr="004E4752" w:rsidRDefault="000417DB">
            <w:pPr>
              <w:framePr w:w="4400" w:h="1644" w:wrap="notBeside" w:vAnchor="page" w:hAnchor="page" w:x="6573" w:y="721"/>
              <w:rPr>
                <w:rFonts w:ascii="TradeGothic" w:hAnsi="TradeGothic"/>
                <w:i/>
                <w:sz w:val="18"/>
              </w:rPr>
            </w:pPr>
            <w:r w:rsidRPr="004E4752">
              <w:rPr>
                <w:rFonts w:ascii="TradeGothic" w:hAnsi="TradeGothic"/>
                <w:i/>
                <w:sz w:val="18"/>
              </w:rPr>
              <w:t xml:space="preserve">Bilaga 2 </w:t>
            </w:r>
          </w:p>
        </w:tc>
        <w:tc>
          <w:tcPr>
            <w:tcW w:w="2347" w:type="dxa"/>
            <w:gridSpan w:val="2"/>
          </w:tcPr>
          <w:p w:rsidR="00C91C39" w:rsidRPr="004E4752" w:rsidRDefault="00C91C39">
            <w:pPr>
              <w:framePr w:w="4400" w:h="1644" w:wrap="notBeside" w:vAnchor="page" w:hAnchor="page" w:x="6573" w:y="721"/>
              <w:rPr>
                <w:rFonts w:ascii="TradeGothic" w:hAnsi="TradeGothic"/>
                <w:i/>
                <w:sz w:val="18"/>
              </w:rPr>
            </w:pPr>
          </w:p>
        </w:tc>
      </w:tr>
      <w:tr w:rsidR="00C91C39" w:rsidRPr="004E4752">
        <w:tblPrEx>
          <w:tblCellMar>
            <w:top w:w="0" w:type="dxa"/>
            <w:bottom w:w="0" w:type="dxa"/>
          </w:tblCellMar>
        </w:tblPrEx>
        <w:trPr>
          <w:cantSplit/>
        </w:trPr>
        <w:tc>
          <w:tcPr>
            <w:tcW w:w="4615" w:type="dxa"/>
            <w:gridSpan w:val="3"/>
          </w:tcPr>
          <w:p w:rsidR="00C91C39" w:rsidRPr="004E4752" w:rsidRDefault="00C91C39">
            <w:pPr>
              <w:framePr w:w="4400" w:h="1644" w:wrap="notBeside" w:vAnchor="page" w:hAnchor="page" w:x="6573" w:y="721"/>
              <w:rPr>
                <w:rFonts w:ascii="TradeGothic" w:hAnsi="TradeGothic"/>
                <w:b/>
                <w:sz w:val="22"/>
              </w:rPr>
            </w:pPr>
            <w:r w:rsidRPr="004E4752">
              <w:rPr>
                <w:rFonts w:ascii="TradeGothic" w:hAnsi="TradeGothic"/>
                <w:b/>
                <w:sz w:val="22"/>
              </w:rPr>
              <w:t>Rådspromemoria</w:t>
            </w:r>
          </w:p>
        </w:tc>
      </w:tr>
      <w:tr w:rsidR="00C91C39" w:rsidRPr="004E4752">
        <w:tblPrEx>
          <w:tblCellMar>
            <w:top w:w="0" w:type="dxa"/>
            <w:bottom w:w="0" w:type="dxa"/>
          </w:tblCellMar>
        </w:tblPrEx>
        <w:tc>
          <w:tcPr>
            <w:tcW w:w="3402" w:type="dxa"/>
            <w:gridSpan w:val="2"/>
          </w:tcPr>
          <w:p w:rsidR="00C91C39" w:rsidRPr="004E4752" w:rsidRDefault="00C91C39">
            <w:pPr>
              <w:framePr w:w="4400" w:h="1644" w:wrap="notBeside" w:vAnchor="page" w:hAnchor="page" w:x="6573" w:y="721"/>
            </w:pPr>
          </w:p>
        </w:tc>
        <w:tc>
          <w:tcPr>
            <w:tcW w:w="1213" w:type="dxa"/>
          </w:tcPr>
          <w:p w:rsidR="00C91C39" w:rsidRPr="004E4752" w:rsidRDefault="00C91C39">
            <w:pPr>
              <w:framePr w:w="4400" w:h="1644" w:wrap="notBeside" w:vAnchor="page" w:hAnchor="page" w:x="6573" w:y="721"/>
            </w:pPr>
          </w:p>
        </w:tc>
      </w:tr>
      <w:tr w:rsidR="00C91C39" w:rsidRPr="004E4752">
        <w:tblPrEx>
          <w:tblCellMar>
            <w:top w:w="0" w:type="dxa"/>
            <w:bottom w:w="0" w:type="dxa"/>
          </w:tblCellMar>
        </w:tblPrEx>
        <w:tc>
          <w:tcPr>
            <w:tcW w:w="2268" w:type="dxa"/>
          </w:tcPr>
          <w:p w:rsidR="00C91C39" w:rsidRPr="004E4752" w:rsidRDefault="000417DB">
            <w:pPr>
              <w:framePr w:w="4400" w:h="1644" w:wrap="notBeside" w:vAnchor="page" w:hAnchor="page" w:x="6573" w:y="721"/>
            </w:pPr>
            <w:r w:rsidRPr="004E4752">
              <w:t>2008-10-13</w:t>
            </w:r>
          </w:p>
        </w:tc>
        <w:tc>
          <w:tcPr>
            <w:tcW w:w="2347" w:type="dxa"/>
            <w:gridSpan w:val="2"/>
          </w:tcPr>
          <w:p w:rsidR="00C91C39" w:rsidRPr="004E4752" w:rsidRDefault="00C91C39">
            <w:pPr>
              <w:framePr w:w="4400" w:h="1644" w:wrap="notBeside" w:vAnchor="page" w:hAnchor="page" w:x="6573" w:y="721"/>
            </w:pPr>
          </w:p>
        </w:tc>
      </w:tr>
      <w:tr w:rsidR="00C91C39" w:rsidRPr="004E4752">
        <w:tblPrEx>
          <w:tblCellMar>
            <w:top w:w="0" w:type="dxa"/>
            <w:bottom w:w="0" w:type="dxa"/>
          </w:tblCellMar>
        </w:tblPrEx>
        <w:tc>
          <w:tcPr>
            <w:tcW w:w="2268" w:type="dxa"/>
          </w:tcPr>
          <w:p w:rsidR="00C91C39" w:rsidRPr="004E4752" w:rsidRDefault="00C91C39">
            <w:pPr>
              <w:framePr w:w="4400" w:h="1644" w:wrap="notBeside" w:vAnchor="page" w:hAnchor="page" w:x="6573" w:y="721"/>
            </w:pPr>
          </w:p>
        </w:tc>
        <w:tc>
          <w:tcPr>
            <w:tcW w:w="2347" w:type="dxa"/>
            <w:gridSpan w:val="2"/>
          </w:tcPr>
          <w:p w:rsidR="00C91C39" w:rsidRPr="004E4752" w:rsidRDefault="00C91C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91C39" w:rsidRPr="004E4752">
        <w:tblPrEx>
          <w:tblCellMar>
            <w:top w:w="0" w:type="dxa"/>
            <w:bottom w:w="0" w:type="dxa"/>
          </w:tblCellMar>
        </w:tblPrEx>
        <w:trPr>
          <w:trHeight w:val="284"/>
        </w:trPr>
        <w:tc>
          <w:tcPr>
            <w:tcW w:w="4911" w:type="dxa"/>
          </w:tcPr>
          <w:p w:rsidR="00C91C39" w:rsidRPr="004E4752" w:rsidRDefault="00512A61">
            <w:pPr>
              <w:pStyle w:val="Avsndare"/>
              <w:framePr w:h="2483" w:wrap="notBeside" w:x="1504"/>
              <w:rPr>
                <w:b/>
                <w:i w:val="0"/>
                <w:sz w:val="22"/>
              </w:rPr>
            </w:pPr>
            <w:r w:rsidRPr="004E4752">
              <w:rPr>
                <w:b/>
                <w:i w:val="0"/>
                <w:sz w:val="22"/>
              </w:rPr>
              <w:t>Miljö</w:t>
            </w:r>
            <w:r w:rsidR="00C91C39" w:rsidRPr="004E4752">
              <w:rPr>
                <w:b/>
                <w:i w:val="0"/>
                <w:sz w:val="22"/>
              </w:rPr>
              <w:t>departementet</w:t>
            </w: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0417DB">
            <w:pPr>
              <w:pStyle w:val="Avsndare"/>
              <w:framePr w:h="2483" w:wrap="notBeside" w:x="1504"/>
              <w:rPr>
                <w:bCs/>
                <w:iCs/>
              </w:rPr>
            </w:pPr>
            <w:r w:rsidRPr="004E4752">
              <w:rPr>
                <w:bCs/>
                <w:iCs/>
              </w:rPr>
              <w:t xml:space="preserve">Enheten för miljökvalitet </w:t>
            </w: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r w:rsidR="00C91C39" w:rsidRPr="004E4752">
        <w:tblPrEx>
          <w:tblCellMar>
            <w:top w:w="0" w:type="dxa"/>
            <w:bottom w:w="0" w:type="dxa"/>
          </w:tblCellMar>
        </w:tblPrEx>
        <w:trPr>
          <w:trHeight w:val="284"/>
        </w:trPr>
        <w:tc>
          <w:tcPr>
            <w:tcW w:w="4911" w:type="dxa"/>
          </w:tcPr>
          <w:p w:rsidR="00C91C39" w:rsidRPr="004E4752" w:rsidRDefault="00C91C39">
            <w:pPr>
              <w:pStyle w:val="Avsndare"/>
              <w:framePr w:h="2483" w:wrap="notBeside" w:x="1504"/>
              <w:rPr>
                <w:bCs/>
                <w:iCs/>
              </w:rPr>
            </w:pPr>
          </w:p>
        </w:tc>
      </w:tr>
    </w:tbl>
    <w:p w:rsidR="00C91C39" w:rsidRPr="004E4752" w:rsidRDefault="00C91C39">
      <w:pPr>
        <w:framePr w:w="4400" w:h="2523" w:wrap="notBeside" w:vAnchor="page" w:hAnchor="page" w:x="6453" w:y="2445"/>
        <w:ind w:left="142"/>
        <w:rPr>
          <w:b/>
        </w:rPr>
      </w:pPr>
    </w:p>
    <w:p w:rsidR="00C91C39" w:rsidRPr="004E4752" w:rsidRDefault="00512A61">
      <w:pPr>
        <w:pStyle w:val="RKrubrik"/>
        <w:pBdr>
          <w:bottom w:val="single" w:sz="6" w:space="1" w:color="auto"/>
        </w:pBdr>
      </w:pPr>
      <w:bookmarkStart w:id="0" w:name="bRubrik"/>
      <w:bookmarkEnd w:id="0"/>
      <w:r w:rsidRPr="004E4752">
        <w:t>Rådets möte (miljö) den 20-21 oktober 2008</w:t>
      </w:r>
    </w:p>
    <w:p w:rsidR="00C91C39" w:rsidRPr="004E4752" w:rsidRDefault="00C91C39">
      <w:pPr>
        <w:pStyle w:val="RKnormal"/>
      </w:pPr>
    </w:p>
    <w:p w:rsidR="00C91C39" w:rsidRPr="004E4752" w:rsidRDefault="00512A61">
      <w:pPr>
        <w:pStyle w:val="RKnormal"/>
      </w:pPr>
      <w:r w:rsidRPr="004E4752">
        <w:t>Dagordningspunkt 4</w:t>
      </w:r>
    </w:p>
    <w:p w:rsidR="00C91C39" w:rsidRPr="004E4752" w:rsidRDefault="00C91C39">
      <w:pPr>
        <w:pStyle w:val="RKnormal"/>
      </w:pPr>
    </w:p>
    <w:p w:rsidR="00C91C39" w:rsidRPr="004E4752" w:rsidRDefault="00C91C39" w:rsidP="00A210A2">
      <w:pPr>
        <w:pStyle w:val="Par-number1"/>
        <w:numPr>
          <w:ilvl w:val="0"/>
          <w:numId w:val="0"/>
        </w:numPr>
        <w:spacing w:line="240" w:lineRule="auto"/>
      </w:pPr>
      <w:r w:rsidRPr="004E4752">
        <w:t>Rubrik:</w:t>
      </w:r>
      <w:r w:rsidR="00512A61" w:rsidRPr="004E4752">
        <w:t xml:space="preserve"> </w:t>
      </w:r>
      <w:r w:rsidR="009F5B11" w:rsidRPr="004E4752">
        <w:t>Lagstiftningspaketet för klimat och energi</w:t>
      </w:r>
      <w:r w:rsidR="009F5B11" w:rsidRPr="004E4752">
        <w:br/>
      </w:r>
      <w:r w:rsidR="009F5B11" w:rsidRPr="004E4752">
        <w:rPr>
          <w:color w:val="000000"/>
        </w:rPr>
        <w:t>–</w:t>
      </w:r>
      <w:r w:rsidR="000417DB" w:rsidRPr="004E4752">
        <w:rPr>
          <w:color w:val="000000"/>
        </w:rPr>
        <w:t xml:space="preserve"> </w:t>
      </w:r>
      <w:r w:rsidR="009F5B11" w:rsidRPr="004E4752">
        <w:rPr>
          <w:color w:val="000000"/>
        </w:rPr>
        <w:t>Lägesrapport från ordförandeskapet</w:t>
      </w:r>
    </w:p>
    <w:p w:rsidR="00C91C39" w:rsidRPr="004E4752" w:rsidRDefault="00C91C39">
      <w:pPr>
        <w:pStyle w:val="RKnormal"/>
      </w:pPr>
    </w:p>
    <w:p w:rsidR="00C91C39" w:rsidRPr="004E4752" w:rsidRDefault="00C91C39">
      <w:pPr>
        <w:pStyle w:val="RKnormal"/>
      </w:pPr>
      <w:r w:rsidRPr="004E4752">
        <w:t>Dokument:</w:t>
      </w:r>
      <w:r w:rsidR="00512A61" w:rsidRPr="004E4752">
        <w:t xml:space="preserve"> </w:t>
      </w:r>
      <w:r w:rsidR="000417DB" w:rsidRPr="004E4752">
        <w:t>Har ej inkommit inför miljörådsmötet.</w:t>
      </w:r>
    </w:p>
    <w:p w:rsidR="00C91C39" w:rsidRPr="004E4752" w:rsidRDefault="00C91C39">
      <w:pPr>
        <w:pStyle w:val="RKnormal"/>
      </w:pPr>
    </w:p>
    <w:p w:rsidR="00512A61" w:rsidRPr="004E4752" w:rsidRDefault="00C91C39" w:rsidP="00512A61">
      <w:pPr>
        <w:pStyle w:val="RKnormal"/>
      </w:pPr>
      <w:r w:rsidRPr="004E4752">
        <w:t xml:space="preserve">Tidigare dokument: </w:t>
      </w:r>
      <w:r w:rsidR="00920628" w:rsidRPr="004E4752">
        <w:t>R</w:t>
      </w:r>
      <w:r w:rsidR="00512A61" w:rsidRPr="004E4752">
        <w:t>åds</w:t>
      </w:r>
      <w:r w:rsidR="00920628" w:rsidRPr="004E4752">
        <w:t>-</w:t>
      </w:r>
      <w:r w:rsidR="00512A61" w:rsidRPr="004E4752">
        <w:t xml:space="preserve">PM inför rådsmötet den 3 mars 2008, </w:t>
      </w:r>
      <w:r w:rsidR="00920628" w:rsidRPr="004E4752">
        <w:t xml:space="preserve">Råds-PM inför rådsmötet den 5 juni 2008, </w:t>
      </w:r>
      <w:r w:rsidR="00512A61" w:rsidRPr="004E4752">
        <w:t>Fakta-PM Ändring av EU:s system för handel med utsläppsrätter M</w:t>
      </w:r>
      <w:r w:rsidR="00920628" w:rsidRPr="004E4752">
        <w:t xml:space="preserve">-dep </w:t>
      </w:r>
      <w:r w:rsidR="00512A61" w:rsidRPr="004E4752">
        <w:t>2007/08: FPM78</w:t>
      </w:r>
      <w:r w:rsidR="00920628" w:rsidRPr="004E4752">
        <w:t>, Fakta-PM Ansvarsfördelning av EU:s gemensamma klimatmål M-dep 2007/08: FPM79, Fakta-PM Direktiv om avskiljning och lagring av koldioxid M-dep 2007/08: FPM80</w:t>
      </w:r>
      <w:r w:rsidR="000417DB" w:rsidRPr="004E4752">
        <w:t xml:space="preserve">. </w:t>
      </w:r>
    </w:p>
    <w:p w:rsidR="00512A61" w:rsidRPr="004E4752" w:rsidRDefault="00512A61" w:rsidP="00512A61">
      <w:pPr>
        <w:pStyle w:val="RKnormal"/>
      </w:pPr>
    </w:p>
    <w:p w:rsidR="00C91C39" w:rsidRPr="004E4752" w:rsidRDefault="00512A61">
      <w:pPr>
        <w:pStyle w:val="RKnormal"/>
        <w:rPr>
          <w:i/>
        </w:rPr>
      </w:pPr>
      <w:r w:rsidRPr="004E4752">
        <w:t>Tidigare behandlad vid samråd med EU-nämnden: 29 februari 2008</w:t>
      </w:r>
      <w:r w:rsidR="00920628" w:rsidRPr="004E4752">
        <w:t xml:space="preserve"> och 30 maj 2008</w:t>
      </w:r>
    </w:p>
    <w:p w:rsidR="00C91C39" w:rsidRPr="004E4752" w:rsidRDefault="00C91C39">
      <w:pPr>
        <w:pStyle w:val="RKrubrik"/>
      </w:pPr>
      <w:r w:rsidRPr="004E4752">
        <w:t>Bakgrund</w:t>
      </w:r>
    </w:p>
    <w:p w:rsidR="00920628" w:rsidRPr="004E4752" w:rsidRDefault="00920628" w:rsidP="00920628">
      <w:pPr>
        <w:spacing w:line="240" w:lineRule="auto"/>
      </w:pPr>
      <w:r w:rsidRPr="004E4752">
        <w:t xml:space="preserve">I januari 2008 presenterades det åtgärdspaket som följer upp och omsätter klimat- och energiuppgörelsen vid vårtoppmötet 2007. </w:t>
      </w:r>
    </w:p>
    <w:p w:rsidR="00920628" w:rsidRPr="004E4752" w:rsidRDefault="00920628" w:rsidP="00920628">
      <w:pPr>
        <w:pStyle w:val="RKnormal"/>
        <w:spacing w:line="240" w:lineRule="auto"/>
      </w:pPr>
      <w:r w:rsidRPr="004E4752">
        <w:t>Paketet innehåller flera delar:</w:t>
      </w:r>
    </w:p>
    <w:p w:rsidR="00920628" w:rsidRPr="004E4752" w:rsidRDefault="00920628" w:rsidP="00920628">
      <w:pPr>
        <w:pStyle w:val="RKnormal"/>
        <w:numPr>
          <w:ilvl w:val="0"/>
          <w:numId w:val="1"/>
        </w:numPr>
        <w:spacing w:line="240" w:lineRule="auto"/>
      </w:pPr>
      <w:r w:rsidRPr="004E4752">
        <w:t>Direktiv för att främja användningen av energi från förnyba</w:t>
      </w:r>
      <w:r w:rsidR="00F95753" w:rsidRPr="004E4752">
        <w:t>ra energikällor (inklusive börde</w:t>
      </w:r>
      <w:r w:rsidRPr="004E4752">
        <w:t xml:space="preserve">fördelning av 20%-målet), </w:t>
      </w:r>
    </w:p>
    <w:p w:rsidR="00920628" w:rsidRPr="004E4752" w:rsidRDefault="00920628" w:rsidP="00920628">
      <w:pPr>
        <w:pStyle w:val="RKnormal"/>
        <w:numPr>
          <w:ilvl w:val="0"/>
          <w:numId w:val="1"/>
        </w:numPr>
        <w:spacing w:line="240" w:lineRule="auto"/>
      </w:pPr>
      <w:r w:rsidRPr="004E4752">
        <w:t>Förslag till ändring av direktiv 2003/87/EC för att förbättra och utvidga EU</w:t>
      </w:r>
      <w:r w:rsidR="00F95753" w:rsidRPr="004E4752">
        <w:t>:s</w:t>
      </w:r>
      <w:r w:rsidRPr="004E4752">
        <w:t xml:space="preserve"> system för handel med utsläppsrätter, </w:t>
      </w:r>
    </w:p>
    <w:p w:rsidR="00920628" w:rsidRPr="004E4752" w:rsidRDefault="00920628" w:rsidP="00920628">
      <w:pPr>
        <w:pStyle w:val="RKnormal"/>
        <w:numPr>
          <w:ilvl w:val="0"/>
          <w:numId w:val="1"/>
        </w:numPr>
        <w:spacing w:line="240" w:lineRule="auto"/>
      </w:pPr>
      <w:r w:rsidRPr="004E4752">
        <w:t>Beslut om medlemsstaternas åtaganden att minska utsläppen av växthusgaser för att möta gemenskapens åtaganden för 2020 (klimat</w:t>
      </w:r>
      <w:r w:rsidR="00F95753" w:rsidRPr="004E4752">
        <w:t>ansvars</w:t>
      </w:r>
      <w:r w:rsidRPr="004E4752">
        <w:t xml:space="preserve">fördelning icke-handlande sektorn), </w:t>
      </w:r>
    </w:p>
    <w:p w:rsidR="00920628" w:rsidRPr="004E4752" w:rsidRDefault="00F95753" w:rsidP="00920628">
      <w:pPr>
        <w:pStyle w:val="RKnormal"/>
        <w:numPr>
          <w:ilvl w:val="0"/>
          <w:numId w:val="1"/>
        </w:numPr>
        <w:spacing w:line="240" w:lineRule="auto"/>
      </w:pPr>
      <w:r w:rsidRPr="004E4752">
        <w:t>R</w:t>
      </w:r>
      <w:r w:rsidR="00920628" w:rsidRPr="004E4752">
        <w:t xml:space="preserve">eglerverk för koldioxidavskiljning och dito lagring, </w:t>
      </w:r>
    </w:p>
    <w:p w:rsidR="00920628" w:rsidRPr="004E4752" w:rsidRDefault="00920628" w:rsidP="00920628">
      <w:pPr>
        <w:pStyle w:val="RKnormal"/>
        <w:numPr>
          <w:ilvl w:val="0"/>
          <w:numId w:val="1"/>
        </w:numPr>
        <w:spacing w:line="240" w:lineRule="auto"/>
      </w:pPr>
      <w:r w:rsidRPr="004E4752">
        <w:t xml:space="preserve">Rapport om medlemsstaternas handlingsplaner för energieffektivisering, och </w:t>
      </w:r>
    </w:p>
    <w:p w:rsidR="00920628" w:rsidRPr="004E4752" w:rsidRDefault="00920628" w:rsidP="00920628">
      <w:pPr>
        <w:pStyle w:val="RKnormal"/>
        <w:numPr>
          <w:ilvl w:val="0"/>
          <w:numId w:val="1"/>
        </w:numPr>
        <w:spacing w:line="240" w:lineRule="auto"/>
      </w:pPr>
      <w:r w:rsidRPr="004E4752">
        <w:lastRenderedPageBreak/>
        <w:t xml:space="preserve">Reviderade statsstödsregler på miljöområdet. </w:t>
      </w:r>
    </w:p>
    <w:p w:rsidR="00920628" w:rsidRPr="004E4752" w:rsidRDefault="00920628" w:rsidP="00920628">
      <w:pPr>
        <w:pStyle w:val="RKnormal"/>
      </w:pPr>
    </w:p>
    <w:p w:rsidR="00920628" w:rsidRPr="004E4752" w:rsidRDefault="00F95753" w:rsidP="00920628">
      <w:pPr>
        <w:spacing w:line="240" w:lineRule="auto"/>
      </w:pPr>
      <w:r w:rsidRPr="004E4752">
        <w:t>Såväl medlemsstater som E</w:t>
      </w:r>
      <w:r w:rsidR="00920628" w:rsidRPr="004E4752">
        <w:t xml:space="preserve">uropaparlamentet står under stark politisk press att nå </w:t>
      </w:r>
      <w:r w:rsidRPr="004E4752">
        <w:t xml:space="preserve">en </w:t>
      </w:r>
      <w:r w:rsidR="00920628" w:rsidRPr="004E4752">
        <w:t xml:space="preserve">förstaläsningsöverenskommelser om paketets delar innan </w:t>
      </w:r>
      <w:r w:rsidRPr="004E4752">
        <w:t>E</w:t>
      </w:r>
      <w:r w:rsidR="00920628" w:rsidRPr="004E4752">
        <w:t xml:space="preserve">uropaparlamentet upplöses i maj 2009 och kommissionen byts ut. För svenskt vidkommande är det med hänsyn till de internationella klimatförhandlingarna och Köpenhamnsmötet i december 2009 (under det svenska ordförandeskapet) särskilt viktigt </w:t>
      </w:r>
      <w:r w:rsidRPr="004E4752">
        <w:t xml:space="preserve">att en uppgörelse nås om klimat- och </w:t>
      </w:r>
      <w:r w:rsidR="00920628" w:rsidRPr="004E4752">
        <w:t xml:space="preserve">energipaketet, inte minst för att EU ska visa på handlingskraft. </w:t>
      </w:r>
    </w:p>
    <w:p w:rsidR="00920628" w:rsidRPr="004E4752" w:rsidRDefault="00920628" w:rsidP="00920628">
      <w:pPr>
        <w:spacing w:line="240" w:lineRule="auto"/>
      </w:pPr>
    </w:p>
    <w:p w:rsidR="00920628" w:rsidRPr="004E4752" w:rsidRDefault="00F95753" w:rsidP="00920628">
      <w:pPr>
        <w:spacing w:line="240" w:lineRule="auto"/>
      </w:pPr>
      <w:r w:rsidRPr="004E4752">
        <w:t xml:space="preserve">Den </w:t>
      </w:r>
      <w:r w:rsidR="00920628" w:rsidRPr="004E4752">
        <w:t xml:space="preserve">3 mars 2008 </w:t>
      </w:r>
      <w:r w:rsidR="00D347A4" w:rsidRPr="004E4752">
        <w:t>och den 5 juni 2008 hölls policydebatter i miljörådet</w:t>
      </w:r>
      <w:r w:rsidR="00920628" w:rsidRPr="004E4752">
        <w:t xml:space="preserve"> där ministrarna allmänt välkomnade paketet och en ambitiös tidplan</w:t>
      </w:r>
      <w:r w:rsidR="00D347A4" w:rsidRPr="004E4752">
        <w:t xml:space="preserve"> samt angav ståndpunkter i ett antal nyckelfrågor</w:t>
      </w:r>
      <w:r w:rsidR="00920628" w:rsidRPr="004E4752">
        <w:t xml:space="preserve">. Därefter har </w:t>
      </w:r>
      <w:r w:rsidR="00D347A4" w:rsidRPr="004E4752">
        <w:t xml:space="preserve">rådsarbetsgruppen (miljö) fortsatt behandlingen av </w:t>
      </w:r>
      <w:r w:rsidR="00920628" w:rsidRPr="004E4752">
        <w:t>ansvarsfördelningsbeslutet</w:t>
      </w:r>
      <w:r w:rsidRPr="004E4752">
        <w:t>, översynen av utsläppshandeln och direktivet om koldioxidlagring.</w:t>
      </w:r>
    </w:p>
    <w:p w:rsidR="00920628" w:rsidRPr="004E4752" w:rsidRDefault="00920628" w:rsidP="00920628">
      <w:pPr>
        <w:spacing w:line="240" w:lineRule="auto"/>
      </w:pPr>
    </w:p>
    <w:p w:rsidR="00C91C39" w:rsidRPr="004E4752" w:rsidRDefault="00F95753" w:rsidP="00F95753">
      <w:pPr>
        <w:spacing w:line="240" w:lineRule="auto"/>
      </w:pPr>
      <w:r w:rsidRPr="004E4752">
        <w:t>Vid miljörådsmötet den 20-21 oktober komm</w:t>
      </w:r>
      <w:r w:rsidR="00920628" w:rsidRPr="004E4752">
        <w:t xml:space="preserve">er en statusrapport </w:t>
      </w:r>
      <w:r w:rsidRPr="004E4752">
        <w:t xml:space="preserve">att </w:t>
      </w:r>
      <w:r w:rsidR="00920628" w:rsidRPr="004E4752">
        <w:t>presenteras av ordförandeskapet.</w:t>
      </w:r>
    </w:p>
    <w:p w:rsidR="00C91C39" w:rsidRPr="004E4752" w:rsidRDefault="00C91C39">
      <w:pPr>
        <w:pStyle w:val="RKrubrik"/>
      </w:pPr>
      <w:r w:rsidRPr="004E4752">
        <w:t>Rättslig grund och beslutsförfarande</w:t>
      </w:r>
    </w:p>
    <w:p w:rsidR="00C91C39" w:rsidRPr="004E4752" w:rsidRDefault="00D347A4">
      <w:pPr>
        <w:pStyle w:val="RKnormal"/>
      </w:pPr>
      <w:r w:rsidRPr="004E4752">
        <w:t>Ansvarsfördelningen av klimatmålet, översynen av utsläppshandeln och direktivet om koldioxidlagring bygger på artikel 175 (1) i EG-fördraget vilket innebär att beslutet i rådet sker med kvalificerad majoritet. Dessutom ska rättsakterna tas i medbeslutandeförfarande med EP enligt artikel 251.</w:t>
      </w:r>
    </w:p>
    <w:p w:rsidR="00C91C39" w:rsidRPr="004E4752" w:rsidRDefault="00C91C39">
      <w:pPr>
        <w:pStyle w:val="RKrubrik"/>
        <w:rPr>
          <w:i/>
          <w:iCs/>
        </w:rPr>
      </w:pPr>
      <w:r w:rsidRPr="004E4752">
        <w:rPr>
          <w:i/>
          <w:iCs/>
        </w:rPr>
        <w:t>Svensk ståndpunkt</w:t>
      </w:r>
    </w:p>
    <w:p w:rsidR="00F4408A" w:rsidRPr="004E4752" w:rsidRDefault="00F4408A" w:rsidP="00F4408A">
      <w:pPr>
        <w:pStyle w:val="RKnormal"/>
        <w:rPr>
          <w:i/>
        </w:rPr>
      </w:pPr>
      <w:r w:rsidRPr="004E4752">
        <w:rPr>
          <w:i/>
        </w:rPr>
        <w:t>Koldioxidläckage</w:t>
      </w:r>
    </w:p>
    <w:p w:rsidR="00F4408A" w:rsidRPr="004E4752" w:rsidRDefault="00F4408A" w:rsidP="00F4408A">
      <w:pPr>
        <w:pStyle w:val="RKnormal"/>
      </w:pPr>
      <w:r w:rsidRPr="004E4752">
        <w:t xml:space="preserve">Fortsatt mycket central fråga som rör dels identifiering av branscher och delbranscher som riskerar läckage och dels att föreslå motåtgärder för att motverka läckage. Vad gäller åtgärder för att motverka läckagefri tilldelning, gränstariffer eller kvotplikt för import samt Sveriges förslag med särskild tillgång till CDM finns förslag att differentiera med avseende på hur stor läckagerisken bedöms. </w:t>
      </w:r>
    </w:p>
    <w:p w:rsidR="00F4408A" w:rsidRPr="004E4752" w:rsidRDefault="00F4408A" w:rsidP="00F4408A">
      <w:pPr>
        <w:pStyle w:val="RKnormal"/>
        <w:rPr>
          <w:i/>
        </w:rPr>
      </w:pPr>
      <w:r w:rsidRPr="004E4752">
        <w:t>Sverige anser det angeläget att beakta både direkta och indirekta effekter (läs elprisuppgång) på branscherna, att tillgång till CDM är en möjlighet på åtgärdssidan och att branscherna kan fastställas först sedan Köpenhamn har varit.</w:t>
      </w:r>
    </w:p>
    <w:p w:rsidR="00F4408A" w:rsidRPr="004E4752" w:rsidRDefault="00F4408A" w:rsidP="00F4408A">
      <w:pPr>
        <w:pStyle w:val="RKnormal"/>
        <w:rPr>
          <w:i/>
        </w:rPr>
      </w:pPr>
    </w:p>
    <w:p w:rsidR="00F4408A" w:rsidRPr="004E4752" w:rsidRDefault="00F4408A" w:rsidP="00F4408A">
      <w:pPr>
        <w:pStyle w:val="RKnormal"/>
        <w:rPr>
          <w:i/>
        </w:rPr>
      </w:pPr>
      <w:r w:rsidRPr="004E4752">
        <w:rPr>
          <w:i/>
        </w:rPr>
        <w:t>Auktionering</w:t>
      </w:r>
    </w:p>
    <w:p w:rsidR="00F4408A" w:rsidRPr="004E4752" w:rsidRDefault="00F4408A" w:rsidP="00F4408A">
      <w:pPr>
        <w:pStyle w:val="RKnormal"/>
      </w:pPr>
      <w:r w:rsidRPr="004E4752">
        <w:rPr>
          <w:u w:val="single"/>
        </w:rPr>
        <w:t>Fördelning av auktionerbara utsläppsrätter</w:t>
      </w:r>
      <w:r w:rsidRPr="004E4752">
        <w:t xml:space="preserve"> bland medlemsstaterna är fortfarande en central fråga. Nya medlemsstater vill ha ytterligare utjämning baserad på redan vidtagna åtgärder sedan 1990. Några gamla medlemsstater med hög fossilandel i energisektorn vill att industrins utsläpp inte ska räknas som bas för fördelning av auktioneringsrätterna. </w:t>
      </w:r>
    </w:p>
    <w:p w:rsidR="00F4408A" w:rsidRPr="004E4752" w:rsidRDefault="00F4408A" w:rsidP="00F4408A">
      <w:pPr>
        <w:pStyle w:val="RKnormal"/>
      </w:pPr>
      <w:r w:rsidRPr="004E4752">
        <w:t xml:space="preserve">Sverige menar att detta skulle rubba paketets balans och motsätter sig därför detta. </w:t>
      </w:r>
    </w:p>
    <w:p w:rsidR="00F4408A" w:rsidRPr="004E4752" w:rsidRDefault="00F4408A" w:rsidP="00F4408A">
      <w:pPr>
        <w:pStyle w:val="RKnormal"/>
      </w:pPr>
    </w:p>
    <w:p w:rsidR="00F4408A" w:rsidRPr="004E4752" w:rsidRDefault="00F4408A" w:rsidP="00F4408A">
      <w:pPr>
        <w:pStyle w:val="RKnormal"/>
      </w:pPr>
      <w:r w:rsidRPr="004E4752">
        <w:rPr>
          <w:u w:val="single"/>
        </w:rPr>
        <w:t>Användning av auktionsintäkterna</w:t>
      </w:r>
      <w:r w:rsidRPr="004E4752">
        <w:t xml:space="preserve"> kommer vara en mycket central fråga gentemot Europaparlamentet. Kommissionens nuvarande förslag är inte en bindande öronmärkning utan en rekommendation, som uppfattats som bindande av många medlemsstater. Europaparlamentet önskar en starkare skrivning om öronmärkning och att en större andel av intäkterna binds till särskilda ändamål. Denna fråga förväntas behandlas på Europeiska rådet, eventuellt i form av en deklaration från EU att man tänker bidra till finansiering. </w:t>
      </w:r>
    </w:p>
    <w:p w:rsidR="00F4408A" w:rsidRPr="004E4752" w:rsidRDefault="00F4408A" w:rsidP="00F4408A">
      <w:pPr>
        <w:pStyle w:val="RKnormal"/>
      </w:pPr>
      <w:r w:rsidRPr="004E4752">
        <w:t>Sverige är emot öronmärkning och bedömer att beskattningsrätt och användande av nationella budgetmedel hör till medlemsstaternas befogenheter.</w:t>
      </w:r>
    </w:p>
    <w:p w:rsidR="00F4408A" w:rsidRPr="004E4752" w:rsidRDefault="00F4408A" w:rsidP="00F4408A">
      <w:pPr>
        <w:pStyle w:val="RKnormal"/>
        <w:rPr>
          <w:b/>
        </w:rPr>
      </w:pPr>
    </w:p>
    <w:p w:rsidR="00F4408A" w:rsidRPr="004E4752" w:rsidRDefault="00F4408A" w:rsidP="00F4408A">
      <w:pPr>
        <w:pStyle w:val="RKnormal"/>
        <w:rPr>
          <w:i/>
        </w:rPr>
      </w:pPr>
      <w:r w:rsidRPr="004E4752">
        <w:rPr>
          <w:i/>
        </w:rPr>
        <w:t>Flexibilitet</w:t>
      </w:r>
    </w:p>
    <w:p w:rsidR="00F4408A" w:rsidRPr="004E4752" w:rsidRDefault="00F4408A" w:rsidP="00F4408A">
      <w:pPr>
        <w:pStyle w:val="RKnormal"/>
      </w:pPr>
      <w:r w:rsidRPr="004E4752">
        <w:t xml:space="preserve">Inom den icke-handlande sektorn har det efterfrågats flexibilitet för medlemsstaterna att nå sina mål. Detaljerna för detta förhandlas nu inom rådsarbetsgruppen. Brett stöd finns för idéerna bakom det svenska förslaget </w:t>
      </w:r>
      <w:r w:rsidR="00A210A2" w:rsidRPr="004E4752">
        <w:t>att tillåta överföringar av utsläppsutrymme mellan medlemsstater</w:t>
      </w:r>
      <w:r w:rsidRPr="004E4752">
        <w:t>.</w:t>
      </w:r>
    </w:p>
    <w:p w:rsidR="00F4408A" w:rsidRPr="004E4752" w:rsidRDefault="00F4408A" w:rsidP="00F4408A">
      <w:pPr>
        <w:pStyle w:val="RKnormal"/>
        <w:rPr>
          <w:i/>
        </w:rPr>
      </w:pPr>
    </w:p>
    <w:p w:rsidR="00F4408A" w:rsidRPr="004E4752" w:rsidRDefault="00F4408A" w:rsidP="00F4408A">
      <w:pPr>
        <w:pStyle w:val="RKnormal"/>
        <w:rPr>
          <w:i/>
        </w:rPr>
      </w:pPr>
      <w:r w:rsidRPr="004E4752">
        <w:rPr>
          <w:i/>
        </w:rPr>
        <w:t>CDM/JI</w:t>
      </w:r>
    </w:p>
    <w:p w:rsidR="00F4408A" w:rsidRPr="004E4752" w:rsidRDefault="00F4408A" w:rsidP="00F4408A">
      <w:pPr>
        <w:pStyle w:val="RKnormal"/>
      </w:pPr>
      <w:r w:rsidRPr="004E4752">
        <w:rPr>
          <w:u w:val="single"/>
        </w:rPr>
        <w:t>Kvalitetsaspekter</w:t>
      </w:r>
      <w:r w:rsidRPr="004E4752">
        <w:t xml:space="preserve">: Kommissionens ursprungliga förslag om att endast tillåta projekt som alla medlemsstater accepterade i ETS under 2008-2012 har fått i princip unison kritik från rådet. </w:t>
      </w:r>
    </w:p>
    <w:p w:rsidR="00F4408A" w:rsidRPr="004E4752" w:rsidRDefault="00F4408A" w:rsidP="00F4408A">
      <w:pPr>
        <w:pStyle w:val="RKnormal"/>
      </w:pPr>
      <w:r w:rsidRPr="004E4752">
        <w:t xml:space="preserve">Sverige förordar i första hand att alla projekt som accepteras i FN-systemet accepteras inom EU. </w:t>
      </w:r>
    </w:p>
    <w:p w:rsidR="00F4408A" w:rsidRPr="004E4752" w:rsidRDefault="00F4408A" w:rsidP="00F4408A">
      <w:pPr>
        <w:pStyle w:val="RKnormal"/>
      </w:pPr>
      <w:r w:rsidRPr="004E4752">
        <w:rPr>
          <w:u w:val="single"/>
        </w:rPr>
        <w:t>Kvantitetsaspekter</w:t>
      </w:r>
      <w:r w:rsidRPr="004E4752">
        <w:t>: Stor enighet om vikten av att EU deltar i en global växthusgasmarknad. Flera gamla och några nya medlemsstater kräver större utrymme för CDM, mot bakgrund av behovet av kostnadseffektivitet och att mildra negativa effekter på EU:s konkurrenskraft.</w:t>
      </w:r>
    </w:p>
    <w:p w:rsidR="00F4408A" w:rsidRPr="004E4752" w:rsidRDefault="00F4408A" w:rsidP="00F4408A">
      <w:pPr>
        <w:pStyle w:val="RKnormal"/>
      </w:pPr>
      <w:r w:rsidRPr="004E4752">
        <w:t>Sverige anser a</w:t>
      </w:r>
      <w:r w:rsidR="00A210A2" w:rsidRPr="004E4752">
        <w:t>t</w:t>
      </w:r>
      <w:r w:rsidRPr="004E4752">
        <w:t xml:space="preserve">t det är viktigt att gå utvecklingsländerna till mötes. Det viktigaste i detta sammanhang är att skillnaden mellan 20%- och 30%-fallen (d.v.s. EU- åtagandet före och efter internationell överenskommelse), ökar incitamenten för omvärlden att delta i en global klimatregim och att kommissionens förslag är för restriktivt. </w:t>
      </w:r>
    </w:p>
    <w:p w:rsidR="00C91C39" w:rsidRPr="004E4752" w:rsidRDefault="00C91C39">
      <w:pPr>
        <w:pStyle w:val="RKrubrik"/>
      </w:pPr>
      <w:r w:rsidRPr="004E4752">
        <w:t>Europaparlamentets inställning</w:t>
      </w:r>
    </w:p>
    <w:p w:rsidR="00F4408A" w:rsidRPr="004E4752" w:rsidRDefault="00F4408A" w:rsidP="009F5B11">
      <w:pPr>
        <w:pStyle w:val="RKnormal"/>
      </w:pPr>
      <w:r w:rsidRPr="004E4752">
        <w:t>Europaparlamentets miljöutskott har i omröstning om ansvarsfördelningsbeslutet röstat för att gå automatiskt från 20% till 30% vid en internationell överenskommelse, att reducera utsläppen av växthusgaser med 50% till 2035 och 60-80% till 2050 och för ökad flexibilitet mellan EU:s medlemsländer i genomförandet av beslutet</w:t>
      </w:r>
      <w:r w:rsidR="00A210A2" w:rsidRPr="004E4752">
        <w:t xml:space="preserve"> (i linje med det s.k. svenska förslaget</w:t>
      </w:r>
      <w:r w:rsidRPr="004E4752">
        <w:t xml:space="preserve">. </w:t>
      </w:r>
      <w:r w:rsidR="009F5B11" w:rsidRPr="004E4752">
        <w:t xml:space="preserve">I omröstningen om utsläppshandeln röstade miljöutskottet för att elsektorns utsläppsrätter ska auktioneras från att direktivet träder i kraft, medan utsläppsrätter för övrig industri ska auktioneras från år 2020. Utskottet anser också att intäkter från auktioneringen ska investeras i klimatprojekt, varav hälften i utvecklingsländer. Omröstning i plenum väntas den 16 december. </w:t>
      </w:r>
    </w:p>
    <w:p w:rsidR="00C91C39" w:rsidRPr="004E4752" w:rsidRDefault="00C91C39">
      <w:pPr>
        <w:pStyle w:val="RKrubrik"/>
        <w:rPr>
          <w:i/>
          <w:iCs/>
        </w:rPr>
      </w:pPr>
      <w:r w:rsidRPr="004E4752">
        <w:rPr>
          <w:i/>
          <w:iCs/>
        </w:rPr>
        <w:t>Förslaget</w:t>
      </w:r>
    </w:p>
    <w:p w:rsidR="006F4FA0" w:rsidRPr="004E4752" w:rsidRDefault="006F4FA0">
      <w:pPr>
        <w:pStyle w:val="RKnormal"/>
        <w:rPr>
          <w:u w:val="single"/>
        </w:rPr>
      </w:pPr>
      <w:r w:rsidRPr="004E4752">
        <w:rPr>
          <w:u w:val="single"/>
        </w:rPr>
        <w:t>Översynen av utsläppshandeln</w:t>
      </w:r>
    </w:p>
    <w:p w:rsidR="00C91C39" w:rsidRPr="004E4752" w:rsidRDefault="006F4FA0">
      <w:pPr>
        <w:pStyle w:val="RKnormal"/>
      </w:pPr>
      <w:r w:rsidRPr="004E4752">
        <w:t>Kommissionens förslag innebär att utsläppen i den handlande sektorn ska minska med 21procent jämfört med nivån 2005 och att handeln ska omfatta närmare hälften av EU:</w:t>
      </w:r>
      <w:r w:rsidR="009F5B11" w:rsidRPr="004E4752">
        <w:t>s</w:t>
      </w:r>
      <w:r w:rsidRPr="004E4752">
        <w:t xml:space="preserve"> samlade växthusgasutsläpp. Övervakning och kontroll regleras på EU-nivå liksom tilldelningen. Auktionering av utsläppsrätter föreslås av kommissionen bli den huvudsakliga tilldelningsmetoden. Användningen av certifikat för utsläppsminskningar i tredje land begränsas men vidgas när ett internationellt klimatavtal slutits. För industribranscher som är utsatta för konkurrens med företag i länder utan utsläppsrestriktioner föreslår kommissionen att densamma ska kunna föreslå vissa lättnader.</w:t>
      </w:r>
    </w:p>
    <w:p w:rsidR="006F4FA0" w:rsidRPr="004E4752" w:rsidRDefault="006F4FA0">
      <w:pPr>
        <w:pStyle w:val="RKnormal"/>
      </w:pPr>
    </w:p>
    <w:p w:rsidR="006F4FA0" w:rsidRPr="004E4752" w:rsidRDefault="006F4FA0">
      <w:pPr>
        <w:pStyle w:val="RKnormal"/>
        <w:rPr>
          <w:u w:val="single"/>
        </w:rPr>
      </w:pPr>
      <w:r w:rsidRPr="004E4752">
        <w:rPr>
          <w:u w:val="single"/>
        </w:rPr>
        <w:t>Ansvarsfördelningen</w:t>
      </w:r>
    </w:p>
    <w:p w:rsidR="006F4FA0" w:rsidRPr="004E4752" w:rsidRDefault="006F4FA0">
      <w:pPr>
        <w:pStyle w:val="RKnormal"/>
      </w:pPr>
      <w:r w:rsidRPr="004E4752">
        <w:t>Kommissionen föreslår att målet dels uppfylls på EU-nivå genom utsläppshandel i den handlande sektor</w:t>
      </w:r>
      <w:r w:rsidR="009F5B11" w:rsidRPr="004E4752">
        <w:t>n</w:t>
      </w:r>
      <w:r w:rsidRPr="004E4752">
        <w:t xml:space="preserve"> och dels på medlemsstatsnivå i den icke-handlande sektorn. Kommissionen föreslår fördelningsnyckeln BNP per capita med 2005 som basår för att fördela ansvaret bland medlemsstaterna att nå klimatmålet i den icke-handlande sektorn. Kommissionens förslag innebär ett beting på en minskning av utsläppen med 17 procent för Sverige i den icke-handlande sektorn till 2020 jämfört med 2005.</w:t>
      </w:r>
    </w:p>
    <w:p w:rsidR="006F4FA0" w:rsidRPr="004E4752" w:rsidRDefault="006F4FA0">
      <w:pPr>
        <w:pStyle w:val="RKnormal"/>
      </w:pPr>
    </w:p>
    <w:p w:rsidR="006F4FA0" w:rsidRPr="004E4752" w:rsidRDefault="006F4FA0">
      <w:pPr>
        <w:pStyle w:val="RKnormal"/>
        <w:rPr>
          <w:u w:val="single"/>
        </w:rPr>
      </w:pPr>
      <w:r w:rsidRPr="004E4752">
        <w:rPr>
          <w:u w:val="single"/>
        </w:rPr>
        <w:t>Koldioxidlagring</w:t>
      </w:r>
    </w:p>
    <w:p w:rsidR="006F4FA0" w:rsidRPr="004E4752" w:rsidRDefault="006F4FA0" w:rsidP="006F4FA0">
      <w:pPr>
        <w:pStyle w:val="RKnormal"/>
      </w:pPr>
      <w:r w:rsidRPr="004E4752">
        <w:t xml:space="preserve">Direktivförslaget syftar till att åstadkomma ett harmoniserat regelverk för främst koldioxidlagring men i viss mån även för avskiljning av koldioxid och transport till lagringsplatsen. Lagringen ska ske i geologiska formationer och för att en operatör ska få påbörja koldioxidlagring krävs ett lagringstillstånd från medlemsstaten efter det att kommissionen haft möjlighet att yttra sig. När det anses klarlagt att en  stängd lagringsplats inte kommer att läcka kan ansvaret övergå på medlemsstaten. Förslaget innehåller även bestämmelser om övervakning, rapportering och påföljder.  </w:t>
      </w:r>
    </w:p>
    <w:p w:rsidR="00C91C39" w:rsidRPr="004E4752" w:rsidRDefault="00C91C39">
      <w:pPr>
        <w:pStyle w:val="RKrubrik"/>
        <w:rPr>
          <w:i/>
          <w:iCs/>
        </w:rPr>
      </w:pPr>
      <w:r w:rsidRPr="004E4752">
        <w:rPr>
          <w:i/>
          <w:iCs/>
        </w:rPr>
        <w:t>Gällande svenska regler och förslagets effekter på dessa</w:t>
      </w:r>
    </w:p>
    <w:p w:rsidR="00C91C39" w:rsidRPr="004E4752" w:rsidRDefault="009F5B11">
      <w:pPr>
        <w:pStyle w:val="RKnormal"/>
      </w:pPr>
      <w:r w:rsidRPr="004E4752">
        <w:t>Regeringen</w:t>
      </w:r>
      <w:r w:rsidR="000C2D36" w:rsidRPr="004E4752">
        <w:t xml:space="preserve"> arbetar med att minska påverkan på klimatet och det är en av de högst prioriterade frågorna inför det svenska ordförandeskapet i EU hösten 2009. Ytterligare styrmedel och åtgärder för att nå det föreslagna betinget om en 17%-ig reduktion i den icke-handlande sektorn kommer att behövas. Regeringen avser att återkomma med en klimatpolitisk proposition under hösten 2008 med ytterligare åtgärder.</w:t>
      </w:r>
    </w:p>
    <w:p w:rsidR="000C2D36" w:rsidRPr="004E4752" w:rsidRDefault="000C2D36">
      <w:pPr>
        <w:pStyle w:val="RKnormal"/>
      </w:pPr>
    </w:p>
    <w:p w:rsidR="000C2D36" w:rsidRPr="004E4752" w:rsidRDefault="000C2D36">
      <w:pPr>
        <w:pStyle w:val="RKnormal"/>
      </w:pPr>
      <w:r w:rsidRPr="004E4752">
        <w:t>När direktivet om handel med utsläppsrätter ändras behöver lagen (2004:1199) om handel med utsläppsrätter samt tillhörande förordning revideras.</w:t>
      </w:r>
    </w:p>
    <w:p w:rsidR="000C2D36" w:rsidRPr="004E4752" w:rsidRDefault="000C2D36">
      <w:pPr>
        <w:pStyle w:val="RKnormal"/>
      </w:pPr>
    </w:p>
    <w:p w:rsidR="000C2D36" w:rsidRPr="004E4752" w:rsidRDefault="000C2D36">
      <w:pPr>
        <w:pStyle w:val="RKnormal"/>
      </w:pPr>
      <w:r w:rsidRPr="004E4752">
        <w:t>Ingen specifik reglering finns idag i svensk lagstiftning av koldioxidlagring. Ändringar kommer i och med att ett direktiv antas på området att bli nödvändiga i bl.a. Miljöbalken.</w:t>
      </w:r>
    </w:p>
    <w:p w:rsidR="00C91C39" w:rsidRPr="004E4752" w:rsidRDefault="00C91C39">
      <w:pPr>
        <w:pStyle w:val="RKrubrik"/>
      </w:pPr>
      <w:r w:rsidRPr="004E4752">
        <w:t>Ekonomiska konsekvenser</w:t>
      </w:r>
    </w:p>
    <w:p w:rsidR="00C91C39" w:rsidRPr="004E4752" w:rsidRDefault="00D347A4">
      <w:pPr>
        <w:pStyle w:val="RKnormal"/>
      </w:pPr>
      <w:r w:rsidRPr="004E4752">
        <w:t xml:space="preserve">Enligt kommissionens konsekvensanalys beräknas de direkta kostnaderna av paketet i sin helhet på EU-nivå motsvara cirka 0,45 procent av BNP år 2020. För Sverige blir motsvarande siffra 0,78 procent vilket är den högsta andelen av BNP för samtliga </w:t>
      </w:r>
      <w:r w:rsidR="00D74613" w:rsidRPr="004E4752">
        <w:t>medlemsstater</w:t>
      </w:r>
      <w:r w:rsidRPr="004E4752">
        <w:t xml:space="preserve"> sedan de omfördelningar som föreslagits av bl.a. auktionsintäkter räknats in. Per invånare räknat har Sverige en kostnad som är åtminstone dubbelt så hög som genomsnittet inom EU.</w:t>
      </w:r>
    </w:p>
    <w:p w:rsidR="00C91C39" w:rsidRPr="004E4752" w:rsidRDefault="00C91C39">
      <w:pPr>
        <w:pStyle w:val="RKrubrik"/>
      </w:pPr>
      <w:r w:rsidRPr="004E4752">
        <w:t>Övrigt</w:t>
      </w:r>
    </w:p>
    <w:p w:rsidR="00965428" w:rsidRPr="004E4752" w:rsidRDefault="00965428" w:rsidP="00965428">
      <w:pPr>
        <w:pStyle w:val="RKnormal"/>
      </w:pPr>
      <w:r w:rsidRPr="004E4752">
        <w:rPr>
          <w:b/>
        </w:rPr>
        <w:t>Annex I-länder</w:t>
      </w:r>
      <w:r w:rsidRPr="004E4752">
        <w:t xml:space="preserve"> – de länder som har kvantitativa bindande utsläppsminskningsåtaganden under Kyotoprotokollet, dvs. i-länder.</w:t>
      </w:r>
    </w:p>
    <w:p w:rsidR="00965428" w:rsidRPr="004E4752" w:rsidRDefault="00965428" w:rsidP="00965428">
      <w:pPr>
        <w:pStyle w:val="RKnormal"/>
      </w:pPr>
    </w:p>
    <w:p w:rsidR="00965428" w:rsidRPr="004E4752" w:rsidRDefault="00965428" w:rsidP="00965428">
      <w:pPr>
        <w:pStyle w:val="RKnormal"/>
      </w:pPr>
      <w:r w:rsidRPr="004E4752">
        <w:rPr>
          <w:b/>
        </w:rPr>
        <w:t>CDM</w:t>
      </w:r>
      <w:r w:rsidRPr="004E4752">
        <w:t xml:space="preserve"> – </w:t>
      </w:r>
      <w:r w:rsidRPr="004E4752">
        <w:rPr>
          <w:i/>
        </w:rPr>
        <w:t>Clean Development Mechanism</w:t>
      </w:r>
      <w:r w:rsidRPr="004E4752">
        <w:t xml:space="preserve"> – mekanismen för ren utveckling, dvs. konkreta och av FN reglerade utsläppsminskningsprojekt i icke-Annex I länder (läs utvecklingsländer) som genererar utsläppskrediter. </w:t>
      </w:r>
    </w:p>
    <w:p w:rsidR="00965428" w:rsidRPr="004E4752" w:rsidRDefault="00965428" w:rsidP="00965428">
      <w:pPr>
        <w:pStyle w:val="RKnormal"/>
      </w:pPr>
    </w:p>
    <w:p w:rsidR="00965428" w:rsidRPr="004E4752" w:rsidRDefault="00965428" w:rsidP="00965428">
      <w:pPr>
        <w:pStyle w:val="RKnormal"/>
      </w:pPr>
      <w:r w:rsidRPr="004E4752">
        <w:rPr>
          <w:b/>
        </w:rPr>
        <w:t>ETS</w:t>
      </w:r>
      <w:r w:rsidRPr="004E4752">
        <w:t xml:space="preserve"> – </w:t>
      </w:r>
      <w:r w:rsidRPr="004E4752">
        <w:rPr>
          <w:i/>
        </w:rPr>
        <w:t>Emissions Trading Scheme</w:t>
      </w:r>
      <w:r w:rsidRPr="004E4752">
        <w:t xml:space="preserve"> – Utsläppshandelssystemet i EU</w:t>
      </w:r>
    </w:p>
    <w:p w:rsidR="00965428" w:rsidRPr="004E4752" w:rsidRDefault="00965428" w:rsidP="00965428">
      <w:pPr>
        <w:pStyle w:val="RKnormal"/>
      </w:pPr>
    </w:p>
    <w:p w:rsidR="00965428" w:rsidRPr="004E4752" w:rsidRDefault="00965428" w:rsidP="00965428">
      <w:pPr>
        <w:pStyle w:val="RKnormal"/>
      </w:pPr>
      <w:r w:rsidRPr="004E4752">
        <w:rPr>
          <w:b/>
        </w:rPr>
        <w:t>Icke Annex-I länder</w:t>
      </w:r>
      <w:r w:rsidRPr="004E4752">
        <w:t xml:space="preserve"> – de länder som inte har kvantitativa bindande utsläppminskningsåtaganden under Kyotoprotokollet, dvs. u-länder.</w:t>
      </w:r>
    </w:p>
    <w:p w:rsidR="00965428" w:rsidRPr="004E4752" w:rsidRDefault="00965428" w:rsidP="00965428">
      <w:pPr>
        <w:pStyle w:val="RKnormal"/>
      </w:pPr>
    </w:p>
    <w:p w:rsidR="00965428" w:rsidRPr="004E4752" w:rsidRDefault="00965428" w:rsidP="00965428">
      <w:pPr>
        <w:pStyle w:val="RKnormal"/>
      </w:pPr>
      <w:r w:rsidRPr="004E4752">
        <w:rPr>
          <w:b/>
        </w:rPr>
        <w:t>JI</w:t>
      </w:r>
      <w:r w:rsidRPr="004E4752">
        <w:t xml:space="preserve"> – </w:t>
      </w:r>
      <w:r w:rsidRPr="004E4752">
        <w:rPr>
          <w:i/>
        </w:rPr>
        <w:t>Joint Implementation</w:t>
      </w:r>
      <w:r w:rsidRPr="004E4752">
        <w:t xml:space="preserve"> – Gemensamt genomförande, dvs. konkreta och av FN reglerade utsläppsminskningsprojekt i Annex-I länder (läs andra i-länder) som genererar utsläppskrediter.</w:t>
      </w:r>
    </w:p>
    <w:p w:rsidR="00965428" w:rsidRPr="004E4752" w:rsidRDefault="00965428" w:rsidP="00965428">
      <w:pPr>
        <w:pStyle w:val="RKnormal"/>
      </w:pPr>
    </w:p>
    <w:p w:rsidR="00965428" w:rsidRPr="004E4752" w:rsidRDefault="00965428" w:rsidP="00965428">
      <w:pPr>
        <w:pStyle w:val="RKnormal"/>
      </w:pPr>
      <w:r w:rsidRPr="004E4752">
        <w:rPr>
          <w:b/>
        </w:rPr>
        <w:t>Kyotoprotokollet</w:t>
      </w:r>
      <w:r w:rsidRPr="004E4752">
        <w:t xml:space="preserve"> – det juridiska instrument under Klimatkonventionen där utsläppsbegränsningarna för Annex-I länder för den första åtagandeperioded 2008-2012 lagts fast.</w:t>
      </w:r>
    </w:p>
    <w:p w:rsidR="00965428" w:rsidRPr="004E4752" w:rsidRDefault="00965428" w:rsidP="00965428">
      <w:pPr>
        <w:pStyle w:val="RKnormal"/>
      </w:pPr>
    </w:p>
    <w:p w:rsidR="00C91C39" w:rsidRPr="004E4752" w:rsidRDefault="00965428">
      <w:pPr>
        <w:pStyle w:val="RKnormal"/>
      </w:pPr>
      <w:r w:rsidRPr="004E4752">
        <w:rPr>
          <w:b/>
        </w:rPr>
        <w:t>UNFCCC</w:t>
      </w:r>
      <w:r w:rsidRPr="004E4752">
        <w:t xml:space="preserve"> – United Nations Framework Convention on Climate Change – FN:s ramkonvention för klimatförändring</w:t>
      </w:r>
    </w:p>
    <w:p w:rsidR="00C91C39" w:rsidRPr="004E4752" w:rsidRDefault="00C91C39">
      <w:pPr>
        <w:pStyle w:val="RKnormal"/>
      </w:pPr>
    </w:p>
    <w:sectPr w:rsidR="00C91C39" w:rsidRPr="004E47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904" w:rsidRPr="004E4752" w:rsidRDefault="00827904">
      <w:r w:rsidRPr="004E4752">
        <w:separator/>
      </w:r>
    </w:p>
  </w:endnote>
  <w:endnote w:type="continuationSeparator" w:id="0">
    <w:p w:rsidR="00827904" w:rsidRPr="004E4752" w:rsidRDefault="00827904">
      <w:r w:rsidRPr="004E4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904" w:rsidRPr="004E4752" w:rsidRDefault="00827904">
      <w:r w:rsidRPr="004E4752">
        <w:separator/>
      </w:r>
    </w:p>
  </w:footnote>
  <w:footnote w:type="continuationSeparator" w:id="0">
    <w:p w:rsidR="00827904" w:rsidRPr="004E4752" w:rsidRDefault="00827904">
      <w:r w:rsidRPr="004E4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613" w:rsidRPr="004E4752" w:rsidRDefault="00D74613">
    <w:pPr>
      <w:pStyle w:val="Sidhuvud"/>
      <w:framePr w:wrap="around" w:vAnchor="text" w:hAnchor="margin" w:xAlign="right" w:y="1"/>
      <w:rPr>
        <w:rStyle w:val="Sidnummer"/>
      </w:rPr>
    </w:pPr>
    <w:r w:rsidRPr="004E4752">
      <w:rPr>
        <w:rStyle w:val="Sidnummer"/>
      </w:rPr>
      <w:fldChar w:fldCharType="begin" w:fldLock="1"/>
    </w:r>
    <w:r w:rsidRPr="004E4752">
      <w:rPr>
        <w:rStyle w:val="Sidnummer"/>
      </w:rPr>
      <w:instrText xml:space="preserve">PAGE  </w:instrText>
    </w:r>
    <w:r w:rsidRPr="004E4752">
      <w:rPr>
        <w:rStyle w:val="Sidnummer"/>
      </w:rPr>
      <w:fldChar w:fldCharType="separate"/>
    </w:r>
    <w:r w:rsidRPr="004E4752">
      <w:rPr>
        <w:rStyle w:val="Sidnummer"/>
      </w:rPr>
      <w:t>4</w:t>
    </w:r>
    <w:r w:rsidRPr="004E47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74613" w:rsidRPr="004E4752">
      <w:tblPrEx>
        <w:tblCellMar>
          <w:top w:w="0" w:type="dxa"/>
          <w:bottom w:w="0" w:type="dxa"/>
        </w:tblCellMar>
      </w:tblPrEx>
      <w:trPr>
        <w:cantSplit/>
      </w:trPr>
      <w:tc>
        <w:tcPr>
          <w:tcW w:w="3119" w:type="dxa"/>
        </w:tcPr>
        <w:p w:rsidR="00D74613" w:rsidRPr="004E4752" w:rsidRDefault="00D74613">
          <w:pPr>
            <w:pStyle w:val="Sidhuvud"/>
            <w:spacing w:line="200" w:lineRule="atLeast"/>
            <w:ind w:right="357"/>
            <w:rPr>
              <w:rFonts w:ascii="TradeGothic" w:hAnsi="TradeGothic"/>
              <w:b/>
              <w:bCs/>
              <w:sz w:val="16"/>
            </w:rPr>
          </w:pPr>
        </w:p>
      </w:tc>
      <w:tc>
        <w:tcPr>
          <w:tcW w:w="4111" w:type="dxa"/>
          <w:tcMar>
            <w:left w:w="567" w:type="dxa"/>
          </w:tcMar>
        </w:tcPr>
        <w:p w:rsidR="00D74613" w:rsidRPr="004E4752" w:rsidRDefault="00D74613">
          <w:pPr>
            <w:pStyle w:val="Sidhuvud"/>
            <w:ind w:right="360"/>
          </w:pPr>
        </w:p>
      </w:tc>
      <w:tc>
        <w:tcPr>
          <w:tcW w:w="1525" w:type="dxa"/>
        </w:tcPr>
        <w:p w:rsidR="00D74613" w:rsidRPr="004E4752" w:rsidRDefault="00D74613">
          <w:pPr>
            <w:pStyle w:val="Sidhuvud"/>
            <w:ind w:right="360"/>
          </w:pPr>
        </w:p>
      </w:tc>
    </w:tr>
  </w:tbl>
  <w:p w:rsidR="00D74613" w:rsidRPr="004E4752" w:rsidRDefault="00D7461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613" w:rsidRPr="004E4752" w:rsidRDefault="00D74613">
    <w:pPr>
      <w:pStyle w:val="Sidhuvud"/>
      <w:framePr w:wrap="around" w:vAnchor="text" w:hAnchor="margin" w:xAlign="right" w:y="1"/>
      <w:rPr>
        <w:rStyle w:val="Sidnummer"/>
      </w:rPr>
    </w:pPr>
    <w:r w:rsidRPr="004E4752">
      <w:rPr>
        <w:rStyle w:val="Sidnummer"/>
      </w:rPr>
      <w:fldChar w:fldCharType="begin" w:fldLock="1"/>
    </w:r>
    <w:r w:rsidRPr="004E4752">
      <w:rPr>
        <w:rStyle w:val="Sidnummer"/>
      </w:rPr>
      <w:instrText xml:space="preserve">PAGE  </w:instrText>
    </w:r>
    <w:r w:rsidRPr="004E4752">
      <w:rPr>
        <w:rStyle w:val="Sidnummer"/>
      </w:rPr>
      <w:fldChar w:fldCharType="separate"/>
    </w:r>
    <w:r w:rsidRPr="004E4752">
      <w:rPr>
        <w:rStyle w:val="Sidnummer"/>
      </w:rPr>
      <w:t>5</w:t>
    </w:r>
    <w:r w:rsidRPr="004E47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74613" w:rsidRPr="004E4752">
      <w:tblPrEx>
        <w:tblCellMar>
          <w:top w:w="0" w:type="dxa"/>
          <w:bottom w:w="0" w:type="dxa"/>
        </w:tblCellMar>
      </w:tblPrEx>
      <w:trPr>
        <w:cantSplit/>
      </w:trPr>
      <w:tc>
        <w:tcPr>
          <w:tcW w:w="3119" w:type="dxa"/>
        </w:tcPr>
        <w:p w:rsidR="00D74613" w:rsidRPr="004E4752" w:rsidRDefault="00D74613">
          <w:pPr>
            <w:pStyle w:val="Sidhuvud"/>
            <w:spacing w:line="200" w:lineRule="atLeast"/>
            <w:ind w:right="357"/>
            <w:rPr>
              <w:rFonts w:ascii="TradeGothic" w:hAnsi="TradeGothic"/>
              <w:b/>
              <w:bCs/>
              <w:sz w:val="16"/>
            </w:rPr>
          </w:pPr>
        </w:p>
      </w:tc>
      <w:tc>
        <w:tcPr>
          <w:tcW w:w="4111" w:type="dxa"/>
          <w:tcMar>
            <w:left w:w="567" w:type="dxa"/>
          </w:tcMar>
        </w:tcPr>
        <w:p w:rsidR="00D74613" w:rsidRPr="004E4752" w:rsidRDefault="00D74613">
          <w:pPr>
            <w:pStyle w:val="Sidhuvud"/>
            <w:ind w:right="360"/>
          </w:pPr>
        </w:p>
      </w:tc>
      <w:tc>
        <w:tcPr>
          <w:tcW w:w="1525" w:type="dxa"/>
        </w:tcPr>
        <w:p w:rsidR="00D74613" w:rsidRPr="004E4752" w:rsidRDefault="00D74613">
          <w:pPr>
            <w:pStyle w:val="Sidhuvud"/>
            <w:ind w:right="360"/>
          </w:pPr>
        </w:p>
      </w:tc>
    </w:tr>
  </w:tbl>
  <w:p w:rsidR="00D74613" w:rsidRPr="004E4752" w:rsidRDefault="00D7461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613" w:rsidRPr="004E4752" w:rsidRDefault="004E4752">
    <w:pPr>
      <w:framePr w:w="2948" w:h="1321" w:hRule="exact" w:wrap="notBeside" w:vAnchor="page" w:hAnchor="page" w:x="1362" w:y="653"/>
    </w:pPr>
    <w:r w:rsidRPr="004E475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74613" w:rsidRPr="004E4752" w:rsidRDefault="00D74613">
    <w:pPr>
      <w:pStyle w:val="RKrubrik"/>
      <w:keepNext w:val="0"/>
      <w:tabs>
        <w:tab w:val="clear" w:pos="1134"/>
        <w:tab w:val="clear" w:pos="2835"/>
      </w:tabs>
      <w:spacing w:before="0" w:after="0" w:line="320" w:lineRule="atLeast"/>
      <w:rPr>
        <w:bCs/>
      </w:rPr>
    </w:pPr>
  </w:p>
  <w:p w:rsidR="00D74613" w:rsidRPr="004E4752" w:rsidRDefault="00D74613">
    <w:pPr>
      <w:rPr>
        <w:rFonts w:ascii="TradeGothic" w:hAnsi="TradeGothic"/>
        <w:b/>
        <w:bCs/>
        <w:spacing w:val="12"/>
        <w:sz w:val="22"/>
      </w:rPr>
    </w:pPr>
  </w:p>
  <w:p w:rsidR="00D74613" w:rsidRPr="004E4752" w:rsidRDefault="00D74613">
    <w:pPr>
      <w:pStyle w:val="RKrubrik"/>
      <w:keepNext w:val="0"/>
      <w:tabs>
        <w:tab w:val="clear" w:pos="1134"/>
        <w:tab w:val="clear" w:pos="2835"/>
      </w:tabs>
      <w:spacing w:before="0" w:after="0" w:line="320" w:lineRule="atLeast"/>
      <w:rPr>
        <w:bCs/>
      </w:rPr>
    </w:pPr>
  </w:p>
  <w:p w:rsidR="00D74613" w:rsidRPr="004E4752" w:rsidRDefault="00D7461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3" w15:restartNumberingAfterBreak="0">
    <w:nsid w:val="70BB7437"/>
    <w:multiLevelType w:val="hybridMultilevel"/>
    <w:tmpl w:val="78FCD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605343">
    <w:abstractNumId w:val="1"/>
  </w:num>
  <w:num w:numId="2" w16cid:durableId="1982345558">
    <w:abstractNumId w:val="3"/>
  </w:num>
  <w:num w:numId="3" w16cid:durableId="2043288242">
    <w:abstractNumId w:val="0"/>
  </w:num>
  <w:num w:numId="4" w16cid:durableId="159535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512A61"/>
    <w:rsid w:val="000417DB"/>
    <w:rsid w:val="000C2D36"/>
    <w:rsid w:val="003306CC"/>
    <w:rsid w:val="0035536A"/>
    <w:rsid w:val="004E4752"/>
    <w:rsid w:val="00512A61"/>
    <w:rsid w:val="00577EDE"/>
    <w:rsid w:val="0058562E"/>
    <w:rsid w:val="006F4FA0"/>
    <w:rsid w:val="00827904"/>
    <w:rsid w:val="00920628"/>
    <w:rsid w:val="00940FD9"/>
    <w:rsid w:val="00965428"/>
    <w:rsid w:val="009F5B11"/>
    <w:rsid w:val="00A210A2"/>
    <w:rsid w:val="00A763DB"/>
    <w:rsid w:val="00C05B06"/>
    <w:rsid w:val="00C91C39"/>
    <w:rsid w:val="00D347A4"/>
    <w:rsid w:val="00D74613"/>
    <w:rsid w:val="00F4408A"/>
    <w:rsid w:val="00F95753"/>
    <w:rsid w:val="00FD26C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8D95F0-349B-4B3F-ABA6-1BB66030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12A61"/>
    <w:rPr>
      <w:rFonts w:ascii="OrigGarmnd BT" w:hAnsi="OrigGarmnd BT"/>
      <w:sz w:val="24"/>
      <w:lang w:val="sv-SE" w:eastAsia="en-US" w:bidi="ar-SA"/>
    </w:rPr>
  </w:style>
  <w:style w:type="character" w:customStyle="1" w:styleId="RKrubrikChar">
    <w:name w:val="RKrubrik Char"/>
    <w:basedOn w:val="RKnormalChar"/>
    <w:link w:val="RKrubrik"/>
    <w:rsid w:val="00FD26C3"/>
    <w:rPr>
      <w:rFonts w:ascii="TradeGothic" w:hAnsi="TradeGothic"/>
      <w:b/>
      <w:sz w:val="22"/>
      <w:lang w:val="sv-SE" w:eastAsia="en-US" w:bidi="ar-SA"/>
    </w:rPr>
  </w:style>
  <w:style w:type="paragraph" w:customStyle="1" w:styleId="Par-number1">
    <w:name w:val="Par-number 1."/>
    <w:basedOn w:val="Normal"/>
    <w:next w:val="Normal"/>
    <w:link w:val="Par-number1Char"/>
    <w:rsid w:val="009F5B11"/>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9F5B11"/>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9F5B11"/>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1392</Words>
  <Characters>9162</Characters>
  <Application>Microsoft Office Word</Application>
  <DocSecurity>4</DocSecurity>
  <Lines>229</Lines>
  <Paragraphs>73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2008-10-08T12:06:00Z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