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788D1E4B" w:rsidR="00F65DF8" w:rsidRPr="0012669A" w:rsidRDefault="00197781" w:rsidP="00F65DF8">
            <w:pPr>
              <w:rPr>
                <w:b/>
              </w:rPr>
            </w:pPr>
            <w:r w:rsidRPr="0012669A">
              <w:rPr>
                <w:b/>
              </w:rPr>
              <w:t>UTSKOTTSSAMMANTRÄDE 20</w:t>
            </w:r>
            <w:r w:rsidR="002C5A9C">
              <w:rPr>
                <w:b/>
              </w:rPr>
              <w:t>2</w:t>
            </w:r>
            <w:r w:rsidR="009F42FA">
              <w:rPr>
                <w:b/>
              </w:rPr>
              <w:t>4</w:t>
            </w:r>
            <w:r w:rsidRPr="0012669A">
              <w:rPr>
                <w:b/>
              </w:rPr>
              <w:t>/</w:t>
            </w:r>
            <w:r w:rsidR="00113C2E" w:rsidRPr="0012669A">
              <w:rPr>
                <w:b/>
              </w:rPr>
              <w:t>2</w:t>
            </w:r>
            <w:r w:rsidR="009F42FA">
              <w:rPr>
                <w:b/>
              </w:rPr>
              <w:t>5</w:t>
            </w:r>
            <w:r w:rsidR="0060686F">
              <w:rPr>
                <w:b/>
              </w:rPr>
              <w:t>:</w:t>
            </w:r>
            <w:r w:rsidR="00824BBE">
              <w:rPr>
                <w:b/>
              </w:rPr>
              <w:t>30</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325D9A64" w:rsidR="00F65DF8" w:rsidRPr="0012669A" w:rsidRDefault="00D46F51" w:rsidP="005F596C">
            <w:r w:rsidRPr="0012669A">
              <w:t>20</w:t>
            </w:r>
            <w:r w:rsidR="00F053F8" w:rsidRPr="0012669A">
              <w:t>2</w:t>
            </w:r>
            <w:r w:rsidR="00583C98">
              <w:t>5</w:t>
            </w:r>
            <w:r w:rsidRPr="0012669A">
              <w:t>-</w:t>
            </w:r>
            <w:r w:rsidR="00583C98">
              <w:t>0</w:t>
            </w:r>
            <w:r w:rsidR="00313C01">
              <w:t>4</w:t>
            </w:r>
            <w:r w:rsidR="005F28AA">
              <w:t>-</w:t>
            </w:r>
            <w:r w:rsidR="00824BBE">
              <w:t>22</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73478901" w:rsidR="005A0CF3" w:rsidRPr="0012669A" w:rsidRDefault="00313C01" w:rsidP="00920FCA">
            <w:r>
              <w:t>1</w:t>
            </w:r>
            <w:r w:rsidR="00824BBE">
              <w:t>1</w:t>
            </w:r>
            <w:r w:rsidR="006A30F1">
              <w:t>.</w:t>
            </w:r>
            <w:r w:rsidR="000424DB">
              <w:t>0</w:t>
            </w:r>
            <w:r w:rsidR="00AC75E3">
              <w:t>0</w:t>
            </w:r>
            <w:r w:rsidR="0073639C">
              <w:t>–</w:t>
            </w:r>
            <w:r w:rsidR="00EB6DD7">
              <w:t>12.05</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2DD7ED9A" w14:textId="77777777" w:rsidR="00B338B9" w:rsidRDefault="00B338B9"/>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583C98" w:rsidRPr="006C0F9A" w14:paraId="552EECE4" w14:textId="77777777" w:rsidTr="001324AA">
        <w:trPr>
          <w:trHeight w:val="950"/>
        </w:trPr>
        <w:tc>
          <w:tcPr>
            <w:tcW w:w="567" w:type="dxa"/>
          </w:tcPr>
          <w:p w14:paraId="353F0940" w14:textId="22B78D7B" w:rsidR="00583C98" w:rsidRDefault="00583C98" w:rsidP="00DC0D46">
            <w:pPr>
              <w:tabs>
                <w:tab w:val="left" w:pos="1701"/>
              </w:tabs>
              <w:rPr>
                <w:b/>
                <w:snapToGrid w:val="0"/>
              </w:rPr>
            </w:pPr>
            <w:r>
              <w:rPr>
                <w:b/>
                <w:snapToGrid w:val="0"/>
              </w:rPr>
              <w:t>§ 1</w:t>
            </w:r>
          </w:p>
        </w:tc>
        <w:tc>
          <w:tcPr>
            <w:tcW w:w="7162" w:type="dxa"/>
          </w:tcPr>
          <w:p w14:paraId="51859CAA" w14:textId="77777777" w:rsidR="009B631B" w:rsidRPr="006C0F9A" w:rsidRDefault="009B631B" w:rsidP="009B631B">
            <w:pPr>
              <w:widowControl w:val="0"/>
              <w:tabs>
                <w:tab w:val="left" w:pos="1701"/>
              </w:tabs>
              <w:rPr>
                <w:b/>
                <w:bCs/>
              </w:rPr>
            </w:pPr>
            <w:r w:rsidRPr="006C0F9A">
              <w:rPr>
                <w:b/>
                <w:bCs/>
              </w:rPr>
              <w:t>Justering av protokoll</w:t>
            </w:r>
          </w:p>
          <w:p w14:paraId="0DD81362" w14:textId="77777777" w:rsidR="009B631B" w:rsidRPr="006C0F9A" w:rsidRDefault="009B631B" w:rsidP="009B631B">
            <w:pPr>
              <w:widowControl w:val="0"/>
              <w:tabs>
                <w:tab w:val="left" w:pos="1701"/>
              </w:tabs>
              <w:rPr>
                <w:b/>
                <w:bCs/>
              </w:rPr>
            </w:pPr>
          </w:p>
          <w:p w14:paraId="356C401D" w14:textId="757663AB" w:rsidR="009B631B" w:rsidRPr="006C0F9A" w:rsidRDefault="009B631B" w:rsidP="009B631B">
            <w:pPr>
              <w:widowControl w:val="0"/>
              <w:tabs>
                <w:tab w:val="left" w:pos="1701"/>
              </w:tabs>
            </w:pPr>
            <w:r w:rsidRPr="006C0F9A">
              <w:t xml:space="preserve">Utskottet justerade protokoll </w:t>
            </w:r>
            <w:r>
              <w:t>2024/25:</w:t>
            </w:r>
            <w:r w:rsidR="004A2EE1">
              <w:t>2</w:t>
            </w:r>
            <w:r w:rsidR="00824BBE">
              <w:t>9</w:t>
            </w:r>
            <w:r w:rsidRPr="006C0F9A">
              <w:t>.</w:t>
            </w:r>
          </w:p>
          <w:p w14:paraId="4E52AFCB" w14:textId="6F12243A" w:rsidR="00583C98" w:rsidRPr="000D2A40" w:rsidRDefault="00583C98" w:rsidP="000F537F">
            <w:pPr>
              <w:widowControl w:val="0"/>
              <w:tabs>
                <w:tab w:val="left" w:pos="1701"/>
              </w:tabs>
              <w:rPr>
                <w:b/>
                <w:bCs/>
              </w:rPr>
            </w:pPr>
          </w:p>
        </w:tc>
      </w:tr>
      <w:tr w:rsidR="00824BBE" w:rsidRPr="006C0F9A" w14:paraId="663E091E" w14:textId="77777777" w:rsidTr="001324AA">
        <w:trPr>
          <w:trHeight w:val="950"/>
        </w:trPr>
        <w:tc>
          <w:tcPr>
            <w:tcW w:w="567" w:type="dxa"/>
          </w:tcPr>
          <w:p w14:paraId="5C12745D" w14:textId="390BB770" w:rsidR="00824BBE" w:rsidRDefault="00824BBE" w:rsidP="00DC0D46">
            <w:pPr>
              <w:tabs>
                <w:tab w:val="left" w:pos="1701"/>
              </w:tabs>
              <w:rPr>
                <w:b/>
                <w:snapToGrid w:val="0"/>
              </w:rPr>
            </w:pPr>
            <w:r>
              <w:rPr>
                <w:b/>
                <w:snapToGrid w:val="0"/>
              </w:rPr>
              <w:t>§ 2</w:t>
            </w:r>
          </w:p>
        </w:tc>
        <w:tc>
          <w:tcPr>
            <w:tcW w:w="7162" w:type="dxa"/>
          </w:tcPr>
          <w:p w14:paraId="4C229CDD" w14:textId="71A48C28" w:rsidR="00824BBE" w:rsidRDefault="00824BBE" w:rsidP="00824BBE">
            <w:pPr>
              <w:spacing w:after="200" w:line="280" w:lineRule="exact"/>
            </w:pPr>
            <w:r w:rsidRPr="00824BBE">
              <w:rPr>
                <w:b/>
                <w:bCs/>
              </w:rPr>
              <w:t>En konkurrenskraftskompass för EU</w:t>
            </w:r>
          </w:p>
          <w:p w14:paraId="7B724FD5" w14:textId="6BBB1CCD" w:rsidR="004431F3" w:rsidRDefault="004431F3" w:rsidP="004431F3">
            <w:pPr>
              <w:widowControl w:val="0"/>
              <w:tabs>
                <w:tab w:val="left" w:pos="1701"/>
              </w:tabs>
              <w:rPr>
                <w:szCs w:val="23"/>
              </w:rPr>
            </w:pPr>
            <w:r w:rsidRPr="00EC1072">
              <w:rPr>
                <w:szCs w:val="23"/>
              </w:rPr>
              <w:t>Utskottet överlade med</w:t>
            </w:r>
            <w:r>
              <w:rPr>
                <w:szCs w:val="23"/>
              </w:rPr>
              <w:t xml:space="preserve"> </w:t>
            </w:r>
            <w:r>
              <w:t>s</w:t>
            </w:r>
            <w:r w:rsidRPr="0057676D">
              <w:t>tatssekreterare Christian Danielsson</w:t>
            </w:r>
            <w:r w:rsidRPr="00EC1072">
              <w:rPr>
                <w:szCs w:val="23"/>
              </w:rPr>
              <w:t xml:space="preserve">, biträdd av </w:t>
            </w:r>
          </w:p>
          <w:p w14:paraId="6B6D9434" w14:textId="47E9F7C2" w:rsidR="004431F3" w:rsidRPr="00583C98" w:rsidRDefault="004431F3" w:rsidP="004431F3">
            <w:pPr>
              <w:widowControl w:val="0"/>
              <w:tabs>
                <w:tab w:val="left" w:pos="1701"/>
              </w:tabs>
              <w:rPr>
                <w:color w:val="000000"/>
                <w:szCs w:val="23"/>
                <w:shd w:val="clear" w:color="auto" w:fill="FFFFFF"/>
              </w:rPr>
            </w:pPr>
            <w:r w:rsidRPr="00EC1072">
              <w:rPr>
                <w:szCs w:val="23"/>
              </w:rPr>
              <w:t xml:space="preserve">medarbetare från </w:t>
            </w:r>
            <w:r w:rsidR="001A1512" w:rsidRPr="001A1512">
              <w:rPr>
                <w:szCs w:val="23"/>
              </w:rPr>
              <w:t>Statsrådsberedningen</w:t>
            </w:r>
            <w:r>
              <w:rPr>
                <w:color w:val="000000"/>
                <w:szCs w:val="23"/>
                <w:shd w:val="clear" w:color="auto" w:fill="FFFFFF"/>
              </w:rPr>
              <w:t>.</w:t>
            </w:r>
          </w:p>
          <w:p w14:paraId="65DB6DD3" w14:textId="77777777" w:rsidR="004431F3" w:rsidRDefault="004431F3" w:rsidP="004431F3">
            <w:pPr>
              <w:widowControl w:val="0"/>
              <w:tabs>
                <w:tab w:val="left" w:pos="1701"/>
              </w:tabs>
              <w:rPr>
                <w:b/>
                <w:bCs/>
                <w:szCs w:val="23"/>
              </w:rPr>
            </w:pPr>
          </w:p>
          <w:p w14:paraId="2E1116E3" w14:textId="04FE5192" w:rsidR="004431F3" w:rsidRDefault="004431F3" w:rsidP="004431F3">
            <w:pPr>
              <w:widowControl w:val="0"/>
              <w:tabs>
                <w:tab w:val="left" w:pos="1701"/>
              </w:tabs>
            </w:pPr>
            <w:r w:rsidRPr="00583C98">
              <w:t>Underlaget utgjordes faktapromemoria 202</w:t>
            </w:r>
            <w:r>
              <w:t>4</w:t>
            </w:r>
            <w:r w:rsidRPr="00583C98">
              <w:t>/</w:t>
            </w:r>
            <w:proofErr w:type="gramStart"/>
            <w:r w:rsidRPr="00583C98">
              <w:t>2</w:t>
            </w:r>
            <w:r>
              <w:t>5</w:t>
            </w:r>
            <w:r w:rsidRPr="00583C98">
              <w:t>:FPM</w:t>
            </w:r>
            <w:proofErr w:type="gramEnd"/>
            <w:r>
              <w:t xml:space="preserve">16 </w:t>
            </w:r>
            <w:r w:rsidRPr="004431F3">
              <w:t>En konkurrenskraftskompass för EU</w:t>
            </w:r>
            <w:r>
              <w:t>.</w:t>
            </w:r>
          </w:p>
          <w:p w14:paraId="60A7D722" w14:textId="77777777" w:rsidR="004431F3" w:rsidRDefault="004431F3" w:rsidP="004431F3">
            <w:pPr>
              <w:widowControl w:val="0"/>
              <w:tabs>
                <w:tab w:val="left" w:pos="1701"/>
              </w:tabs>
            </w:pPr>
          </w:p>
          <w:p w14:paraId="21F516EF" w14:textId="5E479B61" w:rsidR="004431F3" w:rsidRDefault="001A1512" w:rsidP="004431F3">
            <w:pPr>
              <w:widowControl w:val="0"/>
              <w:tabs>
                <w:tab w:val="left" w:pos="1701"/>
              </w:tabs>
              <w:rPr>
                <w:color w:val="000000"/>
                <w:szCs w:val="23"/>
                <w:shd w:val="clear" w:color="auto" w:fill="FFFFFF"/>
              </w:rPr>
            </w:pPr>
            <w:r>
              <w:t>S</w:t>
            </w:r>
            <w:r w:rsidRPr="001A1512">
              <w:t>tatssekreterare Christian Danielsson</w:t>
            </w:r>
            <w:r w:rsidR="000726F3">
              <w:t xml:space="preserve"> </w:t>
            </w:r>
            <w:r w:rsidR="004431F3" w:rsidRPr="005E2B1F">
              <w:t>redogjorde för regeringens ståndpunkt i enlighet med faktapromemorian:</w:t>
            </w:r>
          </w:p>
          <w:p w14:paraId="527D91A9" w14:textId="77777777" w:rsidR="004431F3" w:rsidRDefault="004431F3" w:rsidP="004431F3">
            <w:pPr>
              <w:widowControl w:val="0"/>
              <w:tabs>
                <w:tab w:val="left" w:pos="1701"/>
              </w:tabs>
              <w:rPr>
                <w:color w:val="000000"/>
                <w:szCs w:val="23"/>
                <w:shd w:val="clear" w:color="auto" w:fill="FFFFFF"/>
              </w:rPr>
            </w:pPr>
          </w:p>
          <w:p w14:paraId="11FE6297" w14:textId="77777777" w:rsidR="004431F3" w:rsidRDefault="004431F3" w:rsidP="004431F3">
            <w:pPr>
              <w:ind w:left="573"/>
            </w:pPr>
            <w:r>
              <w:t xml:space="preserve">Regeringen välkomnar kommissionens meddelande om en konkurrenskraftskompass för EU. EU behöver stärka konkurrenskraften för att säkerställa en positiv utveckling för tillväxt, handel och jobb i unionen samt för att klara klimatomställningen. Ökad tillväxt är också en förutsättning för Europas säkerhet i en alltmer </w:t>
            </w:r>
          </w:p>
          <w:p w14:paraId="2FC5AC1D" w14:textId="6718FCF1" w:rsidR="004431F3" w:rsidRDefault="004431F3" w:rsidP="004431F3">
            <w:pPr>
              <w:ind w:left="573"/>
              <w:rPr>
                <w:color w:val="000000"/>
              </w:rPr>
            </w:pPr>
            <w:r>
              <w:t>utmanande omvärld.</w:t>
            </w:r>
            <w:r>
              <w:rPr>
                <w:color w:val="000000"/>
              </w:rPr>
              <w:t xml:space="preserve"> </w:t>
            </w:r>
          </w:p>
          <w:p w14:paraId="44AC8B55" w14:textId="77777777" w:rsidR="004431F3" w:rsidRDefault="004431F3" w:rsidP="004431F3">
            <w:pPr>
              <w:ind w:left="573"/>
            </w:pPr>
          </w:p>
          <w:p w14:paraId="5BD0C60E" w14:textId="77777777" w:rsidR="008823ED" w:rsidRDefault="004431F3" w:rsidP="004431F3">
            <w:pPr>
              <w:ind w:left="573"/>
            </w:pPr>
            <w:r>
              <w:t xml:space="preserve">Som utgångspunkt anser regeringen att stärkt produktivitet och goda ramvillkor är förutsättningar för EU:s konkurrenskraft. Regeringen verkar för att fortsatta åtgärder på konkurrenskraftsområdet fokuserar på en fördjupad inre marknad genom bl.a. ökad efterlevnad, borttagande av handelshinder för tjänster, regelförenkling och minskad regelbörda för företag, ökad öppenhet, regelbaserad </w:t>
            </w:r>
          </w:p>
          <w:p w14:paraId="430C62CD" w14:textId="67FC7992" w:rsidR="004431F3" w:rsidRDefault="004431F3" w:rsidP="004431F3">
            <w:pPr>
              <w:ind w:left="573"/>
            </w:pPr>
            <w:r>
              <w:t xml:space="preserve">handel och nya frihandelsavtal. </w:t>
            </w:r>
          </w:p>
          <w:p w14:paraId="4D68975F" w14:textId="2A6A174B" w:rsidR="004431F3" w:rsidRDefault="004431F3" w:rsidP="004431F3">
            <w:pPr>
              <w:ind w:left="573"/>
            </w:pPr>
            <w:r>
              <w:rPr>
                <w:color w:val="000000"/>
              </w:rPr>
              <w:t xml:space="preserve"> </w:t>
            </w:r>
          </w:p>
          <w:p w14:paraId="1DD1312C" w14:textId="77777777" w:rsidR="008823ED" w:rsidRDefault="004431F3" w:rsidP="004431F3">
            <w:pPr>
              <w:ind w:left="573"/>
            </w:pPr>
            <w:r>
              <w:t xml:space="preserve">Regeringen välkomnar att kompassen lägger stor vikt vid att </w:t>
            </w:r>
          </w:p>
          <w:p w14:paraId="74F8AD61" w14:textId="734AF620" w:rsidR="004431F3" w:rsidRDefault="004431F3" w:rsidP="004431F3">
            <w:pPr>
              <w:ind w:left="573"/>
            </w:pPr>
            <w:r>
              <w:t xml:space="preserve">accelerera digitaliseringen och vid utveckling och användning av AI för att lyfta Europas innovation och produktivitet. Detta är av </w:t>
            </w:r>
          </w:p>
          <w:p w14:paraId="0DA0ED0A" w14:textId="77777777" w:rsidR="004431F3" w:rsidRDefault="004431F3" w:rsidP="004431F3">
            <w:pPr>
              <w:ind w:left="573"/>
            </w:pPr>
            <w:r>
              <w:t xml:space="preserve">betydelse för att EU ska kunna hänga med i den alltmer tuffa </w:t>
            </w:r>
          </w:p>
          <w:p w14:paraId="5F4CE049" w14:textId="77777777" w:rsidR="004431F3" w:rsidRDefault="004431F3" w:rsidP="004431F3">
            <w:pPr>
              <w:ind w:left="573"/>
            </w:pPr>
            <w:r>
              <w:t>globala konkurrensen. Regeringen anser därför att det är centralt att accelerera utvecklingen. Regeringen välkomnar att Sverige av det gemensamma företaget för ett europeiskt högpresterande datorsystem (</w:t>
            </w:r>
            <w:proofErr w:type="spellStart"/>
            <w:r>
              <w:t>EuroHPC</w:t>
            </w:r>
            <w:proofErr w:type="spellEnd"/>
            <w:r>
              <w:t>) nyligen valdes ut som värdland för en av sju europeiska AI-fabriker. Vidare anser regeringen att entreprenörskap, forskning och innovation är viktiga faktorer för ökad</w:t>
            </w:r>
          </w:p>
          <w:p w14:paraId="3B13517C" w14:textId="77777777" w:rsidR="008823ED" w:rsidRDefault="004431F3" w:rsidP="004431F3">
            <w:pPr>
              <w:ind w:left="573"/>
            </w:pPr>
            <w:r>
              <w:t xml:space="preserve">produktivitet och konkurrenskraft. Förutsättningarna för forskning, innovation och kommersialisering behöver stärkas genom bl.a. </w:t>
            </w:r>
          </w:p>
          <w:p w14:paraId="314A8324" w14:textId="77777777" w:rsidR="008823ED" w:rsidRDefault="004431F3" w:rsidP="004431F3">
            <w:pPr>
              <w:ind w:left="573"/>
            </w:pPr>
            <w:r>
              <w:t xml:space="preserve">förbättrad användning av immateriella tillgångar som patent, </w:t>
            </w:r>
          </w:p>
          <w:p w14:paraId="18BDEFBC" w14:textId="77777777" w:rsidR="008823ED" w:rsidRDefault="004431F3" w:rsidP="004431F3">
            <w:pPr>
              <w:ind w:left="573"/>
            </w:pPr>
            <w:r>
              <w:lastRenderedPageBreak/>
              <w:t xml:space="preserve">liksom förbättrade förutsättningar för </w:t>
            </w:r>
            <w:proofErr w:type="spellStart"/>
            <w:r>
              <w:t>startups</w:t>
            </w:r>
            <w:proofErr w:type="spellEnd"/>
            <w:r>
              <w:t xml:space="preserve"> och </w:t>
            </w:r>
            <w:proofErr w:type="spellStart"/>
            <w:r>
              <w:t>scaleups</w:t>
            </w:r>
            <w:proofErr w:type="spellEnd"/>
            <w:r>
              <w:t xml:space="preserve"> att </w:t>
            </w:r>
          </w:p>
          <w:p w14:paraId="4083F240" w14:textId="1295D2A0" w:rsidR="004431F3" w:rsidRDefault="004431F3" w:rsidP="004431F3">
            <w:pPr>
              <w:ind w:left="573"/>
              <w:rPr>
                <w:color w:val="000000"/>
              </w:rPr>
            </w:pPr>
            <w:r>
              <w:t>etablera sig och växa i Europa samt ökat fokus på kommersialisering av forskning och innovation inom strategisk teknik.</w:t>
            </w:r>
            <w:r>
              <w:rPr>
                <w:color w:val="000000"/>
              </w:rPr>
              <w:t xml:space="preserve"> </w:t>
            </w:r>
          </w:p>
          <w:p w14:paraId="5721FC73" w14:textId="77777777" w:rsidR="004431F3" w:rsidRDefault="004431F3" w:rsidP="004431F3">
            <w:pPr>
              <w:ind w:left="573"/>
            </w:pPr>
          </w:p>
          <w:p w14:paraId="05CD3846" w14:textId="77777777" w:rsidR="008823ED" w:rsidRDefault="004431F3" w:rsidP="004431F3">
            <w:pPr>
              <w:ind w:left="573"/>
            </w:pPr>
            <w:r>
              <w:t xml:space="preserve">Regeringen verkar för minskad detaljreglering och att värna </w:t>
            </w:r>
          </w:p>
          <w:p w14:paraId="3A5213AE" w14:textId="77777777" w:rsidR="008823ED" w:rsidRDefault="004431F3" w:rsidP="004431F3">
            <w:pPr>
              <w:ind w:left="573"/>
            </w:pPr>
            <w:r>
              <w:t xml:space="preserve">utrymmet för social dialog så att arbetsmarknadens parter, på </w:t>
            </w:r>
          </w:p>
          <w:p w14:paraId="4F0C8611" w14:textId="77777777" w:rsidR="008823ED" w:rsidRDefault="004431F3" w:rsidP="004431F3">
            <w:pPr>
              <w:ind w:left="573"/>
            </w:pPr>
            <w:proofErr w:type="spellStart"/>
            <w:r>
              <w:t>EUnivå</w:t>
            </w:r>
            <w:proofErr w:type="spellEnd"/>
            <w:r>
              <w:t xml:space="preserve"> och nationell nivå ges möjlighet att hitta passande villkor och underlätta omställning. Regeringen menar att bristen på </w:t>
            </w:r>
          </w:p>
          <w:p w14:paraId="20F159D1" w14:textId="79C9D565" w:rsidR="004431F3" w:rsidRDefault="004431F3" w:rsidP="004431F3">
            <w:pPr>
              <w:ind w:left="573"/>
              <w:rPr>
                <w:color w:val="000000"/>
              </w:rPr>
            </w:pPr>
            <w:r>
              <w:t>utbildad och kompetent arbetskraft delvis kan lösas genom att öka andelen kvinnor i avlönat arbete. Ett ökat arbetskraftsdeltagande för kvinnor gynnar de enskilda medlemsstaternas tillväxt.</w:t>
            </w:r>
            <w:r>
              <w:rPr>
                <w:color w:val="000000"/>
              </w:rPr>
              <w:t xml:space="preserve"> </w:t>
            </w:r>
          </w:p>
          <w:p w14:paraId="71AA79DE" w14:textId="77777777" w:rsidR="004431F3" w:rsidRDefault="004431F3" w:rsidP="004431F3">
            <w:pPr>
              <w:ind w:left="573"/>
            </w:pPr>
          </w:p>
          <w:p w14:paraId="3856A7FC" w14:textId="77777777" w:rsidR="004431F3" w:rsidRDefault="004431F3" w:rsidP="004431F3">
            <w:pPr>
              <w:ind w:left="573"/>
            </w:pPr>
            <w:r>
              <w:t xml:space="preserve">Regeringen anser att alla länder i unionen ska leva upp till målet om att investera 3 procent av BNP i forskning och innovation och ser därför positivt på att kommissionen i kompassen framhåller att den kommer att fokusera på strategiska prioriteringar, stärka det europeiska forskningsområdet och främja samarbete mellan </w:t>
            </w:r>
          </w:p>
          <w:p w14:paraId="660F7539" w14:textId="6F772FBB" w:rsidR="004431F3" w:rsidRDefault="004431F3" w:rsidP="004431F3">
            <w:pPr>
              <w:ind w:left="573"/>
              <w:rPr>
                <w:color w:val="000000"/>
              </w:rPr>
            </w:pPr>
            <w:r>
              <w:t>universitet och näringsliv.</w:t>
            </w:r>
            <w:r>
              <w:rPr>
                <w:color w:val="000000"/>
              </w:rPr>
              <w:t xml:space="preserve"> </w:t>
            </w:r>
          </w:p>
          <w:p w14:paraId="4A6F1A2F" w14:textId="77777777" w:rsidR="004431F3" w:rsidRDefault="004431F3" w:rsidP="004431F3">
            <w:pPr>
              <w:ind w:left="573"/>
            </w:pPr>
          </w:p>
          <w:p w14:paraId="4497CAB2" w14:textId="77777777" w:rsidR="004431F3" w:rsidRDefault="004431F3" w:rsidP="004431F3">
            <w:pPr>
              <w:ind w:left="573"/>
            </w:pPr>
            <w:r>
              <w:t xml:space="preserve">Regeringen delar bedömning i kompassen att höga energipriser är ett strukturellt problem för Europas konkurrenskraft. Fossila bränslen måste fasas ut och tillgången till stabil och fossilfri energi öka. </w:t>
            </w:r>
          </w:p>
          <w:p w14:paraId="761D00A3" w14:textId="77777777" w:rsidR="004431F3" w:rsidRDefault="004431F3" w:rsidP="004431F3">
            <w:pPr>
              <w:ind w:left="573"/>
            </w:pPr>
          </w:p>
          <w:p w14:paraId="02DD2B82" w14:textId="77777777" w:rsidR="008823ED" w:rsidRDefault="004431F3" w:rsidP="004431F3">
            <w:pPr>
              <w:ind w:left="573"/>
            </w:pPr>
            <w:r>
              <w:t xml:space="preserve">Regeringen anser att det är viktigt med en teknikneutral ansats, där både förnybart och kärnkraft lyfts fram för att möta EU:s </w:t>
            </w:r>
          </w:p>
          <w:p w14:paraId="7A1104CA" w14:textId="2E80161D" w:rsidR="004431F3" w:rsidRDefault="004431F3" w:rsidP="004431F3">
            <w:pPr>
              <w:ind w:left="573"/>
              <w:rPr>
                <w:color w:val="000000"/>
              </w:rPr>
            </w:pPr>
            <w:r>
              <w:t xml:space="preserve">ambitiösa klimatmål och för att stärka Europas konkurrenskraft. </w:t>
            </w:r>
            <w:r>
              <w:rPr>
                <w:color w:val="000000"/>
              </w:rPr>
              <w:t xml:space="preserve"> </w:t>
            </w:r>
          </w:p>
          <w:p w14:paraId="2BD0B1CF" w14:textId="77777777" w:rsidR="004431F3" w:rsidRDefault="004431F3" w:rsidP="004431F3">
            <w:pPr>
              <w:ind w:left="573"/>
            </w:pPr>
          </w:p>
          <w:p w14:paraId="1A24637F" w14:textId="77777777" w:rsidR="004431F3" w:rsidRDefault="004431F3" w:rsidP="004431F3">
            <w:pPr>
              <w:ind w:left="573"/>
            </w:pPr>
            <w:r>
              <w:t>Regeringen anser vidare att den gröna omställningen behöver</w:t>
            </w:r>
          </w:p>
          <w:p w14:paraId="59F5855B" w14:textId="77777777" w:rsidR="008823ED" w:rsidRDefault="004431F3" w:rsidP="004431F3">
            <w:pPr>
              <w:ind w:left="573"/>
            </w:pPr>
            <w:r>
              <w:t xml:space="preserve">utgöra en motor för EU:s konkurrenskraft. För att uppnå EU:s höga ambitioner behöver de övergripande målsättningarna inom klimat- och miljöpolitiken ligga fast. Klimat- och miljöpolitiken möjliggör en modern europeisk konkurrenskraftig industri genom ett hållbart nyttjande av europeiska naturresurser som samtidigt </w:t>
            </w:r>
          </w:p>
          <w:p w14:paraId="79F1A799" w14:textId="79DACCF3" w:rsidR="004431F3" w:rsidRDefault="004431F3" w:rsidP="004431F3">
            <w:pPr>
              <w:ind w:left="573"/>
              <w:rPr>
                <w:color w:val="000000"/>
              </w:rPr>
            </w:pPr>
            <w:r>
              <w:t xml:space="preserve">bidrar till en ökad beredskap. </w:t>
            </w:r>
            <w:r>
              <w:rPr>
                <w:color w:val="000000"/>
              </w:rPr>
              <w:t xml:space="preserve"> </w:t>
            </w:r>
          </w:p>
          <w:p w14:paraId="03B4C36C" w14:textId="77777777" w:rsidR="004431F3" w:rsidRDefault="004431F3" w:rsidP="004431F3">
            <w:pPr>
              <w:ind w:left="573"/>
            </w:pPr>
          </w:p>
          <w:p w14:paraId="500052F4" w14:textId="77777777" w:rsidR="004431F3" w:rsidRDefault="004431F3" w:rsidP="004431F3">
            <w:pPr>
              <w:ind w:left="573"/>
            </w:pPr>
            <w:r>
              <w:t xml:space="preserve">Regeringen instämmer i att EU behöver minska problematiska strategiska beroenden avseende bl.a. energi och vissa kritiska </w:t>
            </w:r>
          </w:p>
          <w:p w14:paraId="05FE1642" w14:textId="77777777" w:rsidR="008823ED" w:rsidRDefault="004431F3" w:rsidP="004431F3">
            <w:pPr>
              <w:ind w:left="573"/>
            </w:pPr>
            <w:r>
              <w:t xml:space="preserve">råmaterial för att stärka sin ekonomiska säkerhet. Det är dock centralt att detta görs på ett sätt som inte negativt påverkar konkurrenskraften för andra sektorer och samhällsberedskapen såsom </w:t>
            </w:r>
          </w:p>
          <w:p w14:paraId="46B7A047" w14:textId="3B09E760" w:rsidR="004431F3" w:rsidRDefault="004431F3" w:rsidP="004431F3">
            <w:pPr>
              <w:ind w:left="573"/>
              <w:rPr>
                <w:color w:val="000000"/>
              </w:rPr>
            </w:pPr>
            <w:r>
              <w:t>tillgången till rent vatten och högkvalitativa livsmedel. Marknadsorienterade lösningar, inklusive nya frihandelsavtal, bör så långt som möjligt sökas för att begränsa dessa beroenden.</w:t>
            </w:r>
            <w:r>
              <w:rPr>
                <w:color w:val="000000"/>
              </w:rPr>
              <w:t xml:space="preserve"> </w:t>
            </w:r>
          </w:p>
          <w:p w14:paraId="0943C109" w14:textId="77777777" w:rsidR="004431F3" w:rsidRDefault="004431F3" w:rsidP="004431F3">
            <w:pPr>
              <w:ind w:left="573"/>
            </w:pPr>
          </w:p>
          <w:p w14:paraId="66902495" w14:textId="77777777" w:rsidR="004431F3" w:rsidRDefault="004431F3" w:rsidP="004431F3">
            <w:pPr>
              <w:ind w:left="573"/>
            </w:pPr>
            <w:r>
              <w:t xml:space="preserve">Regeringen delar kommissionens bild i kompassen att Europa </w:t>
            </w:r>
          </w:p>
          <w:p w14:paraId="7F72C13A" w14:textId="77777777" w:rsidR="004431F3" w:rsidRDefault="004431F3" w:rsidP="004431F3">
            <w:pPr>
              <w:ind w:left="573"/>
            </w:pPr>
            <w:r>
              <w:t xml:space="preserve">behöver ta ett större ansvar för sin säkerhet. Den huvudsakliga vägen för att säkra Europas trygghet är att medlemsstaterna </w:t>
            </w:r>
          </w:p>
          <w:p w14:paraId="6F994A6B" w14:textId="77777777" w:rsidR="004431F3" w:rsidRDefault="004431F3" w:rsidP="004431F3">
            <w:pPr>
              <w:ind w:left="573"/>
            </w:pPr>
            <w:r>
              <w:t xml:space="preserve">investerar tillräckligt i nationellt försvar genom sina nationella </w:t>
            </w:r>
          </w:p>
          <w:p w14:paraId="0D8C9BD6" w14:textId="706BB8B1" w:rsidR="004431F3" w:rsidRDefault="004431F3" w:rsidP="004431F3">
            <w:pPr>
              <w:ind w:left="573"/>
              <w:rPr>
                <w:color w:val="000000"/>
              </w:rPr>
            </w:pPr>
            <w:r>
              <w:t xml:space="preserve">försvarsbudgetar. Detta kräver omprioriteringar. Vidare är åtgärder för att öka privat kapital i försvarsindustrin centralt. ESG-kriterier och riktlinjer som hindrar investerare från att investera i försvarssektorn kan försämra försvarsindustrins investeringsförmåga och i förlängningen försvarets tillväxt. EU kan stärka försvarsindustrins konkurrenskraft genom harmonisering av krav och förenkling av </w:t>
            </w:r>
            <w:r>
              <w:lastRenderedPageBreak/>
              <w:t>regelverk, liksom genom åtgärder för att underlätta samarbeten inom forskning och innovation.</w:t>
            </w:r>
            <w:r>
              <w:rPr>
                <w:color w:val="000000"/>
              </w:rPr>
              <w:t xml:space="preserve"> </w:t>
            </w:r>
          </w:p>
          <w:p w14:paraId="0EF4C933" w14:textId="77777777" w:rsidR="004431F3" w:rsidRDefault="004431F3" w:rsidP="004431F3">
            <w:pPr>
              <w:ind w:left="573"/>
            </w:pPr>
          </w:p>
          <w:p w14:paraId="45900268" w14:textId="77777777" w:rsidR="004431F3" w:rsidRDefault="004431F3" w:rsidP="004431F3">
            <w:pPr>
              <w:ind w:left="573"/>
            </w:pPr>
            <w:r>
              <w:t xml:space="preserve">Regeringen konstaterar att det kommer att krävas stora investeringar för att möjliggöra den gröna och digitala omställningen. </w:t>
            </w:r>
          </w:p>
          <w:p w14:paraId="1B61A038" w14:textId="77777777" w:rsidR="004431F3" w:rsidRDefault="004431F3" w:rsidP="004431F3">
            <w:pPr>
              <w:ind w:left="573"/>
            </w:pPr>
            <w:r>
              <w:t xml:space="preserve">Regeringen anser att det fortsatt i huvudsak är privat kapital som behövs och välkomnar att konkurrenskraftskompassen understryker behovet av att mobilisera mer privat kapital vid sidan av </w:t>
            </w:r>
          </w:p>
          <w:p w14:paraId="664324A0" w14:textId="0B4C4B14" w:rsidR="004431F3" w:rsidRDefault="004431F3" w:rsidP="004431F3">
            <w:pPr>
              <w:ind w:left="573"/>
              <w:rPr>
                <w:color w:val="000000"/>
              </w:rPr>
            </w:pPr>
            <w:r>
              <w:t xml:space="preserve">offentliga investeringar. Regeringen välkomnar därför att kompassen betonar behovet av att fördjupa EU:s kapitalmarknader. </w:t>
            </w:r>
            <w:r>
              <w:rPr>
                <w:color w:val="000000"/>
              </w:rPr>
              <w:t xml:space="preserve"> </w:t>
            </w:r>
          </w:p>
          <w:p w14:paraId="08E903BA" w14:textId="77777777" w:rsidR="004431F3" w:rsidRDefault="004431F3" w:rsidP="004431F3">
            <w:pPr>
              <w:ind w:left="573"/>
            </w:pPr>
          </w:p>
          <w:p w14:paraId="04267609" w14:textId="77777777" w:rsidR="008823ED" w:rsidRDefault="004431F3" w:rsidP="004431F3">
            <w:pPr>
              <w:ind w:left="573"/>
            </w:pPr>
            <w:r>
              <w:t xml:space="preserve">Regeringen anser att konkurrenspolitiken och konkurrenstillsynen även fortsättningsvis bör baseras på de grundläggande principerna om att konkurrens skapar incitament för företag att vara innovativa och bli mer effektiva, att den leder till lägre priser och högre kvalitet på produkter och tjänster och i förlängningen till produktivitet och tillväxt. Detta kan bidra till att understödja andra för EU </w:t>
            </w:r>
          </w:p>
          <w:p w14:paraId="38E0FDB2" w14:textId="7FA8A748" w:rsidR="004431F3" w:rsidRDefault="004431F3" w:rsidP="004431F3">
            <w:pPr>
              <w:ind w:left="573"/>
              <w:rPr>
                <w:color w:val="000000"/>
              </w:rPr>
            </w:pPr>
            <w:r>
              <w:t xml:space="preserve">viktiga mål. Regeringen kommer att analysera de aviserade åtgärderna inom konkurrensområdet när närmare information om innehållet har framkommit. </w:t>
            </w:r>
            <w:r>
              <w:rPr>
                <w:color w:val="000000"/>
              </w:rPr>
              <w:t xml:space="preserve"> </w:t>
            </w:r>
          </w:p>
          <w:p w14:paraId="43F8E6D0" w14:textId="77777777" w:rsidR="004431F3" w:rsidRDefault="004431F3" w:rsidP="004431F3">
            <w:pPr>
              <w:ind w:left="573"/>
            </w:pPr>
          </w:p>
          <w:p w14:paraId="762C1FE7" w14:textId="77777777" w:rsidR="004431F3" w:rsidRDefault="004431F3" w:rsidP="004431F3">
            <w:pPr>
              <w:ind w:left="573"/>
            </w:pPr>
            <w:r>
              <w:t xml:space="preserve">Regeringen anser att det är effektiv konkurrens som gör företag konkurrenskraftiga och inte subventioner. Vidare anser regeringen att stöd till företag inte är en generell eller långsiktigt hållbar </w:t>
            </w:r>
          </w:p>
          <w:p w14:paraId="059BFF27" w14:textId="77777777" w:rsidR="004431F3" w:rsidRDefault="004431F3" w:rsidP="004431F3">
            <w:pPr>
              <w:ind w:left="573"/>
            </w:pPr>
            <w:r>
              <w:t xml:space="preserve">lösning. Därtill anser regeringen att stöd, oavsett dess finansieringskälla, inte ska gå till etablerade bearbetnings- eller tillverkningsprocesser, eftersom det riskerar att motverka den nödvändiga omställningen av ekonomin. Stöd kan i stället vara motiverat om det hanterar ett tydligt marknadsmisslyckande som inte kan </w:t>
            </w:r>
          </w:p>
          <w:p w14:paraId="05F75978" w14:textId="77777777" w:rsidR="004431F3" w:rsidRDefault="004431F3" w:rsidP="004431F3">
            <w:pPr>
              <w:ind w:left="573"/>
            </w:pPr>
            <w:r>
              <w:t xml:space="preserve">åtgärdas på ett mer effektivt sätt. Det kan framför allt handla om att främja utveckling av innovativ teknik för exempelvis grön </w:t>
            </w:r>
          </w:p>
          <w:p w14:paraId="375DC999" w14:textId="77777777" w:rsidR="004431F3" w:rsidRDefault="004431F3" w:rsidP="004431F3">
            <w:pPr>
              <w:ind w:left="573"/>
            </w:pPr>
            <w:r>
              <w:t xml:space="preserve">omställning. Sveriges budgetrestriktiva linje ligger fast och det är viktigt att eventuella stöd inte tränger undan privat finansiering </w:t>
            </w:r>
          </w:p>
          <w:p w14:paraId="2A715AE6" w14:textId="7D300C88" w:rsidR="004431F3" w:rsidRDefault="004431F3" w:rsidP="004431F3">
            <w:pPr>
              <w:ind w:left="573"/>
              <w:rPr>
                <w:color w:val="000000"/>
              </w:rPr>
            </w:pPr>
            <w:r>
              <w:t xml:space="preserve">eller ökar den allmänna stödnivån inom EU. </w:t>
            </w:r>
            <w:r>
              <w:rPr>
                <w:color w:val="000000"/>
              </w:rPr>
              <w:t xml:space="preserve"> </w:t>
            </w:r>
          </w:p>
          <w:p w14:paraId="3D51E53F" w14:textId="77777777" w:rsidR="004431F3" w:rsidRDefault="004431F3" w:rsidP="004431F3">
            <w:pPr>
              <w:ind w:left="573"/>
            </w:pPr>
          </w:p>
          <w:p w14:paraId="3219B521" w14:textId="77777777" w:rsidR="008823ED" w:rsidRDefault="004431F3" w:rsidP="004431F3">
            <w:pPr>
              <w:ind w:left="573"/>
            </w:pPr>
            <w:r>
              <w:t xml:space="preserve">Regeringen förespråkar en återgång till ett strikt statsstödsregelverk och kontroll. Ett sådant regelverk bör tillåta stöd endast där tydliga marknadsmisslyckanden föreligger. Det skulle framför allt kunna handla om utveckling av innovation för grön eller digital omställning. Det är viktigt att regelverket är evidensbaserat, </w:t>
            </w:r>
          </w:p>
          <w:p w14:paraId="38C95720" w14:textId="1F203839" w:rsidR="008823ED" w:rsidRDefault="004431F3" w:rsidP="004431F3">
            <w:pPr>
              <w:ind w:left="573"/>
            </w:pPr>
            <w:r>
              <w:t xml:space="preserve">målinriktat och proportionerligt. Regeringen anser att en vidlyftig </w:t>
            </w:r>
          </w:p>
          <w:p w14:paraId="35737913" w14:textId="528AFAEE" w:rsidR="004431F3" w:rsidRDefault="004431F3" w:rsidP="004431F3">
            <w:pPr>
              <w:ind w:left="573"/>
            </w:pPr>
            <w:r>
              <w:t>statsstödsregim är skadlig för den inre marknaden och leder till en statsstödskapplöpning såväl mellan medlemsstater som med</w:t>
            </w:r>
          </w:p>
          <w:p w14:paraId="59B8FD19" w14:textId="410ECF4D" w:rsidR="004431F3" w:rsidRDefault="004431F3" w:rsidP="004431F3">
            <w:pPr>
              <w:ind w:left="573"/>
              <w:rPr>
                <w:color w:val="000000"/>
              </w:rPr>
            </w:pPr>
            <w:r>
              <w:t xml:space="preserve">tredjeland. </w:t>
            </w:r>
            <w:r>
              <w:rPr>
                <w:color w:val="000000"/>
              </w:rPr>
              <w:t xml:space="preserve"> </w:t>
            </w:r>
          </w:p>
          <w:p w14:paraId="7033A0B3" w14:textId="77777777" w:rsidR="004431F3" w:rsidRDefault="004431F3" w:rsidP="004431F3">
            <w:pPr>
              <w:ind w:left="573"/>
            </w:pPr>
          </w:p>
          <w:p w14:paraId="28D2963A" w14:textId="77777777" w:rsidR="004431F3" w:rsidRDefault="004431F3" w:rsidP="004431F3">
            <w:pPr>
              <w:ind w:left="573"/>
            </w:pPr>
            <w:r>
              <w:t xml:space="preserve">Långtidsbudgeten och den politik den finansierar behöver en enklare struktur, få tematiska områden och färre program. Detta för att skapa ändamålsenlig beredskap, flexibilitet och handlingsberedskap i en föränderlig värld, till exempel för att hantera kriser och säkerställa gränsskydd. En reformerad struktur behöver vara förenlig med bindande tak. </w:t>
            </w:r>
            <w:r>
              <w:rPr>
                <w:color w:val="000000"/>
              </w:rPr>
              <w:t xml:space="preserve"> </w:t>
            </w:r>
          </w:p>
          <w:p w14:paraId="72D3A6BB" w14:textId="77777777" w:rsidR="004431F3" w:rsidRDefault="004431F3" w:rsidP="004431F3">
            <w:pPr>
              <w:ind w:left="573"/>
            </w:pPr>
            <w:r>
              <w:t xml:space="preserve">Fördelningen av befogenheter mellan nationell och EU-nivå som framgår av fördragen ska värnas i genomförandet av kompassen. Regeringen anser slutligen att det finns många nödvändiga </w:t>
            </w:r>
          </w:p>
          <w:p w14:paraId="5478CA60" w14:textId="77777777" w:rsidR="004431F3" w:rsidRDefault="004431F3" w:rsidP="004431F3">
            <w:pPr>
              <w:ind w:left="573"/>
            </w:pPr>
            <w:r>
              <w:t xml:space="preserve">politiska reformer och åtgärder som behöver genomföras i </w:t>
            </w:r>
          </w:p>
          <w:p w14:paraId="31DA095C" w14:textId="3CB059FB" w:rsidR="004431F3" w:rsidRDefault="004431F3" w:rsidP="004431F3">
            <w:pPr>
              <w:ind w:left="573"/>
            </w:pPr>
            <w:r>
              <w:lastRenderedPageBreak/>
              <w:t xml:space="preserve">medlemsstaterna och inte kan överlåtas till EU. Det handlar t.ex. om förenkling av nationella regelverk, reformer av pensionssystem, utbildning och åtgärder på arbetsmarknadsområdet. </w:t>
            </w:r>
            <w:r>
              <w:rPr>
                <w:color w:val="000000"/>
              </w:rPr>
              <w:t xml:space="preserve"> </w:t>
            </w:r>
          </w:p>
          <w:p w14:paraId="16B35FC5" w14:textId="77777777" w:rsidR="004431F3" w:rsidRDefault="004431F3" w:rsidP="004431F3">
            <w:pPr>
              <w:widowControl w:val="0"/>
              <w:tabs>
                <w:tab w:val="left" w:pos="1701"/>
              </w:tabs>
            </w:pPr>
          </w:p>
          <w:p w14:paraId="783B9134" w14:textId="05A9CA13" w:rsidR="004431F3" w:rsidRDefault="004431F3" w:rsidP="004431F3">
            <w:pPr>
              <w:widowControl w:val="0"/>
              <w:tabs>
                <w:tab w:val="left" w:pos="1701"/>
              </w:tabs>
            </w:pPr>
            <w:r>
              <w:t>Ordföranden konstaterade att det fanns stöd för regeringens ståndpunkt.</w:t>
            </w:r>
          </w:p>
          <w:p w14:paraId="5DB9FF89" w14:textId="438D134B" w:rsidR="0053512C" w:rsidRDefault="0053512C" w:rsidP="004431F3">
            <w:pPr>
              <w:widowControl w:val="0"/>
              <w:tabs>
                <w:tab w:val="left" w:pos="1701"/>
              </w:tabs>
            </w:pPr>
          </w:p>
          <w:p w14:paraId="162A0D00" w14:textId="0FFDE025" w:rsidR="0053512C" w:rsidRDefault="0053512C" w:rsidP="004431F3">
            <w:pPr>
              <w:widowControl w:val="0"/>
              <w:tabs>
                <w:tab w:val="left" w:pos="1701"/>
              </w:tabs>
            </w:pPr>
            <w:r w:rsidRPr="0053512C">
              <w:t>S</w:t>
            </w:r>
            <w:r>
              <w:t>-</w:t>
            </w:r>
            <w:r w:rsidRPr="0053512C">
              <w:t>ledamöterna anmälde följande avvikande ståndpunkt:</w:t>
            </w:r>
          </w:p>
          <w:p w14:paraId="198CB3C0" w14:textId="77777777" w:rsidR="007B050E" w:rsidRDefault="007B050E" w:rsidP="004431F3">
            <w:pPr>
              <w:widowControl w:val="0"/>
              <w:tabs>
                <w:tab w:val="left" w:pos="1701"/>
              </w:tabs>
            </w:pPr>
          </w:p>
          <w:p w14:paraId="6739FA71" w14:textId="77777777" w:rsidR="007B050E" w:rsidRDefault="007B050E" w:rsidP="007B050E">
            <w:pPr>
              <w:widowControl w:val="0"/>
              <w:tabs>
                <w:tab w:val="left" w:pos="1701"/>
              </w:tabs>
              <w:ind w:left="712"/>
            </w:pPr>
            <w:r>
              <w:t>Vi välkomnar kommissionens initiativ att stärka EU:s konkurrenskraft. Europas position i den globala ekonomin måste stärkas genom en politik för teknologisk utveckling, grön omställning och en välfungerande inre marknad. Samtidigt måste Sverige verka för att säkerställa att konkurrenskraften inte bygger på minskade klimatambitioner eller ökad protektionism, utan på en politik för långsiktig och hållbar tillväxt.</w:t>
            </w:r>
          </w:p>
          <w:p w14:paraId="3649AD40" w14:textId="77777777" w:rsidR="007B050E" w:rsidRDefault="007B050E" w:rsidP="007B050E">
            <w:pPr>
              <w:widowControl w:val="0"/>
              <w:tabs>
                <w:tab w:val="left" w:pos="1701"/>
              </w:tabs>
              <w:ind w:left="712"/>
            </w:pPr>
          </w:p>
          <w:p w14:paraId="43882ED1" w14:textId="77777777" w:rsidR="007B050E" w:rsidRDefault="007B050E" w:rsidP="007B050E">
            <w:pPr>
              <w:widowControl w:val="0"/>
              <w:tabs>
                <w:tab w:val="left" w:pos="1701"/>
              </w:tabs>
              <w:ind w:left="712"/>
            </w:pPr>
            <w:r>
              <w:t>EU:s konkurrenskraft kräver en accelererad grön omställning. Därför vill vi särskilt framhålla att arbetet med regelförenklingar bör syfta till strömlinjeformning och regelförbättringar – inte till att sänka ambitionsnivån i industrins gröna omställning, som är avgörande för både svenska och europeiska företags konkurrenskraft.</w:t>
            </w:r>
          </w:p>
          <w:p w14:paraId="5A78D51A" w14:textId="77777777" w:rsidR="007B050E" w:rsidRDefault="007B050E" w:rsidP="007B050E">
            <w:pPr>
              <w:widowControl w:val="0"/>
              <w:tabs>
                <w:tab w:val="left" w:pos="1701"/>
              </w:tabs>
              <w:ind w:left="712"/>
            </w:pPr>
          </w:p>
          <w:p w14:paraId="689423BB" w14:textId="77777777" w:rsidR="007B050E" w:rsidRDefault="007B050E" w:rsidP="007B050E">
            <w:pPr>
              <w:widowControl w:val="0"/>
              <w:tabs>
                <w:tab w:val="left" w:pos="1701"/>
              </w:tabs>
              <w:ind w:left="712"/>
            </w:pPr>
            <w:r>
              <w:t>Vidare vill vi understryka vikten av stabila spelregler och långsiktiga investeringsförutsättningar för att påskynda klimatomställningen och stärka innovationsförmågan. EU behöver inte bara stänga innovationsgapet, utan snarare växla upp för att Europa ska kunna leda utvecklingen. Därför är det avgörande att dels stärka befintliga styrkeområden, dels främja nya teknikområden som kommer att driva framtidens tillväxt och konkurrenskraft. Därutöver ser vi ett behov av ökade insatser för att påskynda kommersialiseringen av europeiska innovationer.</w:t>
            </w:r>
          </w:p>
          <w:p w14:paraId="162B9C3F" w14:textId="77777777" w:rsidR="007B050E" w:rsidRDefault="007B050E" w:rsidP="007B050E">
            <w:pPr>
              <w:widowControl w:val="0"/>
              <w:tabs>
                <w:tab w:val="left" w:pos="1701"/>
              </w:tabs>
              <w:ind w:left="712"/>
            </w:pPr>
          </w:p>
          <w:p w14:paraId="2215D22A" w14:textId="77777777" w:rsidR="007B050E" w:rsidRDefault="007B050E" w:rsidP="007B050E">
            <w:pPr>
              <w:widowControl w:val="0"/>
              <w:tabs>
                <w:tab w:val="left" w:pos="1701"/>
              </w:tabs>
              <w:ind w:left="712"/>
            </w:pPr>
            <w:r>
              <w:t>För att Europa ska vara konkurrenskraftigt krävs stabila och rimliga energipriser på kort sikt. Fokus måste ligga på den totala kostnaden för elleveranser. En övertro på gränsöverskridande förbindelser i kombination med underinvesteringar i nationella transmissionsnät riskerar att skapa flaskhalsar som försämrar konkurrenskraften. Alla medlemsländer behöver skapa förutsättningar för ökad fossilfri energiproduktion. Skogens och bioekonomins roll i klimatarbetet måste också stärkas.</w:t>
            </w:r>
          </w:p>
          <w:p w14:paraId="3A2C4E5B" w14:textId="77777777" w:rsidR="007B050E" w:rsidRDefault="007B050E" w:rsidP="007B050E">
            <w:pPr>
              <w:widowControl w:val="0"/>
              <w:tabs>
                <w:tab w:val="left" w:pos="1701"/>
              </w:tabs>
              <w:ind w:left="712"/>
            </w:pPr>
          </w:p>
          <w:p w14:paraId="50C6BC45" w14:textId="77777777" w:rsidR="007B050E" w:rsidRDefault="007B050E" w:rsidP="007B050E">
            <w:pPr>
              <w:widowControl w:val="0"/>
              <w:tabs>
                <w:tab w:val="left" w:pos="1701"/>
              </w:tabs>
              <w:ind w:left="712"/>
            </w:pPr>
            <w:r>
              <w:t>Den föreslagna konkurrenskraftskompassen bör utformas utifrån en ansats som främjar jämlika och konkurrenskraftiga samhällen. Viktiga aspekter, såsom ökad ekonomisk jämlikhet i unionen, utelämnas av regeringen i den svenska ståndpunkten. Vi anser att målet för EU:s handelspolitik ska vara en fri, hållbar och rättvis handel. Det innebär att EU ska driva på för en politik där handel, utvecklingssamarbete och ett starkt skydd för arbetstagares rättigheter såväl som höga klimatambitioner är ömsesidigt samstämmiga och stödjande. En stark arbetsmarknad och fungerande social dialog är också avgörande för konkurrenskraften. Det är viktigt att värna möjligheterna till kollektivavtal och därmed flexibla lösningar i avtal mellan arbetsmarknadens parter.</w:t>
            </w:r>
          </w:p>
          <w:p w14:paraId="73317A48" w14:textId="77777777" w:rsidR="007B050E" w:rsidRDefault="007B050E" w:rsidP="007B050E">
            <w:pPr>
              <w:widowControl w:val="0"/>
              <w:tabs>
                <w:tab w:val="left" w:pos="1701"/>
              </w:tabs>
              <w:ind w:left="712"/>
            </w:pPr>
          </w:p>
          <w:p w14:paraId="42317324" w14:textId="4C2D067B" w:rsidR="007B050E" w:rsidRDefault="007B050E" w:rsidP="007B050E">
            <w:pPr>
              <w:widowControl w:val="0"/>
              <w:tabs>
                <w:tab w:val="left" w:pos="1701"/>
              </w:tabs>
              <w:ind w:left="712"/>
            </w:pPr>
            <w:r>
              <w:lastRenderedPageBreak/>
              <w:t>Slutligen bör regeringen även peka på ett ökat nationellt skatteuttag som en möjlighet att finansiera nödvändiga investeringar för säkerhet och konkurrenskraft. Försvarsatsningarna kan inte enbart finansieras genom omprioriteringar</w:t>
            </w:r>
          </w:p>
          <w:p w14:paraId="02577547" w14:textId="703ACF80" w:rsidR="0053512C" w:rsidRDefault="0053512C" w:rsidP="004431F3">
            <w:pPr>
              <w:widowControl w:val="0"/>
              <w:tabs>
                <w:tab w:val="left" w:pos="1701"/>
              </w:tabs>
            </w:pPr>
          </w:p>
          <w:p w14:paraId="7EBA2D85" w14:textId="7F921000" w:rsidR="0053512C" w:rsidRDefault="007B050E" w:rsidP="004431F3">
            <w:pPr>
              <w:widowControl w:val="0"/>
              <w:tabs>
                <w:tab w:val="left" w:pos="1701"/>
              </w:tabs>
            </w:pPr>
            <w:r>
              <w:t>SD</w:t>
            </w:r>
            <w:r w:rsidR="0053512C">
              <w:t>-leda</w:t>
            </w:r>
            <w:r>
              <w:t>möterna</w:t>
            </w:r>
            <w:r w:rsidR="0053512C">
              <w:t xml:space="preserve"> anmälde följande avvikande ståndpunkt:</w:t>
            </w:r>
          </w:p>
          <w:p w14:paraId="217CBDFF" w14:textId="4991ABFD" w:rsidR="007B050E" w:rsidRDefault="007B050E" w:rsidP="004431F3">
            <w:pPr>
              <w:widowControl w:val="0"/>
              <w:tabs>
                <w:tab w:val="left" w:pos="1701"/>
              </w:tabs>
            </w:pPr>
          </w:p>
          <w:p w14:paraId="10F7DE83" w14:textId="77777777" w:rsidR="007B050E" w:rsidRDefault="007B050E" w:rsidP="007B050E">
            <w:pPr>
              <w:widowControl w:val="0"/>
              <w:tabs>
                <w:tab w:val="left" w:pos="1701"/>
              </w:tabs>
              <w:ind w:left="712"/>
            </w:pPr>
            <w:r w:rsidRPr="007B050E">
              <w:t xml:space="preserve">Vi anser att den gröna omställningen inte får drivas igenom på bekostnad av konkurrenskraften. För att säkerställa en hållbar och långsiktig omställning behöver politiken utformas så att företag kan ställa om utan att drabbas av ökade kostnader, försämrad lönsamhet eller minskad konkurrenskraft gentemot aktörer utanför EU. Att göra den gröna omställningen till en motor för </w:t>
            </w:r>
          </w:p>
          <w:p w14:paraId="37A75910" w14:textId="77777777" w:rsidR="007B050E" w:rsidRDefault="007B050E" w:rsidP="007B050E">
            <w:pPr>
              <w:widowControl w:val="0"/>
              <w:tabs>
                <w:tab w:val="left" w:pos="1701"/>
              </w:tabs>
              <w:ind w:left="712"/>
            </w:pPr>
            <w:r w:rsidRPr="007B050E">
              <w:t xml:space="preserve">konkurrenskraften riskerar att förskjuta politikens syfte från att hantera klimatutmaningar till att uppnå industripolitiska mål, </w:t>
            </w:r>
          </w:p>
          <w:p w14:paraId="64C81338" w14:textId="77777777" w:rsidR="007424A9" w:rsidRDefault="007B050E" w:rsidP="007B050E">
            <w:pPr>
              <w:widowControl w:val="0"/>
              <w:tabs>
                <w:tab w:val="left" w:pos="1701"/>
              </w:tabs>
              <w:ind w:left="712"/>
            </w:pPr>
            <w:r w:rsidRPr="007B050E">
              <w:t xml:space="preserve">vilket kan leda till ineffektiva styrmedel, ökad reglering och snedvridning av marknaden. Därför motsätter vi oss mot formuleringen i regeringens redovisade ståndpunkt att den gröna omställningen behöver utgöra en motor för konkurrenskraften. </w:t>
            </w:r>
          </w:p>
          <w:p w14:paraId="1D39E47C" w14:textId="68ECF035" w:rsidR="007424A9" w:rsidRDefault="007B050E" w:rsidP="007B050E">
            <w:pPr>
              <w:widowControl w:val="0"/>
              <w:tabs>
                <w:tab w:val="left" w:pos="1701"/>
              </w:tabs>
              <w:ind w:left="712"/>
            </w:pPr>
            <w:r w:rsidRPr="007B050E">
              <w:t xml:space="preserve">Regelverk och styrmedel bör i stället vara teknikneutrala och ge </w:t>
            </w:r>
          </w:p>
          <w:p w14:paraId="747FE645" w14:textId="6A962FBF" w:rsidR="007B050E" w:rsidRDefault="007B050E" w:rsidP="007424A9">
            <w:pPr>
              <w:widowControl w:val="0"/>
              <w:tabs>
                <w:tab w:val="left" w:pos="1701"/>
              </w:tabs>
              <w:ind w:left="712"/>
            </w:pPr>
            <w:r w:rsidRPr="007B050E">
              <w:t>industrin möjlighet att välja de lösningar som bäst passar dess verksamhet, snarare än att ensidigt styra mot specifika teknologier eller Energikällor</w:t>
            </w:r>
            <w:r>
              <w:t>.</w:t>
            </w:r>
          </w:p>
          <w:p w14:paraId="569159F4" w14:textId="2134D609" w:rsidR="007B050E" w:rsidRDefault="007B050E" w:rsidP="007B050E">
            <w:pPr>
              <w:widowControl w:val="0"/>
              <w:tabs>
                <w:tab w:val="left" w:pos="1701"/>
              </w:tabs>
              <w:ind w:left="712"/>
            </w:pPr>
          </w:p>
          <w:p w14:paraId="0303DC6F" w14:textId="1EA2639D" w:rsidR="007B050E" w:rsidRDefault="007B050E" w:rsidP="007B050E">
            <w:pPr>
              <w:widowControl w:val="0"/>
              <w:tabs>
                <w:tab w:val="left" w:pos="1701"/>
              </w:tabs>
              <w:ind w:left="4"/>
            </w:pPr>
            <w:r>
              <w:t>V-ledamoten anmälde följande avvikande ståndpunkt:</w:t>
            </w:r>
          </w:p>
          <w:p w14:paraId="56D43C74" w14:textId="27200463" w:rsidR="007B050E" w:rsidRDefault="007B050E" w:rsidP="007B050E">
            <w:pPr>
              <w:widowControl w:val="0"/>
              <w:tabs>
                <w:tab w:val="left" w:pos="1701"/>
              </w:tabs>
              <w:ind w:left="4"/>
            </w:pPr>
          </w:p>
          <w:p w14:paraId="3B89193E" w14:textId="77777777" w:rsidR="007B050E" w:rsidRDefault="007B050E" w:rsidP="007B050E">
            <w:pPr>
              <w:widowControl w:val="0"/>
              <w:tabs>
                <w:tab w:val="left" w:pos="1701"/>
              </w:tabs>
              <w:ind w:left="712"/>
            </w:pPr>
            <w:r>
              <w:t xml:space="preserve">Jag vill inledningsvis framhålla att konkurrenskraft inte bör betraktas som ett mål i sig, utan som ett verktyg för att uppnå en långsiktigt hållbar och rättvis ekonomi. Det kräver att miljöhänsyn, arbetstagarrättigheter och jämlika villkor integreras i hela EU:s ekonomiska politik. Mot denna bakgrund framstår kommissionens konkurrenskraftskompass som alltför ensidigt inriktad på avreglering och näringslivets kortsiktiga villkor, snarare än en strategi för en rättvis omställning som omfattar hela </w:t>
            </w:r>
          </w:p>
          <w:p w14:paraId="2B2332A2" w14:textId="159A44E8" w:rsidR="007B050E" w:rsidRDefault="007B050E" w:rsidP="007B050E">
            <w:pPr>
              <w:widowControl w:val="0"/>
              <w:tabs>
                <w:tab w:val="left" w:pos="1701"/>
              </w:tabs>
              <w:ind w:left="712"/>
            </w:pPr>
            <w:r>
              <w:t xml:space="preserve">samhället. </w:t>
            </w:r>
          </w:p>
          <w:p w14:paraId="5A52228A" w14:textId="77777777" w:rsidR="007B050E" w:rsidRDefault="007B050E" w:rsidP="007B050E">
            <w:pPr>
              <w:widowControl w:val="0"/>
              <w:tabs>
                <w:tab w:val="left" w:pos="1701"/>
              </w:tabs>
              <w:ind w:left="712"/>
            </w:pPr>
          </w:p>
          <w:p w14:paraId="5E9041A4" w14:textId="77777777" w:rsidR="007B050E" w:rsidRDefault="007B050E" w:rsidP="007B050E">
            <w:pPr>
              <w:widowControl w:val="0"/>
              <w:tabs>
                <w:tab w:val="left" w:pos="1701"/>
              </w:tabs>
              <w:ind w:left="712"/>
            </w:pPr>
            <w:r>
              <w:t>En hållbar utveckling kräver att klimat- och miljölagstiftningen skyddas. Flera av de föreslagna förenklingsåtgärderna riskerar att försvaga omställningstakten, särskilt inom energi, tillståndsprocesser och hållbarhetsrapportering. Om konkurrenskraft ska uppnås genom sänkta standarder snarare än investeringar i utbildning, social trygghet och klimatsmart infrastruktur, undermineras både klimatmålen och EU:s sociala sammanhållning. Jag vill</w:t>
            </w:r>
          </w:p>
          <w:p w14:paraId="00A68CC8" w14:textId="77777777" w:rsidR="007B050E" w:rsidRDefault="007B050E" w:rsidP="007B050E">
            <w:pPr>
              <w:widowControl w:val="0"/>
              <w:tabs>
                <w:tab w:val="left" w:pos="1701"/>
              </w:tabs>
              <w:ind w:left="712"/>
            </w:pPr>
            <w:r>
              <w:t xml:space="preserve">därför se ett större fokus på offentliga investeringar i grön teknik, rättvis regional utveckling och fossilfri industri, särskilt inom områden där marknaden inte förmår bära hela omställningen. </w:t>
            </w:r>
          </w:p>
          <w:p w14:paraId="3C7683CD" w14:textId="77777777" w:rsidR="007B050E" w:rsidRDefault="007B050E" w:rsidP="007B050E">
            <w:pPr>
              <w:widowControl w:val="0"/>
              <w:tabs>
                <w:tab w:val="left" w:pos="1701"/>
              </w:tabs>
              <w:ind w:left="712"/>
            </w:pPr>
            <w:r>
              <w:t xml:space="preserve">Enligt min uppfattning är regeringens ståndpunkt inte är tillräckligt ambitiös och saknar en tydlig inriktning mot utsläppsminskningar, sysselsättning, klimaträttvisa. Statligt stöd är i detta </w:t>
            </w:r>
          </w:p>
          <w:p w14:paraId="005A47FF" w14:textId="10739061" w:rsidR="007B050E" w:rsidRDefault="007B050E" w:rsidP="007B050E">
            <w:pPr>
              <w:widowControl w:val="0"/>
              <w:tabs>
                <w:tab w:val="left" w:pos="1701"/>
              </w:tabs>
              <w:ind w:left="712"/>
            </w:pPr>
            <w:r>
              <w:t>sammanhang ett nödvändigt verktyg för att möjliggöra omställning där marknadslösningar inte är tillräckliga.</w:t>
            </w:r>
          </w:p>
          <w:p w14:paraId="0A4ACA1E" w14:textId="77777777" w:rsidR="007B050E" w:rsidRDefault="007B050E" w:rsidP="007B050E">
            <w:pPr>
              <w:widowControl w:val="0"/>
              <w:tabs>
                <w:tab w:val="left" w:pos="1701"/>
              </w:tabs>
              <w:ind w:left="712"/>
            </w:pPr>
          </w:p>
          <w:p w14:paraId="2288BEA1" w14:textId="29AB150C" w:rsidR="007B050E" w:rsidRDefault="007B050E" w:rsidP="007B050E">
            <w:pPr>
              <w:widowControl w:val="0"/>
              <w:tabs>
                <w:tab w:val="left" w:pos="1701"/>
              </w:tabs>
              <w:ind w:left="712"/>
            </w:pPr>
            <w:r>
              <w:t xml:space="preserve">Vidare anser jag att EU:s handelspolitik behöver bygga på principer om rättvisa och hållbarhet. Frihandelsavtal får inte prioriteras framför människors rättigheter, miljöskydd eller sociala villkor. </w:t>
            </w:r>
            <w:r>
              <w:lastRenderedPageBreak/>
              <w:t>EU:s handelspolitik ska vara ett verktyg för att bekämpa exploatering och främja en global utveckling som stärker demokrati, jämställdhet och ekologisk hållbarhet. Handelsrelationer ska inte begränsa länders möjligheter att stifta nya lagar för ökat klimat- och miljöskydd.</w:t>
            </w:r>
          </w:p>
          <w:p w14:paraId="235326C2" w14:textId="77777777" w:rsidR="007B050E" w:rsidRDefault="007B050E" w:rsidP="007B050E">
            <w:pPr>
              <w:widowControl w:val="0"/>
              <w:tabs>
                <w:tab w:val="left" w:pos="1701"/>
              </w:tabs>
              <w:ind w:left="712"/>
            </w:pPr>
          </w:p>
          <w:p w14:paraId="26BC0043" w14:textId="77777777" w:rsidR="007B050E" w:rsidRDefault="007B050E" w:rsidP="007B050E">
            <w:pPr>
              <w:widowControl w:val="0"/>
              <w:tabs>
                <w:tab w:val="left" w:pos="1701"/>
              </w:tabs>
              <w:ind w:left="712"/>
            </w:pPr>
            <w:r>
              <w:t>En rättvis omställning kräver att energipolitiken inriktas på att tillhandahålla stabila, prisvärda och fossilfria elleveranser. En ökad elektrifiering förutsätter inte bara nya produktionssatsningar, utan även investeringar i transmissionsnät och lokala energilösningar. EU:s energipolitik måste bidra till att undanröja flaskhalsar, minska beroendet av fossila bränslen och säkerställa att hushåll och företag i hela unionen har tillgång till rimliga</w:t>
            </w:r>
          </w:p>
          <w:p w14:paraId="7305FAC8" w14:textId="0ACAAD90" w:rsidR="007B050E" w:rsidRDefault="007B050E" w:rsidP="007B050E">
            <w:pPr>
              <w:widowControl w:val="0"/>
              <w:tabs>
                <w:tab w:val="left" w:pos="1701"/>
              </w:tabs>
              <w:ind w:left="712"/>
            </w:pPr>
            <w:r>
              <w:t>elpriser.</w:t>
            </w:r>
          </w:p>
          <w:p w14:paraId="1C7128BC" w14:textId="77777777" w:rsidR="007B050E" w:rsidRDefault="007B050E" w:rsidP="007B050E">
            <w:pPr>
              <w:widowControl w:val="0"/>
              <w:tabs>
                <w:tab w:val="left" w:pos="1701"/>
              </w:tabs>
              <w:ind w:left="712"/>
            </w:pPr>
          </w:p>
          <w:p w14:paraId="409304AA" w14:textId="77777777" w:rsidR="007B050E" w:rsidRDefault="007B050E" w:rsidP="007B050E">
            <w:pPr>
              <w:widowControl w:val="0"/>
              <w:tabs>
                <w:tab w:val="left" w:pos="1701"/>
              </w:tabs>
              <w:ind w:left="712"/>
            </w:pPr>
            <w:r>
              <w:t xml:space="preserve">Avslutningsvis menar jag att regeringens ståndpunkt inte tillräckligt beaktar risken med att konkurrenskraft görs till ett överordnat mål. När regeringens linje ensidigt lyfter näringslivets villkor och förenklingar, utan att säkerställa att sociala och arbetstagares </w:t>
            </w:r>
          </w:p>
          <w:p w14:paraId="46404A5D" w14:textId="2B719CA4" w:rsidR="007B050E" w:rsidRDefault="007B050E" w:rsidP="007B050E">
            <w:pPr>
              <w:widowControl w:val="0"/>
              <w:tabs>
                <w:tab w:val="left" w:pos="1701"/>
              </w:tabs>
              <w:ind w:left="712"/>
            </w:pPr>
            <w:r>
              <w:t xml:space="preserve">rättigheter får tillräckligt genomslag, riskerar detta att urholka </w:t>
            </w:r>
          </w:p>
          <w:p w14:paraId="41BA45E3" w14:textId="7511C85B" w:rsidR="007B050E" w:rsidRDefault="007B050E" w:rsidP="007B050E">
            <w:pPr>
              <w:widowControl w:val="0"/>
              <w:tabs>
                <w:tab w:val="left" w:pos="1701"/>
              </w:tabs>
              <w:ind w:left="712"/>
            </w:pPr>
            <w:r>
              <w:t xml:space="preserve">unionens långsiktiga hållbarhet och förtroendet för omställningspolitiken. EU:s </w:t>
            </w:r>
            <w:proofErr w:type="spellStart"/>
            <w:r>
              <w:t>konkurrenspolitik</w:t>
            </w:r>
            <w:proofErr w:type="spellEnd"/>
            <w:r>
              <w:t xml:space="preserve"> måste utformas så att även småföretag och lokala aktörer ges möjlighet att delta på jämlika villkor, i en ekonomi som förenar ekologisk bärkraft med social </w:t>
            </w:r>
          </w:p>
          <w:p w14:paraId="12550011" w14:textId="6A868A85" w:rsidR="007B050E" w:rsidRDefault="007B050E" w:rsidP="007B050E">
            <w:pPr>
              <w:widowControl w:val="0"/>
              <w:tabs>
                <w:tab w:val="left" w:pos="1701"/>
              </w:tabs>
              <w:ind w:left="712"/>
            </w:pPr>
            <w:r>
              <w:t>rättvisa.</w:t>
            </w:r>
          </w:p>
          <w:p w14:paraId="467D12D7" w14:textId="4748ABFB" w:rsidR="007B050E" w:rsidRDefault="007B050E" w:rsidP="007B050E">
            <w:pPr>
              <w:widowControl w:val="0"/>
              <w:tabs>
                <w:tab w:val="left" w:pos="1701"/>
              </w:tabs>
              <w:ind w:left="712"/>
            </w:pPr>
          </w:p>
          <w:p w14:paraId="4669D04B" w14:textId="1D0B3108" w:rsidR="0053512C" w:rsidRDefault="007B050E" w:rsidP="004431F3">
            <w:pPr>
              <w:widowControl w:val="0"/>
              <w:tabs>
                <w:tab w:val="left" w:pos="1701"/>
              </w:tabs>
            </w:pPr>
            <w:r>
              <w:t>MP</w:t>
            </w:r>
            <w:r w:rsidRPr="007B050E">
              <w:t>-ledamoten anmälde följande avvikande ståndpunkt:</w:t>
            </w:r>
          </w:p>
          <w:p w14:paraId="5164BD46" w14:textId="20BDF734" w:rsidR="007B050E" w:rsidRDefault="007B050E" w:rsidP="004431F3">
            <w:pPr>
              <w:widowControl w:val="0"/>
              <w:tabs>
                <w:tab w:val="left" w:pos="1701"/>
              </w:tabs>
            </w:pPr>
          </w:p>
          <w:p w14:paraId="49D44164" w14:textId="2D802664" w:rsidR="007B050E" w:rsidRDefault="007B050E" w:rsidP="007B050E">
            <w:pPr>
              <w:widowControl w:val="0"/>
              <w:tabs>
                <w:tab w:val="left" w:pos="1701"/>
              </w:tabs>
              <w:ind w:left="712"/>
            </w:pPr>
            <w:r>
              <w:t>Jag välkomnar konkurrenskraftskompassens ambitioner att stärka EU:s konkurrenskraft, men anser att den gröna omställningen måste utgöra en central drivkraft i detta arbete. Hållbar tillväxt bygger på att klimat- och miljömål integreras i den ekonomiska politiken – inte skjuts upp eller urholkas. Förenklingsåtgärder får inte leda till sänkta krav eller ojämlika konkurrensvillkor, vilket riskerar att bli följden av undantag i tillbörlig aktsamhet och uppskjuten hållbarhetsrapportering.</w:t>
            </w:r>
          </w:p>
          <w:p w14:paraId="284D9688" w14:textId="77777777" w:rsidR="007B050E" w:rsidRDefault="007B050E" w:rsidP="007B050E">
            <w:pPr>
              <w:widowControl w:val="0"/>
              <w:tabs>
                <w:tab w:val="left" w:pos="1701"/>
              </w:tabs>
              <w:ind w:left="712"/>
            </w:pPr>
          </w:p>
          <w:p w14:paraId="4504C45C" w14:textId="77777777" w:rsidR="007424A9" w:rsidRDefault="007B050E" w:rsidP="007B050E">
            <w:pPr>
              <w:widowControl w:val="0"/>
              <w:tabs>
                <w:tab w:val="left" w:pos="1701"/>
              </w:tabs>
              <w:ind w:left="712"/>
            </w:pPr>
            <w:r>
              <w:t xml:space="preserve">För att uppnå en långsiktigt konkurrenskraftig industri krävs </w:t>
            </w:r>
          </w:p>
          <w:p w14:paraId="6EDD8021" w14:textId="1EB29B83" w:rsidR="007B050E" w:rsidRDefault="007B050E" w:rsidP="007B050E">
            <w:pPr>
              <w:widowControl w:val="0"/>
              <w:tabs>
                <w:tab w:val="left" w:pos="1701"/>
              </w:tabs>
              <w:ind w:left="712"/>
            </w:pPr>
            <w:r>
              <w:t>tydlig prioritering av förnybar energi, elektrifiering och nätutbyggnad – inte fortsatt beroende av fossila lösningar. Särskilt viktigt är att skyndsamt fasa ut ryska fossila bränslen utan att skapa nya beroenden av andra osäkra leverantörer.</w:t>
            </w:r>
          </w:p>
          <w:p w14:paraId="3A03E989" w14:textId="77777777" w:rsidR="007B050E" w:rsidRDefault="007B050E" w:rsidP="007B050E">
            <w:pPr>
              <w:widowControl w:val="0"/>
              <w:tabs>
                <w:tab w:val="left" w:pos="1701"/>
              </w:tabs>
              <w:ind w:left="712"/>
            </w:pPr>
          </w:p>
          <w:p w14:paraId="3E616456" w14:textId="77777777" w:rsidR="007B050E" w:rsidRDefault="007B050E" w:rsidP="007B050E">
            <w:pPr>
              <w:widowControl w:val="0"/>
              <w:tabs>
                <w:tab w:val="left" w:pos="1701"/>
              </w:tabs>
              <w:ind w:left="712"/>
            </w:pPr>
            <w:r>
              <w:t xml:space="preserve">EU:s handelspolitik måste samtidigt främja hållbar utveckling och ställa höga krav på miljöhänsyn och mänskliga rättigheter i hela värdekedjan. En handelspolitik som prioriterar kortsiktig marknadstillgång utan att ta ansvar för arbetsvillkor, klimatpåverkan och lokalsamhällens rättigheter riskerar att underminera unionens trovärdighet och långsiktiga hållbarhet. Jag anser därför att EU:s handelspolitik måste grundas i principerna om rättvis och hållbar handel. Det innebär bl.a. att handelsrelationer ska stödja utvecklingssamarbete, skydda arbetstagares rättigheter och främja klimatomställning, inte minst genom att förhindra </w:t>
            </w:r>
          </w:p>
          <w:p w14:paraId="428953EB" w14:textId="3952F3D7" w:rsidR="007B050E" w:rsidRDefault="007B050E" w:rsidP="007B050E">
            <w:pPr>
              <w:widowControl w:val="0"/>
              <w:tabs>
                <w:tab w:val="left" w:pos="1701"/>
              </w:tabs>
              <w:ind w:left="712"/>
            </w:pPr>
            <w:r>
              <w:t xml:space="preserve">dumpning av miljökrav eller exploatering i länder med svagare regelverk. </w:t>
            </w:r>
          </w:p>
          <w:p w14:paraId="314B85A6" w14:textId="77777777" w:rsidR="007B050E" w:rsidRDefault="007B050E" w:rsidP="007B050E">
            <w:pPr>
              <w:widowControl w:val="0"/>
              <w:tabs>
                <w:tab w:val="left" w:pos="1701"/>
              </w:tabs>
              <w:ind w:left="712"/>
            </w:pPr>
          </w:p>
          <w:p w14:paraId="6F572A5A" w14:textId="77777777" w:rsidR="007B050E" w:rsidRDefault="007B050E" w:rsidP="007B050E">
            <w:pPr>
              <w:widowControl w:val="0"/>
              <w:tabs>
                <w:tab w:val="left" w:pos="1701"/>
              </w:tabs>
              <w:ind w:left="712"/>
            </w:pPr>
            <w:r>
              <w:t xml:space="preserve">Avslutningsvis bör industripolitiken bidra till att bygga framtidens gröna näringsliv. Mot denna bakgrund menar jag att </w:t>
            </w:r>
          </w:p>
          <w:p w14:paraId="59D53219" w14:textId="77777777" w:rsidR="007424A9" w:rsidRDefault="007B050E" w:rsidP="007B050E">
            <w:pPr>
              <w:widowControl w:val="0"/>
              <w:tabs>
                <w:tab w:val="left" w:pos="1701"/>
              </w:tabs>
              <w:ind w:left="712"/>
            </w:pPr>
            <w:r>
              <w:t xml:space="preserve">regeringens ståndpunkt inte i tillräcklig utsträckning beaktar de risker som följer av att göra den gröna omställningen till ett </w:t>
            </w:r>
          </w:p>
          <w:p w14:paraId="7DA56F81" w14:textId="62EDDA1B" w:rsidR="007B050E" w:rsidRDefault="007B050E" w:rsidP="007B050E">
            <w:pPr>
              <w:widowControl w:val="0"/>
              <w:tabs>
                <w:tab w:val="left" w:pos="1701"/>
              </w:tabs>
              <w:ind w:left="712"/>
            </w:pPr>
            <w:r>
              <w:t xml:space="preserve">medel för konkurrenskraft, snarare än ett mål i sig. När regeringen framhåller behovet av att i huvudsak mobilisera privat kapital och återgå till ett strikt statsstödsregelverk riskerar man att </w:t>
            </w:r>
          </w:p>
          <w:p w14:paraId="2A2379F0" w14:textId="77777777" w:rsidR="007B050E" w:rsidRDefault="007B050E" w:rsidP="007B050E">
            <w:pPr>
              <w:widowControl w:val="0"/>
              <w:tabs>
                <w:tab w:val="left" w:pos="1701"/>
              </w:tabs>
              <w:ind w:left="712"/>
            </w:pPr>
            <w:r>
              <w:t xml:space="preserve">underskatta den roll som offentliga investeringar och riktade stöd kan spela för att möjliggöra industrins omställning. En långsiktig och rättvis klimatomställning kräver stabila spelregler och ett </w:t>
            </w:r>
          </w:p>
          <w:p w14:paraId="32C15863" w14:textId="228BAF9E" w:rsidR="007B050E" w:rsidRDefault="007B050E" w:rsidP="007B050E">
            <w:pPr>
              <w:widowControl w:val="0"/>
              <w:tabs>
                <w:tab w:val="left" w:pos="1701"/>
              </w:tabs>
              <w:ind w:left="712"/>
            </w:pPr>
            <w:r>
              <w:t>aktivt användande av de verktyg som finns tillgängliga inklusive statsstöd för gröna framtidsbranscher där marknadslösningar inte räcker.</w:t>
            </w:r>
          </w:p>
          <w:p w14:paraId="2073EAEC" w14:textId="77777777" w:rsidR="0053512C" w:rsidRDefault="0053512C" w:rsidP="004431F3">
            <w:pPr>
              <w:widowControl w:val="0"/>
              <w:tabs>
                <w:tab w:val="left" w:pos="1701"/>
              </w:tabs>
            </w:pPr>
          </w:p>
          <w:p w14:paraId="168C6E29" w14:textId="77777777" w:rsidR="004431F3" w:rsidRDefault="004431F3" w:rsidP="0053512C">
            <w:pPr>
              <w:widowControl w:val="0"/>
              <w:tabs>
                <w:tab w:val="left" w:pos="1701"/>
              </w:tabs>
            </w:pPr>
            <w:r w:rsidRPr="00126CAC">
              <w:t>Under överläggningen närvarade även en tjänsteman från EU-nämndens kansli.</w:t>
            </w:r>
          </w:p>
          <w:p w14:paraId="4B06FDA9" w14:textId="0ADAD7D3" w:rsidR="004431F3" w:rsidRPr="006C0F9A" w:rsidRDefault="004431F3" w:rsidP="00824BBE">
            <w:pPr>
              <w:widowControl w:val="0"/>
              <w:tabs>
                <w:tab w:val="left" w:pos="1701"/>
              </w:tabs>
              <w:rPr>
                <w:b/>
                <w:bCs/>
              </w:rPr>
            </w:pPr>
          </w:p>
        </w:tc>
      </w:tr>
      <w:tr w:rsidR="00313C01" w:rsidRPr="006C0F9A" w14:paraId="4C612CE4" w14:textId="77777777" w:rsidTr="001324AA">
        <w:trPr>
          <w:trHeight w:val="950"/>
        </w:trPr>
        <w:tc>
          <w:tcPr>
            <w:tcW w:w="567" w:type="dxa"/>
          </w:tcPr>
          <w:p w14:paraId="798DF21D" w14:textId="6A6B65F9" w:rsidR="00313C01" w:rsidRDefault="00313C01" w:rsidP="00DC0D46">
            <w:pPr>
              <w:tabs>
                <w:tab w:val="left" w:pos="1701"/>
              </w:tabs>
              <w:rPr>
                <w:b/>
                <w:snapToGrid w:val="0"/>
              </w:rPr>
            </w:pPr>
            <w:r>
              <w:rPr>
                <w:b/>
                <w:snapToGrid w:val="0"/>
              </w:rPr>
              <w:lastRenderedPageBreak/>
              <w:t xml:space="preserve">§ </w:t>
            </w:r>
            <w:r w:rsidR="00824BBE">
              <w:rPr>
                <w:b/>
                <w:snapToGrid w:val="0"/>
              </w:rPr>
              <w:t>3</w:t>
            </w:r>
          </w:p>
        </w:tc>
        <w:tc>
          <w:tcPr>
            <w:tcW w:w="7162" w:type="dxa"/>
          </w:tcPr>
          <w:p w14:paraId="323E6827" w14:textId="5C1FE9A4" w:rsidR="00313C01" w:rsidRDefault="00824BBE" w:rsidP="00313C01">
            <w:pPr>
              <w:widowControl w:val="0"/>
              <w:tabs>
                <w:tab w:val="left" w:pos="1701"/>
              </w:tabs>
              <w:rPr>
                <w:b/>
                <w:bCs/>
              </w:rPr>
            </w:pPr>
            <w:r w:rsidRPr="00824BBE">
              <w:rPr>
                <w:b/>
                <w:bCs/>
              </w:rPr>
              <w:t>Energipolitik (NU19)</w:t>
            </w:r>
          </w:p>
          <w:p w14:paraId="1F2E80C1" w14:textId="77777777" w:rsidR="00313C01" w:rsidRDefault="00313C01" w:rsidP="00313C01">
            <w:pPr>
              <w:widowControl w:val="0"/>
              <w:tabs>
                <w:tab w:val="left" w:pos="1701"/>
              </w:tabs>
              <w:rPr>
                <w:b/>
                <w:bCs/>
              </w:rPr>
            </w:pPr>
          </w:p>
          <w:p w14:paraId="560E24C2" w14:textId="34973478" w:rsidR="00313C01" w:rsidRDefault="00313C01" w:rsidP="00313C01">
            <w:pPr>
              <w:widowControl w:val="0"/>
              <w:tabs>
                <w:tab w:val="left" w:pos="1701"/>
              </w:tabs>
            </w:pPr>
            <w:r>
              <w:t xml:space="preserve">Utskottet fortsatte beredningen av </w:t>
            </w:r>
            <w:r w:rsidR="00824BBE">
              <w:t>motioner</w:t>
            </w:r>
            <w:r w:rsidR="004431F3">
              <w:t>.</w:t>
            </w:r>
          </w:p>
          <w:p w14:paraId="77A50C9A" w14:textId="77777777" w:rsidR="00313C01" w:rsidRDefault="00313C01" w:rsidP="00313C01">
            <w:pPr>
              <w:widowControl w:val="0"/>
              <w:tabs>
                <w:tab w:val="left" w:pos="1701"/>
              </w:tabs>
            </w:pPr>
          </w:p>
          <w:p w14:paraId="14E1B091" w14:textId="77777777" w:rsidR="00313C01" w:rsidRDefault="00824BBE" w:rsidP="004C2215">
            <w:pPr>
              <w:widowControl w:val="0"/>
              <w:tabs>
                <w:tab w:val="left" w:pos="1701"/>
              </w:tabs>
            </w:pPr>
            <w:r>
              <w:t>Ärendet bordlades.</w:t>
            </w:r>
          </w:p>
          <w:p w14:paraId="558E3A58" w14:textId="1609E6A3" w:rsidR="00824BBE" w:rsidRPr="004C2215" w:rsidRDefault="00824BBE" w:rsidP="004C2215">
            <w:pPr>
              <w:widowControl w:val="0"/>
              <w:tabs>
                <w:tab w:val="left" w:pos="1701"/>
              </w:tabs>
            </w:pPr>
          </w:p>
        </w:tc>
      </w:tr>
      <w:tr w:rsidR="00824BBE" w:rsidRPr="006C0F9A" w14:paraId="067F8E31" w14:textId="77777777" w:rsidTr="001324AA">
        <w:trPr>
          <w:trHeight w:val="950"/>
        </w:trPr>
        <w:tc>
          <w:tcPr>
            <w:tcW w:w="567" w:type="dxa"/>
          </w:tcPr>
          <w:p w14:paraId="238CA7D8" w14:textId="71B11F9D" w:rsidR="00824BBE" w:rsidRDefault="00824BBE" w:rsidP="00DC0D46">
            <w:pPr>
              <w:tabs>
                <w:tab w:val="left" w:pos="1701"/>
              </w:tabs>
              <w:rPr>
                <w:b/>
                <w:snapToGrid w:val="0"/>
              </w:rPr>
            </w:pPr>
            <w:r>
              <w:rPr>
                <w:b/>
                <w:snapToGrid w:val="0"/>
              </w:rPr>
              <w:t>§ 4</w:t>
            </w:r>
          </w:p>
        </w:tc>
        <w:tc>
          <w:tcPr>
            <w:tcW w:w="7162" w:type="dxa"/>
          </w:tcPr>
          <w:p w14:paraId="3316CD03" w14:textId="77777777" w:rsidR="00824BBE" w:rsidRDefault="00824BBE" w:rsidP="00824BBE">
            <w:pPr>
              <w:widowControl w:val="0"/>
              <w:tabs>
                <w:tab w:val="left" w:pos="1701"/>
              </w:tabs>
              <w:rPr>
                <w:b/>
                <w:bCs/>
                <w:iCs/>
              </w:rPr>
            </w:pPr>
            <w:r w:rsidRPr="00214AC9">
              <w:rPr>
                <w:b/>
                <w:bCs/>
                <w:iCs/>
              </w:rPr>
              <w:t>Riksdagens skrivelser till regeringen – åtgärder under 2024</w:t>
            </w:r>
          </w:p>
          <w:p w14:paraId="4AB8ADB9" w14:textId="06F35680" w:rsidR="00824BBE" w:rsidRDefault="00824BBE" w:rsidP="00824BBE">
            <w:pPr>
              <w:widowControl w:val="0"/>
              <w:tabs>
                <w:tab w:val="left" w:pos="1701"/>
              </w:tabs>
              <w:rPr>
                <w:szCs w:val="23"/>
              </w:rPr>
            </w:pPr>
            <w:r w:rsidRPr="00214AC9">
              <w:rPr>
                <w:b/>
                <w:bCs/>
                <w:iCs/>
              </w:rPr>
              <w:br/>
            </w:r>
            <w:r w:rsidRPr="00F2349C">
              <w:rPr>
                <w:szCs w:val="23"/>
              </w:rPr>
              <w:t xml:space="preserve">Utskottet </w:t>
            </w:r>
            <w:r>
              <w:rPr>
                <w:szCs w:val="23"/>
              </w:rPr>
              <w:t xml:space="preserve">fortsatte beredningen av </w:t>
            </w:r>
            <w:r w:rsidRPr="00F2349C">
              <w:rPr>
                <w:szCs w:val="23"/>
              </w:rPr>
              <w:t xml:space="preserve">yttrande till konstitutionsutskottet över </w:t>
            </w:r>
            <w:r>
              <w:rPr>
                <w:szCs w:val="23"/>
              </w:rPr>
              <w:t>skrivelse 2024/25:75.</w:t>
            </w:r>
          </w:p>
          <w:p w14:paraId="404A133D" w14:textId="74D0E17A" w:rsidR="00824BBE" w:rsidRDefault="00824BBE" w:rsidP="00824BBE">
            <w:pPr>
              <w:widowControl w:val="0"/>
              <w:tabs>
                <w:tab w:val="left" w:pos="1701"/>
              </w:tabs>
              <w:rPr>
                <w:szCs w:val="23"/>
              </w:rPr>
            </w:pPr>
          </w:p>
          <w:p w14:paraId="0C66E8C1" w14:textId="310AC260" w:rsidR="00824BBE" w:rsidRPr="00F2349C" w:rsidRDefault="00824BBE" w:rsidP="00824BBE">
            <w:pPr>
              <w:widowControl w:val="0"/>
              <w:tabs>
                <w:tab w:val="left" w:pos="1701"/>
              </w:tabs>
              <w:rPr>
                <w:szCs w:val="23"/>
              </w:rPr>
            </w:pPr>
            <w:r>
              <w:rPr>
                <w:szCs w:val="23"/>
              </w:rPr>
              <w:t>Ärendet bordlades.</w:t>
            </w:r>
          </w:p>
          <w:p w14:paraId="660FC82F" w14:textId="77777777" w:rsidR="00824BBE" w:rsidRPr="00824BBE" w:rsidRDefault="00824BBE" w:rsidP="00313C01">
            <w:pPr>
              <w:widowControl w:val="0"/>
              <w:tabs>
                <w:tab w:val="left" w:pos="1701"/>
              </w:tabs>
              <w:rPr>
                <w:b/>
                <w:bCs/>
              </w:rPr>
            </w:pPr>
          </w:p>
        </w:tc>
      </w:tr>
      <w:tr w:rsidR="00824BBE" w:rsidRPr="006C0F9A" w14:paraId="14DEAD2D" w14:textId="77777777" w:rsidTr="001324AA">
        <w:trPr>
          <w:trHeight w:val="950"/>
        </w:trPr>
        <w:tc>
          <w:tcPr>
            <w:tcW w:w="567" w:type="dxa"/>
          </w:tcPr>
          <w:p w14:paraId="197EC777" w14:textId="2D8E2992" w:rsidR="00824BBE" w:rsidRDefault="00824BBE" w:rsidP="00DC0D46">
            <w:pPr>
              <w:tabs>
                <w:tab w:val="left" w:pos="1701"/>
              </w:tabs>
              <w:rPr>
                <w:b/>
                <w:snapToGrid w:val="0"/>
              </w:rPr>
            </w:pPr>
            <w:r>
              <w:rPr>
                <w:b/>
                <w:snapToGrid w:val="0"/>
              </w:rPr>
              <w:t>§ 5</w:t>
            </w:r>
          </w:p>
        </w:tc>
        <w:tc>
          <w:tcPr>
            <w:tcW w:w="7162" w:type="dxa"/>
          </w:tcPr>
          <w:p w14:paraId="54421F1F" w14:textId="77777777" w:rsidR="00824BBE" w:rsidRDefault="00824BBE" w:rsidP="00824BBE">
            <w:pPr>
              <w:widowControl w:val="0"/>
              <w:tabs>
                <w:tab w:val="left" w:pos="1701"/>
              </w:tabs>
              <w:rPr>
                <w:b/>
                <w:bCs/>
                <w:iCs/>
              </w:rPr>
            </w:pPr>
            <w:r w:rsidRPr="00824BBE">
              <w:rPr>
                <w:b/>
                <w:bCs/>
                <w:iCs/>
              </w:rPr>
              <w:t>Finansiering och riskdelning vid investeringar i ny kärnkraft (NU20)</w:t>
            </w:r>
          </w:p>
          <w:p w14:paraId="22B73542" w14:textId="77777777" w:rsidR="00824BBE" w:rsidRDefault="00824BBE" w:rsidP="00824BBE">
            <w:pPr>
              <w:widowControl w:val="0"/>
              <w:tabs>
                <w:tab w:val="left" w:pos="1701"/>
              </w:tabs>
              <w:rPr>
                <w:b/>
                <w:bCs/>
                <w:iCs/>
              </w:rPr>
            </w:pPr>
          </w:p>
          <w:p w14:paraId="1A7B52A4" w14:textId="63EC644D" w:rsidR="00824BBE" w:rsidRDefault="00824BBE" w:rsidP="00824BBE">
            <w:pPr>
              <w:widowControl w:val="0"/>
              <w:tabs>
                <w:tab w:val="left" w:pos="1701"/>
              </w:tabs>
              <w:rPr>
                <w:iCs/>
              </w:rPr>
            </w:pPr>
            <w:r w:rsidRPr="009B631B">
              <w:rPr>
                <w:iCs/>
              </w:rPr>
              <w:t>Utskottet inledde beredningen av</w:t>
            </w:r>
            <w:r>
              <w:rPr>
                <w:iCs/>
              </w:rPr>
              <w:t xml:space="preserve"> proposition 2024/25:75 och motioner.</w:t>
            </w:r>
          </w:p>
          <w:p w14:paraId="081E2031" w14:textId="77777777" w:rsidR="00824BBE" w:rsidRDefault="00824BBE" w:rsidP="00824BBE">
            <w:pPr>
              <w:widowControl w:val="0"/>
              <w:tabs>
                <w:tab w:val="left" w:pos="1701"/>
              </w:tabs>
              <w:rPr>
                <w:iCs/>
              </w:rPr>
            </w:pPr>
          </w:p>
          <w:p w14:paraId="06C5BDA3" w14:textId="77777777" w:rsidR="00824BBE" w:rsidRDefault="00824BBE" w:rsidP="00824BBE">
            <w:pPr>
              <w:widowControl w:val="0"/>
              <w:tabs>
                <w:tab w:val="left" w:pos="1701"/>
              </w:tabs>
              <w:rPr>
                <w:iCs/>
              </w:rPr>
            </w:pPr>
            <w:r w:rsidRPr="009B631B">
              <w:rPr>
                <w:iCs/>
              </w:rPr>
              <w:t>Ärendet bordlades</w:t>
            </w:r>
            <w:r>
              <w:rPr>
                <w:iCs/>
              </w:rPr>
              <w:t>.</w:t>
            </w:r>
          </w:p>
          <w:p w14:paraId="2FB6DA3A" w14:textId="07B0BFB5" w:rsidR="00824BBE" w:rsidRPr="00214AC9" w:rsidRDefault="00824BBE" w:rsidP="00824BBE">
            <w:pPr>
              <w:widowControl w:val="0"/>
              <w:tabs>
                <w:tab w:val="left" w:pos="1701"/>
              </w:tabs>
              <w:rPr>
                <w:b/>
                <w:bCs/>
                <w:iCs/>
              </w:rPr>
            </w:pPr>
          </w:p>
        </w:tc>
      </w:tr>
      <w:tr w:rsidR="006D4AF7" w:rsidRPr="006C0F9A" w14:paraId="0A584C7B" w14:textId="77777777" w:rsidTr="001324AA">
        <w:trPr>
          <w:trHeight w:val="950"/>
        </w:trPr>
        <w:tc>
          <w:tcPr>
            <w:tcW w:w="567" w:type="dxa"/>
          </w:tcPr>
          <w:p w14:paraId="5399ED8A" w14:textId="0B529B78" w:rsidR="006D4AF7" w:rsidRDefault="006D4AF7" w:rsidP="00DC0D46">
            <w:pPr>
              <w:tabs>
                <w:tab w:val="left" w:pos="1701"/>
              </w:tabs>
              <w:rPr>
                <w:b/>
                <w:snapToGrid w:val="0"/>
              </w:rPr>
            </w:pPr>
            <w:r>
              <w:rPr>
                <w:b/>
                <w:snapToGrid w:val="0"/>
              </w:rPr>
              <w:t>§ 6</w:t>
            </w:r>
          </w:p>
        </w:tc>
        <w:tc>
          <w:tcPr>
            <w:tcW w:w="7162" w:type="dxa"/>
          </w:tcPr>
          <w:p w14:paraId="4D8EBB1F" w14:textId="73618EC7" w:rsidR="006D4AF7" w:rsidRDefault="006D4AF7" w:rsidP="00824BBE">
            <w:pPr>
              <w:widowControl w:val="0"/>
              <w:tabs>
                <w:tab w:val="left" w:pos="1701"/>
              </w:tabs>
              <w:rPr>
                <w:sz w:val="23"/>
                <w:szCs w:val="23"/>
              </w:rPr>
            </w:pPr>
            <w:r w:rsidRPr="00FE717B">
              <w:rPr>
                <w:b/>
                <w:bCs/>
                <w:iCs/>
              </w:rPr>
              <w:t xml:space="preserve">Ersättning till radio- och </w:t>
            </w:r>
            <w:proofErr w:type="spellStart"/>
            <w:r w:rsidRPr="00FE717B">
              <w:rPr>
                <w:b/>
                <w:bCs/>
                <w:iCs/>
              </w:rPr>
              <w:t>tv-företag</w:t>
            </w:r>
            <w:proofErr w:type="spellEnd"/>
            <w:r w:rsidRPr="00FE717B">
              <w:rPr>
                <w:b/>
                <w:bCs/>
                <w:iCs/>
              </w:rPr>
              <w:t xml:space="preserve"> vid privatkopiering (NU21)</w:t>
            </w:r>
            <w:r>
              <w:rPr>
                <w:b/>
                <w:bCs/>
                <w:iCs/>
              </w:rPr>
              <w:br/>
            </w:r>
          </w:p>
          <w:p w14:paraId="5A02DAEE" w14:textId="00EBDBF2" w:rsidR="006D4AF7" w:rsidRDefault="006D4AF7" w:rsidP="006D4AF7">
            <w:pPr>
              <w:widowControl w:val="0"/>
              <w:tabs>
                <w:tab w:val="left" w:pos="1701"/>
              </w:tabs>
              <w:rPr>
                <w:iCs/>
              </w:rPr>
            </w:pPr>
            <w:r w:rsidRPr="009B631B">
              <w:rPr>
                <w:iCs/>
              </w:rPr>
              <w:t>Utskottet inledde beredningen av</w:t>
            </w:r>
            <w:r>
              <w:rPr>
                <w:iCs/>
              </w:rPr>
              <w:t xml:space="preserve"> proposition 2024/25:137 och motioner.</w:t>
            </w:r>
          </w:p>
          <w:p w14:paraId="3A95C13D" w14:textId="77777777" w:rsidR="006D4AF7" w:rsidRDefault="006D4AF7" w:rsidP="006D4AF7">
            <w:pPr>
              <w:widowControl w:val="0"/>
              <w:tabs>
                <w:tab w:val="left" w:pos="1701"/>
              </w:tabs>
              <w:rPr>
                <w:iCs/>
              </w:rPr>
            </w:pPr>
          </w:p>
          <w:p w14:paraId="1E2326C4" w14:textId="77777777" w:rsidR="006D4AF7" w:rsidRDefault="006D4AF7" w:rsidP="006D4AF7">
            <w:pPr>
              <w:widowControl w:val="0"/>
              <w:tabs>
                <w:tab w:val="left" w:pos="1701"/>
              </w:tabs>
              <w:rPr>
                <w:iCs/>
              </w:rPr>
            </w:pPr>
            <w:r w:rsidRPr="009B631B">
              <w:rPr>
                <w:iCs/>
              </w:rPr>
              <w:t>Ärendet bordlades</w:t>
            </w:r>
            <w:r>
              <w:rPr>
                <w:iCs/>
              </w:rPr>
              <w:t>.</w:t>
            </w:r>
          </w:p>
          <w:p w14:paraId="533A9AFA" w14:textId="566075A9" w:rsidR="006D4AF7" w:rsidRPr="00824BBE" w:rsidRDefault="006D4AF7" w:rsidP="00824BBE">
            <w:pPr>
              <w:widowControl w:val="0"/>
              <w:tabs>
                <w:tab w:val="left" w:pos="1701"/>
              </w:tabs>
              <w:rPr>
                <w:b/>
                <w:bCs/>
                <w:iCs/>
              </w:rPr>
            </w:pPr>
          </w:p>
        </w:tc>
      </w:tr>
      <w:tr w:rsidR="00313C01" w:rsidRPr="006C0F9A" w14:paraId="2E62BAD6" w14:textId="77777777" w:rsidTr="001324AA">
        <w:trPr>
          <w:trHeight w:val="950"/>
        </w:trPr>
        <w:tc>
          <w:tcPr>
            <w:tcW w:w="567" w:type="dxa"/>
          </w:tcPr>
          <w:p w14:paraId="4B5609B0" w14:textId="1EE36FD0" w:rsidR="00313C01" w:rsidRDefault="00313C01" w:rsidP="00DC0D46">
            <w:pPr>
              <w:tabs>
                <w:tab w:val="left" w:pos="1701"/>
              </w:tabs>
              <w:rPr>
                <w:b/>
                <w:snapToGrid w:val="0"/>
              </w:rPr>
            </w:pPr>
            <w:r>
              <w:rPr>
                <w:b/>
                <w:snapToGrid w:val="0"/>
              </w:rPr>
              <w:t xml:space="preserve">§ </w:t>
            </w:r>
            <w:r w:rsidR="006D4AF7">
              <w:rPr>
                <w:b/>
                <w:snapToGrid w:val="0"/>
              </w:rPr>
              <w:t>7</w:t>
            </w:r>
          </w:p>
        </w:tc>
        <w:tc>
          <w:tcPr>
            <w:tcW w:w="7162" w:type="dxa"/>
          </w:tcPr>
          <w:p w14:paraId="44EF3D16" w14:textId="77777777" w:rsidR="002C52F8" w:rsidRDefault="002C52F8" w:rsidP="00F2349C">
            <w:pPr>
              <w:widowControl w:val="0"/>
              <w:tabs>
                <w:tab w:val="left" w:pos="1701"/>
              </w:tabs>
              <w:rPr>
                <w:b/>
                <w:bCs/>
                <w:iCs/>
              </w:rPr>
            </w:pPr>
            <w:r w:rsidRPr="002C52F8">
              <w:rPr>
                <w:b/>
                <w:bCs/>
                <w:iCs/>
              </w:rPr>
              <w:t>Överläggning om EU-frågor</w:t>
            </w:r>
          </w:p>
          <w:p w14:paraId="469D35AF" w14:textId="3F026068" w:rsidR="0025174A" w:rsidRDefault="00313C01" w:rsidP="005A17C9">
            <w:pPr>
              <w:widowControl w:val="0"/>
              <w:tabs>
                <w:tab w:val="left" w:pos="1701"/>
              </w:tabs>
            </w:pPr>
            <w:r w:rsidRPr="00214AC9">
              <w:rPr>
                <w:b/>
                <w:bCs/>
                <w:iCs/>
              </w:rPr>
              <w:br/>
            </w:r>
            <w:r w:rsidR="002C52F8" w:rsidRPr="002C52F8">
              <w:t xml:space="preserve">Utskottet beslutade att överlägga med regeringen om </w:t>
            </w:r>
            <w:r w:rsidR="005A17C9">
              <w:t xml:space="preserve">Regeringskansliets faktapromemoria </w:t>
            </w:r>
            <w:r w:rsidR="005A17C9" w:rsidRPr="005A17C9">
              <w:t>2024/</w:t>
            </w:r>
            <w:proofErr w:type="gramStart"/>
            <w:r w:rsidR="005A17C9" w:rsidRPr="005A17C9">
              <w:t>25:FPM</w:t>
            </w:r>
            <w:proofErr w:type="gramEnd"/>
            <w:r w:rsidR="006D4AF7">
              <w:t>32</w:t>
            </w:r>
            <w:r w:rsidR="005A17C9">
              <w:t xml:space="preserve"> </w:t>
            </w:r>
            <w:r w:rsidR="006D4AF7" w:rsidRPr="006D4AF7">
              <w:t>Meddelande om genomförande och förenkling</w:t>
            </w:r>
            <w:r w:rsidR="006D4AF7">
              <w:t>.</w:t>
            </w:r>
          </w:p>
          <w:p w14:paraId="0EA66B3A" w14:textId="77777777" w:rsidR="006D4AF7" w:rsidRDefault="006D4AF7" w:rsidP="005A17C9">
            <w:pPr>
              <w:widowControl w:val="0"/>
              <w:tabs>
                <w:tab w:val="left" w:pos="1701"/>
              </w:tabs>
            </w:pPr>
          </w:p>
          <w:p w14:paraId="4F885102" w14:textId="1B85987C" w:rsidR="0025174A" w:rsidRDefault="0025174A" w:rsidP="005A17C9">
            <w:pPr>
              <w:widowControl w:val="0"/>
              <w:tabs>
                <w:tab w:val="left" w:pos="1701"/>
              </w:tabs>
            </w:pPr>
            <w:r>
              <w:t xml:space="preserve">Denna paragraf förklarades omedelbart justerad. </w:t>
            </w:r>
          </w:p>
          <w:p w14:paraId="6F378444" w14:textId="3FDA1FE3" w:rsidR="0053512C" w:rsidRDefault="0053512C" w:rsidP="005A17C9">
            <w:pPr>
              <w:widowControl w:val="0"/>
              <w:tabs>
                <w:tab w:val="left" w:pos="1701"/>
              </w:tabs>
            </w:pPr>
          </w:p>
          <w:p w14:paraId="2E06129F" w14:textId="3A05185B" w:rsidR="0053512C" w:rsidRDefault="0053512C" w:rsidP="005A17C9">
            <w:pPr>
              <w:widowControl w:val="0"/>
              <w:tabs>
                <w:tab w:val="left" w:pos="1701"/>
              </w:tabs>
            </w:pPr>
          </w:p>
          <w:p w14:paraId="3EBE878B" w14:textId="290757F9" w:rsidR="00313C01" w:rsidRPr="00313C01" w:rsidRDefault="00313C01" w:rsidP="00F2349C">
            <w:pPr>
              <w:widowControl w:val="0"/>
              <w:tabs>
                <w:tab w:val="left" w:pos="1701"/>
              </w:tabs>
              <w:rPr>
                <w:b/>
                <w:bCs/>
              </w:rPr>
            </w:pPr>
          </w:p>
        </w:tc>
      </w:tr>
      <w:tr w:rsidR="00313C01" w:rsidRPr="006C0F9A" w14:paraId="7F7193A0" w14:textId="77777777" w:rsidTr="001324AA">
        <w:trPr>
          <w:trHeight w:val="950"/>
        </w:trPr>
        <w:tc>
          <w:tcPr>
            <w:tcW w:w="567" w:type="dxa"/>
          </w:tcPr>
          <w:p w14:paraId="0C52FA8F" w14:textId="2F0DBE9C" w:rsidR="00313C01" w:rsidRDefault="00313C01" w:rsidP="00DC0D46">
            <w:pPr>
              <w:tabs>
                <w:tab w:val="left" w:pos="1701"/>
              </w:tabs>
              <w:rPr>
                <w:b/>
                <w:snapToGrid w:val="0"/>
              </w:rPr>
            </w:pPr>
            <w:r>
              <w:rPr>
                <w:b/>
                <w:snapToGrid w:val="0"/>
              </w:rPr>
              <w:lastRenderedPageBreak/>
              <w:t xml:space="preserve">§ </w:t>
            </w:r>
            <w:r w:rsidR="006D4AF7">
              <w:rPr>
                <w:b/>
                <w:snapToGrid w:val="0"/>
              </w:rPr>
              <w:t>8</w:t>
            </w:r>
          </w:p>
        </w:tc>
        <w:tc>
          <w:tcPr>
            <w:tcW w:w="7162" w:type="dxa"/>
          </w:tcPr>
          <w:p w14:paraId="5A534B1E" w14:textId="77777777" w:rsidR="006D4AF7" w:rsidRDefault="006D4AF7" w:rsidP="004C2215">
            <w:pPr>
              <w:widowControl w:val="0"/>
              <w:tabs>
                <w:tab w:val="left" w:pos="1701"/>
              </w:tabs>
              <w:rPr>
                <w:b/>
                <w:bCs/>
              </w:rPr>
            </w:pPr>
            <w:r w:rsidRPr="008E09BA">
              <w:rPr>
                <w:b/>
                <w:bCs/>
              </w:rPr>
              <w:t>Förslag till direktiv om ändring av direktiven (EU) 2022/2464 och (EU) 2024/1760 vad gäller de datum från och med vilka medlemsstaterna ska tillämpa vissa krav avseende hållbarhetsrapportering och tillbörlig aktsamhet för företag</w:t>
            </w:r>
          </w:p>
          <w:p w14:paraId="622E40A0" w14:textId="77777777" w:rsidR="006D4AF7" w:rsidRDefault="006D4AF7" w:rsidP="004C2215">
            <w:pPr>
              <w:widowControl w:val="0"/>
              <w:tabs>
                <w:tab w:val="left" w:pos="1701"/>
              </w:tabs>
              <w:rPr>
                <w:b/>
                <w:bCs/>
              </w:rPr>
            </w:pPr>
          </w:p>
          <w:p w14:paraId="03B248C0" w14:textId="4B891F99" w:rsidR="006D4AF7" w:rsidRDefault="006D4AF7" w:rsidP="006D4AF7">
            <w:pPr>
              <w:widowControl w:val="0"/>
              <w:tabs>
                <w:tab w:val="left" w:pos="1701"/>
              </w:tabs>
            </w:pPr>
            <w:r w:rsidRPr="006D4AF7">
              <w:t xml:space="preserve">Utskottet inledde subsidiaritetsprövningen av </w:t>
            </w:r>
            <w:proofErr w:type="gramStart"/>
            <w:r w:rsidRPr="006D4AF7">
              <w:t>COM(</w:t>
            </w:r>
            <w:proofErr w:type="gramEnd"/>
            <w:r w:rsidRPr="006D4AF7">
              <w:t xml:space="preserve">2025) </w:t>
            </w:r>
            <w:r>
              <w:t>80</w:t>
            </w:r>
            <w:r w:rsidRPr="006D4AF7">
              <w:t>.</w:t>
            </w:r>
          </w:p>
          <w:p w14:paraId="668E0D44" w14:textId="729FDDFD" w:rsidR="007315BE" w:rsidRDefault="007315BE" w:rsidP="006D4AF7">
            <w:pPr>
              <w:widowControl w:val="0"/>
              <w:tabs>
                <w:tab w:val="left" w:pos="1701"/>
              </w:tabs>
            </w:pPr>
          </w:p>
          <w:p w14:paraId="7A142F83" w14:textId="591EA61E" w:rsidR="007315BE" w:rsidRPr="006D4AF7" w:rsidRDefault="007315BE" w:rsidP="006D4AF7">
            <w:pPr>
              <w:widowControl w:val="0"/>
              <w:tabs>
                <w:tab w:val="left" w:pos="1701"/>
              </w:tabs>
            </w:pPr>
            <w:r>
              <w:t>Utskottet noterade att förslaget</w:t>
            </w:r>
            <w:r w:rsidR="000726F3">
              <w:t xml:space="preserve"> </w:t>
            </w:r>
            <w:r>
              <w:t>är antaget.</w:t>
            </w:r>
          </w:p>
          <w:p w14:paraId="699DB1DC" w14:textId="77777777" w:rsidR="006D4AF7" w:rsidRPr="006D4AF7" w:rsidRDefault="006D4AF7" w:rsidP="006D4AF7">
            <w:pPr>
              <w:widowControl w:val="0"/>
              <w:tabs>
                <w:tab w:val="left" w:pos="1701"/>
              </w:tabs>
            </w:pPr>
          </w:p>
          <w:p w14:paraId="666302DC" w14:textId="61BD2308" w:rsidR="001927AE" w:rsidRPr="002C52F8" w:rsidRDefault="006D4AF7" w:rsidP="006D4AF7">
            <w:pPr>
              <w:widowControl w:val="0"/>
              <w:tabs>
                <w:tab w:val="left" w:pos="1701"/>
              </w:tabs>
              <w:rPr>
                <w:iCs/>
              </w:rPr>
            </w:pPr>
            <w:r w:rsidRPr="006D4AF7">
              <w:t>Utskottet ansåg att förslaget inte strider mot subsidiaritetsprincipen.</w:t>
            </w:r>
            <w:r w:rsidRPr="006D4AF7">
              <w:br/>
            </w:r>
          </w:p>
        </w:tc>
      </w:tr>
      <w:tr w:rsidR="006D4AF7" w:rsidRPr="006C0F9A" w14:paraId="6B670096" w14:textId="77777777" w:rsidTr="001324AA">
        <w:trPr>
          <w:trHeight w:val="950"/>
        </w:trPr>
        <w:tc>
          <w:tcPr>
            <w:tcW w:w="567" w:type="dxa"/>
          </w:tcPr>
          <w:p w14:paraId="6CFCC807" w14:textId="066A1B99" w:rsidR="006D4AF7" w:rsidRDefault="006D4AF7" w:rsidP="00DC0D46">
            <w:pPr>
              <w:tabs>
                <w:tab w:val="left" w:pos="1701"/>
              </w:tabs>
              <w:rPr>
                <w:b/>
                <w:snapToGrid w:val="0"/>
              </w:rPr>
            </w:pPr>
            <w:r>
              <w:rPr>
                <w:b/>
                <w:snapToGrid w:val="0"/>
              </w:rPr>
              <w:t>§ 9</w:t>
            </w:r>
          </w:p>
        </w:tc>
        <w:tc>
          <w:tcPr>
            <w:tcW w:w="7162" w:type="dxa"/>
          </w:tcPr>
          <w:p w14:paraId="047AD192" w14:textId="77777777" w:rsidR="006D4AF7" w:rsidRDefault="006D4AF7" w:rsidP="004C2215">
            <w:pPr>
              <w:widowControl w:val="0"/>
              <w:tabs>
                <w:tab w:val="left" w:pos="1701"/>
              </w:tabs>
              <w:rPr>
                <w:b/>
                <w:bCs/>
              </w:rPr>
            </w:pPr>
            <w:r w:rsidRPr="008E09BA">
              <w:rPr>
                <w:b/>
                <w:bCs/>
              </w:rPr>
              <w:t xml:space="preserve">Förslag till direktiv om ändring av direktiven 2006/43/EG, 2013/34/EU, (EU) 2022/2464 och (EU) 2024/1760 vad gäller vissa krav avseende företagens hållbarhetsrapportering och tillbörlig aktsamhet för företag i fråga om hållbarhet </w:t>
            </w:r>
          </w:p>
          <w:p w14:paraId="3A82BE2F" w14:textId="77777777" w:rsidR="006D4AF7" w:rsidRDefault="006D4AF7" w:rsidP="004C2215">
            <w:pPr>
              <w:widowControl w:val="0"/>
              <w:tabs>
                <w:tab w:val="left" w:pos="1701"/>
              </w:tabs>
              <w:rPr>
                <w:b/>
                <w:bCs/>
              </w:rPr>
            </w:pPr>
          </w:p>
          <w:p w14:paraId="1C059219" w14:textId="18B80089" w:rsidR="006D4AF7" w:rsidRPr="006D4AF7" w:rsidRDefault="006D4AF7" w:rsidP="006D4AF7">
            <w:pPr>
              <w:widowControl w:val="0"/>
              <w:tabs>
                <w:tab w:val="left" w:pos="1701"/>
              </w:tabs>
            </w:pPr>
            <w:r w:rsidRPr="006D4AF7">
              <w:t xml:space="preserve">Utskottet inledde subsidiaritetsprövningen av </w:t>
            </w:r>
            <w:proofErr w:type="gramStart"/>
            <w:r w:rsidRPr="006D4AF7">
              <w:t>COM(</w:t>
            </w:r>
            <w:proofErr w:type="gramEnd"/>
            <w:r w:rsidRPr="006D4AF7">
              <w:t xml:space="preserve">2025) </w:t>
            </w:r>
            <w:r>
              <w:t>81</w:t>
            </w:r>
            <w:r w:rsidRPr="006D4AF7">
              <w:t>.</w:t>
            </w:r>
          </w:p>
          <w:p w14:paraId="1CC281BB" w14:textId="77777777" w:rsidR="006D4AF7" w:rsidRPr="006D4AF7" w:rsidRDefault="006D4AF7" w:rsidP="006D4AF7">
            <w:pPr>
              <w:widowControl w:val="0"/>
              <w:tabs>
                <w:tab w:val="left" w:pos="1701"/>
              </w:tabs>
            </w:pPr>
          </w:p>
          <w:p w14:paraId="38929B92" w14:textId="6CF7A2B2" w:rsidR="006D4AF7" w:rsidRPr="008E09BA" w:rsidRDefault="006D4AF7" w:rsidP="006D4AF7">
            <w:pPr>
              <w:widowControl w:val="0"/>
              <w:tabs>
                <w:tab w:val="left" w:pos="1701"/>
              </w:tabs>
              <w:rPr>
                <w:b/>
                <w:bCs/>
              </w:rPr>
            </w:pPr>
            <w:r w:rsidRPr="006D4AF7">
              <w:t>Utskottet ansåg att förslaget inte strider mot subsidiaritetsprincipen.</w:t>
            </w:r>
            <w:r w:rsidRPr="008E09BA">
              <w:rPr>
                <w:b/>
                <w:bCs/>
              </w:rPr>
              <w:br/>
            </w:r>
          </w:p>
        </w:tc>
      </w:tr>
      <w:tr w:rsidR="006D4AF7" w:rsidRPr="006C0F9A" w14:paraId="64A20F97" w14:textId="77777777" w:rsidTr="001324AA">
        <w:trPr>
          <w:trHeight w:val="950"/>
        </w:trPr>
        <w:tc>
          <w:tcPr>
            <w:tcW w:w="567" w:type="dxa"/>
          </w:tcPr>
          <w:p w14:paraId="4BC7372A" w14:textId="6F0E624E" w:rsidR="006D4AF7" w:rsidRDefault="006D4AF7" w:rsidP="00DC0D46">
            <w:pPr>
              <w:tabs>
                <w:tab w:val="left" w:pos="1701"/>
              </w:tabs>
              <w:rPr>
                <w:b/>
                <w:snapToGrid w:val="0"/>
              </w:rPr>
            </w:pPr>
            <w:r>
              <w:rPr>
                <w:b/>
                <w:snapToGrid w:val="0"/>
              </w:rPr>
              <w:t>§ 10</w:t>
            </w:r>
          </w:p>
        </w:tc>
        <w:tc>
          <w:tcPr>
            <w:tcW w:w="7162" w:type="dxa"/>
          </w:tcPr>
          <w:p w14:paraId="7C4A089E" w14:textId="06E8A2DF" w:rsidR="006D4AF7" w:rsidRPr="006D4AF7" w:rsidRDefault="006D4AF7" w:rsidP="006D4AF7">
            <w:pPr>
              <w:widowControl w:val="0"/>
              <w:tabs>
                <w:tab w:val="left" w:pos="1701"/>
              </w:tabs>
              <w:rPr>
                <w:b/>
                <w:bCs/>
              </w:rPr>
            </w:pPr>
            <w:r w:rsidRPr="006D4AF7">
              <w:rPr>
                <w:b/>
                <w:bCs/>
              </w:rPr>
              <w:t xml:space="preserve">Återrapport från </w:t>
            </w:r>
            <w:r>
              <w:rPr>
                <w:b/>
                <w:bCs/>
              </w:rPr>
              <w:t>interparlamentarisk konferens i Warszawa</w:t>
            </w:r>
            <w:r w:rsidRPr="006D4AF7">
              <w:rPr>
                <w:b/>
                <w:bCs/>
              </w:rPr>
              <w:t xml:space="preserve"> </w:t>
            </w:r>
          </w:p>
          <w:p w14:paraId="3F399A66" w14:textId="77777777" w:rsidR="006D4AF7" w:rsidRPr="006D4AF7" w:rsidRDefault="006D4AF7" w:rsidP="006D4AF7">
            <w:pPr>
              <w:widowControl w:val="0"/>
              <w:tabs>
                <w:tab w:val="left" w:pos="1701"/>
              </w:tabs>
              <w:rPr>
                <w:b/>
                <w:bCs/>
              </w:rPr>
            </w:pPr>
          </w:p>
          <w:p w14:paraId="1FE4FE6B" w14:textId="40A41FE2" w:rsidR="006D4AF7" w:rsidRPr="006D4AF7" w:rsidRDefault="006D4AF7" w:rsidP="006D4AF7">
            <w:pPr>
              <w:widowControl w:val="0"/>
              <w:tabs>
                <w:tab w:val="left" w:pos="1701"/>
              </w:tabs>
            </w:pPr>
            <w:r w:rsidRPr="006D4AF7">
              <w:t xml:space="preserve">Lili André (KD) och Linus Lakso (MP) lämnade muntlig </w:t>
            </w:r>
          </w:p>
          <w:p w14:paraId="3025EF0C" w14:textId="77777777" w:rsidR="006D4AF7" w:rsidRDefault="006D4AF7" w:rsidP="006D4AF7">
            <w:pPr>
              <w:widowControl w:val="0"/>
              <w:tabs>
                <w:tab w:val="left" w:pos="1701"/>
              </w:tabs>
            </w:pPr>
            <w:r w:rsidRPr="006D4AF7">
              <w:t>återrapport från interparlamentarisk konferens i Warszawa den 1</w:t>
            </w:r>
            <w:r>
              <w:t>3</w:t>
            </w:r>
            <w:r w:rsidRPr="006D4AF7">
              <w:t>–1</w:t>
            </w:r>
            <w:r>
              <w:t>4</w:t>
            </w:r>
            <w:r w:rsidRPr="006D4AF7">
              <w:t xml:space="preserve"> </w:t>
            </w:r>
            <w:r>
              <w:t xml:space="preserve">april </w:t>
            </w:r>
            <w:r w:rsidRPr="006D4AF7">
              <w:t>2025.</w:t>
            </w:r>
          </w:p>
          <w:p w14:paraId="349C20C6" w14:textId="60802C07" w:rsidR="006D4AF7" w:rsidRPr="008E09BA" w:rsidRDefault="006D4AF7" w:rsidP="006D4AF7">
            <w:pPr>
              <w:widowControl w:val="0"/>
              <w:tabs>
                <w:tab w:val="left" w:pos="1701"/>
              </w:tabs>
              <w:rPr>
                <w:b/>
                <w:bCs/>
              </w:rPr>
            </w:pPr>
          </w:p>
        </w:tc>
      </w:tr>
      <w:tr w:rsidR="00E7594E" w:rsidRPr="006C0F9A" w14:paraId="33046147" w14:textId="77777777" w:rsidTr="001324AA">
        <w:trPr>
          <w:trHeight w:val="950"/>
        </w:trPr>
        <w:tc>
          <w:tcPr>
            <w:tcW w:w="567" w:type="dxa"/>
          </w:tcPr>
          <w:p w14:paraId="226051D7" w14:textId="2403730E" w:rsidR="00E7594E" w:rsidRPr="006C0F9A" w:rsidRDefault="00E7594E" w:rsidP="00E7594E">
            <w:pPr>
              <w:tabs>
                <w:tab w:val="left" w:pos="1701"/>
              </w:tabs>
              <w:rPr>
                <w:b/>
                <w:snapToGrid w:val="0"/>
              </w:rPr>
            </w:pPr>
            <w:r w:rsidRPr="006C0F9A">
              <w:rPr>
                <w:b/>
                <w:snapToGrid w:val="0"/>
              </w:rPr>
              <w:t xml:space="preserve">§ </w:t>
            </w:r>
            <w:r w:rsidR="006D4AF7">
              <w:rPr>
                <w:b/>
                <w:snapToGrid w:val="0"/>
              </w:rPr>
              <w:t>11</w:t>
            </w:r>
          </w:p>
        </w:tc>
        <w:tc>
          <w:tcPr>
            <w:tcW w:w="7162" w:type="dxa"/>
          </w:tcPr>
          <w:p w14:paraId="1A717359" w14:textId="22CEF21D" w:rsidR="001B2BF4" w:rsidRPr="006C0F9A" w:rsidRDefault="00E7594E" w:rsidP="00E7594E">
            <w:pPr>
              <w:widowControl w:val="0"/>
              <w:tabs>
                <w:tab w:val="left" w:pos="1701"/>
              </w:tabs>
              <w:rPr>
                <w:b/>
              </w:rPr>
            </w:pPr>
            <w:r w:rsidRPr="006C0F9A">
              <w:rPr>
                <w:b/>
              </w:rPr>
              <w:t>Nästa sammanträde</w:t>
            </w:r>
            <w:r w:rsidR="0095027E">
              <w:rPr>
                <w:b/>
              </w:rPr>
              <w:br/>
            </w:r>
          </w:p>
          <w:p w14:paraId="48A9CF00" w14:textId="7DA7FD14" w:rsidR="00103FCA" w:rsidRDefault="00103FCA" w:rsidP="00103FCA">
            <w:pPr>
              <w:spacing w:after="200" w:line="280" w:lineRule="exact"/>
            </w:pPr>
            <w:r w:rsidRPr="006C0F9A">
              <w:t xml:space="preserve">Nästa sammanträde äger rum </w:t>
            </w:r>
            <w:r w:rsidR="000F5CD2">
              <w:t>ti</w:t>
            </w:r>
            <w:r w:rsidR="004A2EE1">
              <w:t>s</w:t>
            </w:r>
            <w:r w:rsidRPr="006C0F9A">
              <w:t xml:space="preserve">dagen den </w:t>
            </w:r>
            <w:r w:rsidR="000F5CD2">
              <w:t>2</w:t>
            </w:r>
            <w:r w:rsidR="006D4AF7">
              <w:t>9</w:t>
            </w:r>
            <w:r w:rsidR="0030397E">
              <w:t xml:space="preserve"> april</w:t>
            </w:r>
            <w:r w:rsidRPr="006C0F9A">
              <w:t xml:space="preserve"> 202</w:t>
            </w:r>
            <w:r w:rsidR="000F537F">
              <w:t>5</w:t>
            </w:r>
            <w:r w:rsidR="006D4AF7">
              <w:t xml:space="preserve"> </w:t>
            </w:r>
            <w:r w:rsidRPr="006C0F9A">
              <w:t xml:space="preserve">kl. </w:t>
            </w:r>
            <w:r w:rsidR="0030397E">
              <w:t>1</w:t>
            </w:r>
            <w:r w:rsidR="000F5CD2">
              <w:t>1</w:t>
            </w:r>
            <w:r w:rsidRPr="006C0F9A">
              <w:t>.</w:t>
            </w:r>
            <w:r w:rsidR="005D03C6">
              <w:t>0</w:t>
            </w:r>
            <w:r w:rsidRPr="006C0F9A">
              <w:t>0.</w:t>
            </w:r>
          </w:p>
          <w:p w14:paraId="64307BA5" w14:textId="43A3DF86" w:rsidR="00E7594E" w:rsidRPr="006C0F9A" w:rsidRDefault="00E7594E" w:rsidP="00E7594E">
            <w:pPr>
              <w:widowControl w:val="0"/>
              <w:tabs>
                <w:tab w:val="left" w:pos="1701"/>
              </w:tabs>
              <w:rPr>
                <w:bCs/>
              </w:rPr>
            </w:pPr>
          </w:p>
        </w:tc>
      </w:tr>
      <w:tr w:rsidR="00E7594E" w:rsidRPr="006C0F9A" w14:paraId="448A3638" w14:textId="77777777" w:rsidTr="001324AA">
        <w:tc>
          <w:tcPr>
            <w:tcW w:w="7729" w:type="dxa"/>
            <w:gridSpan w:val="2"/>
          </w:tcPr>
          <w:p w14:paraId="060D5AB6" w14:textId="77777777" w:rsidR="001927AE" w:rsidRDefault="001927AE" w:rsidP="00B56E86">
            <w:pPr>
              <w:tabs>
                <w:tab w:val="left" w:pos="1701"/>
              </w:tabs>
            </w:pPr>
          </w:p>
          <w:p w14:paraId="27C68C53" w14:textId="77777777" w:rsidR="001927AE" w:rsidRDefault="001927AE" w:rsidP="00B56E86">
            <w:pPr>
              <w:tabs>
                <w:tab w:val="left" w:pos="1701"/>
              </w:tabs>
            </w:pPr>
          </w:p>
          <w:p w14:paraId="00DBC1D3" w14:textId="495D9FC1" w:rsidR="00B56E86" w:rsidRPr="006C0F9A" w:rsidRDefault="00B56E86" w:rsidP="00B56E86">
            <w:pPr>
              <w:tabs>
                <w:tab w:val="left" w:pos="1701"/>
              </w:tabs>
            </w:pPr>
            <w:r w:rsidRPr="006C0F9A">
              <w:t>Vid protokollet</w:t>
            </w:r>
          </w:p>
          <w:p w14:paraId="09A7756D" w14:textId="77777777" w:rsidR="00B56E86" w:rsidRPr="006C0F9A" w:rsidRDefault="00B56E86" w:rsidP="00B56E86">
            <w:pPr>
              <w:tabs>
                <w:tab w:val="left" w:pos="1701"/>
              </w:tabs>
            </w:pPr>
          </w:p>
          <w:p w14:paraId="78508BCB" w14:textId="77777777" w:rsidR="00B56E86" w:rsidRPr="006C0F9A" w:rsidRDefault="00B56E86" w:rsidP="00B56E86">
            <w:pPr>
              <w:tabs>
                <w:tab w:val="left" w:pos="1701"/>
              </w:tabs>
            </w:pPr>
          </w:p>
          <w:p w14:paraId="103ABC8B" w14:textId="77777777" w:rsidR="00B56E86" w:rsidRPr="006C0F9A" w:rsidRDefault="00B56E86" w:rsidP="00B56E86">
            <w:pPr>
              <w:tabs>
                <w:tab w:val="left" w:pos="1701"/>
              </w:tabs>
            </w:pPr>
          </w:p>
          <w:p w14:paraId="385FC8A9" w14:textId="77777777" w:rsidR="00B56E86" w:rsidRPr="006C0F9A" w:rsidRDefault="00B56E86" w:rsidP="00B56E86">
            <w:pPr>
              <w:tabs>
                <w:tab w:val="left" w:pos="1701"/>
              </w:tabs>
            </w:pPr>
          </w:p>
          <w:p w14:paraId="4DA1BCA8" w14:textId="405D6204" w:rsidR="00B56E86" w:rsidRPr="006C0F9A" w:rsidRDefault="00B56E86" w:rsidP="00B56E86">
            <w:pPr>
              <w:tabs>
                <w:tab w:val="left" w:pos="1701"/>
              </w:tabs>
            </w:pPr>
            <w:r w:rsidRPr="006C0F9A">
              <w:t xml:space="preserve">Justeras den </w:t>
            </w:r>
            <w:r w:rsidR="000F5CD2">
              <w:t>2</w:t>
            </w:r>
            <w:r w:rsidR="006D4AF7">
              <w:t>9</w:t>
            </w:r>
            <w:r w:rsidR="0030397E">
              <w:t xml:space="preserve"> april</w:t>
            </w:r>
            <w:r w:rsidRPr="006C0F9A">
              <w:t xml:space="preserve"> 202</w:t>
            </w:r>
            <w:r w:rsidR="004D4F86">
              <w:t>5</w:t>
            </w:r>
          </w:p>
          <w:p w14:paraId="50CF5AE3" w14:textId="77777777" w:rsidR="00B56E86" w:rsidRPr="006C0F9A" w:rsidRDefault="00B56E86" w:rsidP="00B56E86">
            <w:pPr>
              <w:tabs>
                <w:tab w:val="left" w:pos="1701"/>
              </w:tabs>
            </w:pPr>
          </w:p>
          <w:p w14:paraId="3DDE98D9" w14:textId="77777777" w:rsidR="00B56E86" w:rsidRPr="006C0F9A" w:rsidRDefault="00B56E86" w:rsidP="00B56E86">
            <w:pPr>
              <w:tabs>
                <w:tab w:val="left" w:pos="1701"/>
              </w:tabs>
            </w:pPr>
          </w:p>
          <w:p w14:paraId="540E52C5" w14:textId="0AAC92E2" w:rsidR="00E7594E" w:rsidRPr="006C0F9A" w:rsidRDefault="004D4F86" w:rsidP="007216BA">
            <w:pPr>
              <w:tabs>
                <w:tab w:val="left" w:pos="1701"/>
              </w:tabs>
            </w:pPr>
            <w:r>
              <w:br/>
            </w:r>
          </w:p>
        </w:tc>
      </w:tr>
    </w:tbl>
    <w:p w14:paraId="6D533A30" w14:textId="77777777" w:rsidR="00313C01" w:rsidRDefault="00313C01">
      <w:bookmarkStart w:id="0" w:name="_Hlk97030853"/>
      <w:bookmarkStart w:id="1" w:name="_Hlk146185070"/>
    </w:p>
    <w:p w14:paraId="7E94104E" w14:textId="77777777" w:rsidR="00313C01" w:rsidRDefault="00313C01">
      <w:r>
        <w:br w:type="page"/>
      </w:r>
    </w:p>
    <w:p w14:paraId="57E7BE0A" w14:textId="2CEC415B" w:rsidR="00141DEF" w:rsidRDefault="00255BCF">
      <w:r>
        <w:lastRenderedPageBreak/>
        <w:br/>
      </w:r>
    </w:p>
    <w:tbl>
      <w:tblPr>
        <w:tblW w:w="95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402"/>
        <w:gridCol w:w="426"/>
        <w:gridCol w:w="425"/>
        <w:gridCol w:w="283"/>
        <w:gridCol w:w="426"/>
        <w:gridCol w:w="425"/>
        <w:gridCol w:w="22"/>
        <w:gridCol w:w="582"/>
        <w:gridCol w:w="388"/>
        <w:gridCol w:w="11"/>
      </w:tblGrid>
      <w:tr w:rsidR="001D165A" w14:paraId="66CEFB4D" w14:textId="77777777" w:rsidTr="007216BA">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253" w:type="dxa"/>
            <w:gridSpan w:val="11"/>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283"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6"/>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35383EB5" w:rsidR="001D165A" w:rsidRDefault="001D165A" w:rsidP="00FD0762">
            <w:pPr>
              <w:tabs>
                <w:tab w:val="left" w:pos="1701"/>
              </w:tabs>
            </w:pPr>
            <w:r>
              <w:rPr>
                <w:sz w:val="20"/>
              </w:rPr>
              <w:t>202</w:t>
            </w:r>
            <w:r w:rsidR="009F42FA">
              <w:rPr>
                <w:sz w:val="20"/>
              </w:rPr>
              <w:t>4</w:t>
            </w:r>
            <w:r>
              <w:rPr>
                <w:sz w:val="20"/>
              </w:rPr>
              <w:t>/2</w:t>
            </w:r>
            <w:r w:rsidR="009F42FA">
              <w:rPr>
                <w:sz w:val="20"/>
              </w:rPr>
              <w:t>5</w:t>
            </w:r>
            <w:r>
              <w:rPr>
                <w:sz w:val="20"/>
              </w:rPr>
              <w:t>:</w:t>
            </w:r>
            <w:r w:rsidR="006D4AF7">
              <w:rPr>
                <w:sz w:val="20"/>
              </w:rPr>
              <w:t>30</w:t>
            </w:r>
          </w:p>
        </w:tc>
      </w:tr>
      <w:tr w:rsidR="001D165A" w14:paraId="0DF86746" w14:textId="77777777" w:rsidTr="007216BA">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7C36D8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F74479">
              <w:rPr>
                <w:sz w:val="22"/>
                <w:szCs w:val="22"/>
              </w:rPr>
              <w:t>–</w:t>
            </w:r>
            <w:r w:rsidR="0053512C">
              <w:rPr>
                <w:sz w:val="22"/>
                <w:szCs w:val="22"/>
              </w:rPr>
              <w:t>2</w:t>
            </w:r>
          </w:p>
        </w:tc>
        <w:tc>
          <w:tcPr>
            <w:tcW w:w="818" w:type="dxa"/>
            <w:gridSpan w:val="2"/>
            <w:tcBorders>
              <w:top w:val="single" w:sz="6" w:space="0" w:color="auto"/>
              <w:left w:val="single" w:sz="6" w:space="0" w:color="auto"/>
              <w:bottom w:val="single" w:sz="6" w:space="0" w:color="auto"/>
              <w:right w:val="single" w:sz="6" w:space="0" w:color="auto"/>
            </w:tcBorders>
          </w:tcPr>
          <w:p w14:paraId="1B33DFD2" w14:textId="235B7981"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3–11</w:t>
            </w:r>
          </w:p>
        </w:tc>
        <w:tc>
          <w:tcPr>
            <w:tcW w:w="851" w:type="dxa"/>
            <w:gridSpan w:val="2"/>
            <w:tcBorders>
              <w:top w:val="single" w:sz="6" w:space="0" w:color="auto"/>
              <w:left w:val="single" w:sz="6" w:space="0" w:color="auto"/>
              <w:bottom w:val="single" w:sz="6" w:space="0" w:color="auto"/>
              <w:right w:val="single" w:sz="6" w:space="0" w:color="auto"/>
            </w:tcBorders>
          </w:tcPr>
          <w:p w14:paraId="301E3BBB" w14:textId="79C8DA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12E63081" w14:textId="5D3FF5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23DF87DA" w14:textId="137CD33B"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0F452F" w14:textId="071699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3"/>
            <w:tcBorders>
              <w:top w:val="single" w:sz="6" w:space="0" w:color="auto"/>
              <w:left w:val="single" w:sz="6" w:space="0" w:color="auto"/>
              <w:bottom w:val="single" w:sz="6" w:space="0" w:color="auto"/>
              <w:right w:val="single" w:sz="6" w:space="0" w:color="auto"/>
            </w:tcBorders>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7032AAD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D7BAB4B" w14:textId="62D1687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2C671591" w14:textId="16A0FC5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9B333CC" w14:textId="38FD530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48" w:type="dxa"/>
            <w:tcBorders>
              <w:top w:val="single" w:sz="6" w:space="0" w:color="auto"/>
              <w:left w:val="single" w:sz="6" w:space="0" w:color="auto"/>
              <w:bottom w:val="single" w:sz="6" w:space="0" w:color="auto"/>
              <w:right w:val="single" w:sz="6" w:space="0" w:color="auto"/>
            </w:tcBorders>
          </w:tcPr>
          <w:p w14:paraId="3AD6BD9A" w14:textId="6967CB19"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02" w:type="dxa"/>
            <w:tcBorders>
              <w:top w:val="single" w:sz="6" w:space="0" w:color="auto"/>
              <w:left w:val="single" w:sz="6" w:space="0" w:color="auto"/>
              <w:bottom w:val="single" w:sz="6" w:space="0" w:color="auto"/>
              <w:right w:val="single" w:sz="6" w:space="0" w:color="auto"/>
            </w:tcBorders>
          </w:tcPr>
          <w:p w14:paraId="5B348207" w14:textId="4DE772D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086D3285" w14:textId="432CBBF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6037C1FA" w14:textId="26344FE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3" w:type="dxa"/>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196D5C" w14:textId="3FD31EA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28853E96" w14:textId="214C479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604" w:type="dxa"/>
            <w:gridSpan w:val="2"/>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6"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6" w:space="0" w:color="auto"/>
              <w:left w:val="single" w:sz="6" w:space="0" w:color="auto"/>
              <w:bottom w:val="single" w:sz="6" w:space="0" w:color="auto"/>
              <w:right w:val="single" w:sz="6" w:space="0" w:color="auto"/>
            </w:tcBorders>
          </w:tcPr>
          <w:p w14:paraId="5F24ACA1" w14:textId="348CB7EE"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0C436AC" w14:textId="5AA67237"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9DC392" w14:textId="73FA99E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1C98D9F" w14:textId="3B5982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C0846F6" w14:textId="1C51A5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F0562EF" w14:textId="360222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4431F3" w14:paraId="1D2BC9BA"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6" w:space="0" w:color="auto"/>
              <w:left w:val="single" w:sz="6" w:space="0" w:color="auto"/>
              <w:bottom w:val="single" w:sz="6" w:space="0" w:color="auto"/>
              <w:right w:val="single" w:sz="6" w:space="0" w:color="auto"/>
            </w:tcBorders>
          </w:tcPr>
          <w:p w14:paraId="6D0FCABF" w14:textId="1579024D" w:rsidR="001D165A" w:rsidRPr="005E2B1F"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6" w:space="0" w:color="auto"/>
              <w:left w:val="single" w:sz="6" w:space="0" w:color="auto"/>
              <w:bottom w:val="single" w:sz="6" w:space="0" w:color="auto"/>
              <w:right w:val="single" w:sz="6" w:space="0" w:color="auto"/>
            </w:tcBorders>
          </w:tcPr>
          <w:p w14:paraId="11E1E08A"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6" w:space="0" w:color="auto"/>
              <w:left w:val="single" w:sz="6" w:space="0" w:color="auto"/>
              <w:bottom w:val="single" w:sz="6" w:space="0" w:color="auto"/>
              <w:right w:val="single" w:sz="6" w:space="0" w:color="auto"/>
            </w:tcBorders>
          </w:tcPr>
          <w:p w14:paraId="216FCCB3" w14:textId="3E78A111" w:rsidR="001D165A" w:rsidRPr="005E2B1F"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89CF42D" w14:textId="615391F2"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185041A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6" w:space="0" w:color="auto"/>
              <w:left w:val="single" w:sz="6" w:space="0" w:color="auto"/>
              <w:bottom w:val="single" w:sz="6" w:space="0" w:color="auto"/>
              <w:right w:val="single" w:sz="6" w:space="0" w:color="auto"/>
            </w:tcBorders>
          </w:tcPr>
          <w:p w14:paraId="59F3A5AB" w14:textId="49BC8BF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02" w:type="dxa"/>
            <w:tcBorders>
              <w:top w:val="single" w:sz="6" w:space="0" w:color="auto"/>
              <w:left w:val="single" w:sz="6" w:space="0" w:color="auto"/>
              <w:bottom w:val="single" w:sz="6" w:space="0" w:color="auto"/>
              <w:right w:val="single" w:sz="6" w:space="0" w:color="auto"/>
            </w:tcBorders>
          </w:tcPr>
          <w:p w14:paraId="7327709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4B16C757" w14:textId="1CF0461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3EA2BE6"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47C974C0" w14:textId="76BE1BBA"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09A2E17D" w14:textId="7A27242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8B11E1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6" w:space="0" w:color="auto"/>
              <w:left w:val="single" w:sz="6" w:space="0" w:color="auto"/>
              <w:bottom w:val="single" w:sz="6" w:space="0" w:color="auto"/>
              <w:right w:val="single" w:sz="6" w:space="0" w:color="auto"/>
            </w:tcBorders>
          </w:tcPr>
          <w:p w14:paraId="4DDC8CEF" w14:textId="0733F52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6" w:space="0" w:color="auto"/>
              <w:left w:val="single" w:sz="6" w:space="0" w:color="auto"/>
              <w:bottom w:val="single" w:sz="6" w:space="0" w:color="auto"/>
              <w:right w:val="single" w:sz="6" w:space="0" w:color="auto"/>
            </w:tcBorders>
          </w:tcPr>
          <w:p w14:paraId="21177D3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rsidRPr="0021485D" w14:paraId="2D0DBF34"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366335F" w14:textId="5E59F978"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6" w:space="0" w:color="auto"/>
              <w:left w:val="single" w:sz="6" w:space="0" w:color="auto"/>
              <w:bottom w:val="single" w:sz="6" w:space="0" w:color="auto"/>
              <w:right w:val="single" w:sz="6"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6" w:space="0" w:color="auto"/>
              <w:left w:val="single" w:sz="6" w:space="0" w:color="auto"/>
              <w:bottom w:val="single" w:sz="6" w:space="0" w:color="auto"/>
              <w:right w:val="single" w:sz="6" w:space="0" w:color="auto"/>
            </w:tcBorders>
          </w:tcPr>
          <w:p w14:paraId="563F8A2D" w14:textId="34C7D108"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70B5930A" w14:textId="6B4AAFA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6" w:space="0" w:color="auto"/>
              <w:left w:val="single" w:sz="6" w:space="0" w:color="auto"/>
              <w:bottom w:val="single" w:sz="6" w:space="0" w:color="auto"/>
              <w:right w:val="single" w:sz="6" w:space="0" w:color="auto"/>
            </w:tcBorders>
          </w:tcPr>
          <w:p w14:paraId="4B2F61DB" w14:textId="26F227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02" w:type="dxa"/>
            <w:tcBorders>
              <w:top w:val="single" w:sz="6" w:space="0" w:color="auto"/>
              <w:left w:val="single" w:sz="6" w:space="0" w:color="auto"/>
              <w:bottom w:val="single" w:sz="6" w:space="0" w:color="auto"/>
              <w:right w:val="single" w:sz="6"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25E2374D" w14:textId="7ED58A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6" w:space="0" w:color="auto"/>
              <w:left w:val="single" w:sz="6" w:space="0" w:color="auto"/>
              <w:bottom w:val="single" w:sz="6" w:space="0" w:color="auto"/>
              <w:right w:val="single" w:sz="6"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6" w:space="0" w:color="auto"/>
              <w:left w:val="single" w:sz="6" w:space="0" w:color="auto"/>
              <w:bottom w:val="single" w:sz="6" w:space="0" w:color="auto"/>
              <w:right w:val="single" w:sz="6"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6CE6C4" w14:textId="7E8AE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Pr="00D36206">
              <w:rPr>
                <w:sz w:val="20"/>
              </w:rPr>
              <w:t xml:space="preserve"> (M)</w:t>
            </w:r>
          </w:p>
        </w:tc>
        <w:tc>
          <w:tcPr>
            <w:tcW w:w="449" w:type="dxa"/>
            <w:tcBorders>
              <w:top w:val="single" w:sz="6" w:space="0" w:color="auto"/>
              <w:left w:val="single" w:sz="6" w:space="0" w:color="auto"/>
              <w:bottom w:val="single" w:sz="6" w:space="0" w:color="auto"/>
              <w:right w:val="single" w:sz="6" w:space="0" w:color="auto"/>
            </w:tcBorders>
          </w:tcPr>
          <w:p w14:paraId="03DD9B83" w14:textId="3CC464F5"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0D4FA10A" w14:textId="70AB0129"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50724A" w14:textId="1316E2E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4D34E95" w14:textId="319DF04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973B1CE" w14:textId="4A9075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1850A75" w14:textId="119E87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6" w:space="0" w:color="auto"/>
              <w:left w:val="single" w:sz="6" w:space="0" w:color="auto"/>
              <w:bottom w:val="single" w:sz="6" w:space="0" w:color="auto"/>
              <w:right w:val="single" w:sz="6" w:space="0" w:color="auto"/>
            </w:tcBorders>
          </w:tcPr>
          <w:p w14:paraId="4CE452AC" w14:textId="5561E837"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073920D" w14:textId="6B587941"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32B0EC" w14:textId="453249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C4657E0" w14:textId="0E753BD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CB8D627" w14:textId="785FCE2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1597CC5" w14:textId="735754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EC7013" w14:textId="5B6D9836" w:rsidR="001D165A" w:rsidRPr="00D36206"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 xml:space="preserve">Josef Fransson </w:t>
            </w:r>
            <w:r w:rsidR="001D165A">
              <w:rPr>
                <w:sz w:val="20"/>
              </w:rPr>
              <w:t>(SD)</w:t>
            </w:r>
          </w:p>
        </w:tc>
        <w:tc>
          <w:tcPr>
            <w:tcW w:w="449" w:type="dxa"/>
            <w:tcBorders>
              <w:top w:val="single" w:sz="6" w:space="0" w:color="auto"/>
              <w:left w:val="single" w:sz="6" w:space="0" w:color="auto"/>
              <w:bottom w:val="single" w:sz="6" w:space="0" w:color="auto"/>
              <w:right w:val="single" w:sz="6" w:space="0" w:color="auto"/>
            </w:tcBorders>
          </w:tcPr>
          <w:p w14:paraId="119454CF" w14:textId="7571269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72D56A63" w14:textId="36C41432"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16FA42" w14:textId="62A3995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7E4E4C8" w14:textId="0D286B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08EC02F" w14:textId="6D7C37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9888E03" w14:textId="289F8C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6" w:space="0" w:color="auto"/>
              <w:left w:val="single" w:sz="6" w:space="0" w:color="auto"/>
              <w:bottom w:val="single" w:sz="6" w:space="0" w:color="auto"/>
              <w:right w:val="single" w:sz="6" w:space="0" w:color="auto"/>
            </w:tcBorders>
          </w:tcPr>
          <w:p w14:paraId="723B6279" w14:textId="28165E53"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7B0A1F0" w14:textId="3C309A17"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B526917" w14:textId="2832E1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1D12B3F" w14:textId="176567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5813955" w14:textId="30B1BC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58EAAD3" w14:textId="3BF740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6" w:space="0" w:color="auto"/>
              <w:left w:val="single" w:sz="6" w:space="0" w:color="auto"/>
              <w:bottom w:val="single" w:sz="6" w:space="0" w:color="auto"/>
              <w:right w:val="single" w:sz="6" w:space="0" w:color="auto"/>
            </w:tcBorders>
          </w:tcPr>
          <w:p w14:paraId="7F2A689D" w14:textId="7D2D4F8B"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27E68A7" w14:textId="2F94385A"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287A17" w14:textId="313C4A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390579A9" w14:textId="49E6AB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7CA9A69" w14:textId="05DB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B9F79CE" w14:textId="3E616B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6" w:space="0" w:color="auto"/>
              <w:left w:val="single" w:sz="6" w:space="0" w:color="auto"/>
              <w:bottom w:val="single" w:sz="6" w:space="0" w:color="auto"/>
              <w:right w:val="single" w:sz="6" w:space="0" w:color="auto"/>
            </w:tcBorders>
          </w:tcPr>
          <w:p w14:paraId="37DC03D7" w14:textId="3A550E9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24ADABE" w14:textId="118AEB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EBFCC9" w14:textId="57C7FD0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27B14CD" w14:textId="129421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F4A1DDC" w14:textId="1FF15A1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CBB0262" w14:textId="1455C4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D69477D" w14:textId="420D667E" w:rsidR="001D165A" w:rsidRPr="005C4C7B"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Eric Palmqvist</w:t>
            </w:r>
            <w:r>
              <w:rPr>
                <w:sz w:val="20"/>
              </w:rPr>
              <w:t xml:space="preserve"> </w:t>
            </w:r>
            <w:r w:rsidR="001D165A">
              <w:rPr>
                <w:sz w:val="20"/>
              </w:rPr>
              <w:t>(SD)</w:t>
            </w:r>
          </w:p>
        </w:tc>
        <w:tc>
          <w:tcPr>
            <w:tcW w:w="449" w:type="dxa"/>
            <w:tcBorders>
              <w:top w:val="single" w:sz="6" w:space="0" w:color="auto"/>
              <w:left w:val="single" w:sz="6" w:space="0" w:color="auto"/>
              <w:bottom w:val="single" w:sz="6" w:space="0" w:color="auto"/>
              <w:right w:val="single" w:sz="6" w:space="0" w:color="auto"/>
            </w:tcBorders>
          </w:tcPr>
          <w:p w14:paraId="3AE85469" w14:textId="6C1CB0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5A20467" w14:textId="363A63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829684" w14:textId="1CA6F0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76264B" w14:textId="137C251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0B5BB87" w14:textId="26E6B4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AF09347" w14:textId="74B997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6" w:space="0" w:color="auto"/>
              <w:left w:val="single" w:sz="6" w:space="0" w:color="auto"/>
              <w:bottom w:val="single" w:sz="6" w:space="0" w:color="auto"/>
              <w:right w:val="single" w:sz="6" w:space="0" w:color="auto"/>
            </w:tcBorders>
          </w:tcPr>
          <w:p w14:paraId="6FE2AD41" w14:textId="23BAB0A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57AE0EB" w14:textId="7A6115C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E8CC899" w14:textId="0D65723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98CC2C8" w14:textId="7347326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9CFC165" w14:textId="47971DB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Kjell Jansson (M)</w:t>
            </w:r>
          </w:p>
        </w:tc>
        <w:tc>
          <w:tcPr>
            <w:tcW w:w="449" w:type="dxa"/>
            <w:tcBorders>
              <w:top w:val="single" w:sz="6" w:space="0" w:color="auto"/>
              <w:left w:val="single" w:sz="6" w:space="0" w:color="auto"/>
              <w:bottom w:val="single" w:sz="6" w:space="0" w:color="auto"/>
              <w:right w:val="single" w:sz="6" w:space="0" w:color="auto"/>
            </w:tcBorders>
          </w:tcPr>
          <w:p w14:paraId="162330C2" w14:textId="4E518CF1"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8C8234" w14:textId="64429FEC"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01B1D47" w14:textId="41477E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6F1FFF2" w14:textId="32B412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2C1D2BC" w14:textId="2F5BAFA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AC805E2" w14:textId="44FE8C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6" w:space="0" w:color="auto"/>
              <w:left w:val="single" w:sz="6" w:space="0" w:color="auto"/>
              <w:bottom w:val="single" w:sz="6" w:space="0" w:color="auto"/>
              <w:right w:val="single" w:sz="6" w:space="0" w:color="auto"/>
            </w:tcBorders>
          </w:tcPr>
          <w:p w14:paraId="3506A5F9" w14:textId="2998E6B9"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35F66BE" w14:textId="6AFE08A8"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3FD303B" w14:textId="6B6A58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AA41324" w14:textId="7447393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157091A" w14:textId="2519A23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1E63E39" w14:textId="3822140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6" w:space="0" w:color="auto"/>
              <w:left w:val="single" w:sz="6" w:space="0" w:color="auto"/>
              <w:bottom w:val="single" w:sz="6" w:space="0" w:color="auto"/>
              <w:right w:val="single" w:sz="6" w:space="0" w:color="auto"/>
            </w:tcBorders>
          </w:tcPr>
          <w:p w14:paraId="7F8A02B2" w14:textId="3E52D3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63146BE0" w14:textId="05F25F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5CEC422" w14:textId="5B2A6F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7D3EE0D" w14:textId="05319B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D12931F" w14:textId="4920AA5A" w:rsidR="001D165A"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lang w:val="en-US"/>
              </w:rPr>
              <w:t>Johnny Svedin</w:t>
            </w:r>
            <w:r w:rsidR="001D165A" w:rsidRPr="00D36206">
              <w:rPr>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7CA30006" w14:textId="69D813A2"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0306767" w14:textId="4755F7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31C6FB2" w14:textId="306FA2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F457081" w14:textId="0A9926B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606DE8" w14:textId="2FAB30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4CA3C7B" w14:textId="245964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3BF86C9" w14:textId="40234327" w:rsidR="001D165A" w:rsidRPr="005C4C7B" w:rsidRDefault="00E9315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Katarina Luhr</w:t>
            </w:r>
            <w:r w:rsidR="001F51AE">
              <w:rPr>
                <w:sz w:val="20"/>
              </w:rPr>
              <w:t xml:space="preserve"> </w:t>
            </w:r>
            <w:r w:rsidR="001D165A">
              <w:rPr>
                <w:sz w:val="20"/>
              </w:rPr>
              <w:t>(MP)</w:t>
            </w:r>
          </w:p>
        </w:tc>
        <w:tc>
          <w:tcPr>
            <w:tcW w:w="449" w:type="dxa"/>
            <w:tcBorders>
              <w:top w:val="single" w:sz="6" w:space="0" w:color="auto"/>
              <w:left w:val="single" w:sz="6" w:space="0" w:color="auto"/>
              <w:bottom w:val="single" w:sz="6" w:space="0" w:color="auto"/>
              <w:right w:val="single" w:sz="6" w:space="0" w:color="auto"/>
            </w:tcBorders>
          </w:tcPr>
          <w:p w14:paraId="25A2B47F" w14:textId="7817487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7ED43B6" w14:textId="70FF4C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B1D0955" w14:textId="5C064B8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4A1001F" w14:textId="39CF2D3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55360CA" w14:textId="2A988F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6DF164" w14:textId="60A80C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6" w:space="0" w:color="auto"/>
              <w:left w:val="single" w:sz="6" w:space="0" w:color="auto"/>
              <w:bottom w:val="single" w:sz="6" w:space="0" w:color="auto"/>
              <w:right w:val="single" w:sz="6" w:space="0" w:color="auto"/>
            </w:tcBorders>
          </w:tcPr>
          <w:p w14:paraId="25A2BC52" w14:textId="2176122F"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EE2E086" w14:textId="2E9F12C3"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E2448C" w14:textId="15A149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7D0EEB4" w14:textId="2F0609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6F94A19" w14:textId="15137A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0ABC95B" w14:textId="685B67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6" w:space="0" w:color="auto"/>
              <w:left w:val="single" w:sz="6" w:space="0" w:color="auto"/>
              <w:bottom w:val="single" w:sz="6" w:space="0" w:color="auto"/>
              <w:right w:val="single" w:sz="6" w:space="0" w:color="auto"/>
            </w:tcBorders>
          </w:tcPr>
          <w:p w14:paraId="5DAA8E05" w14:textId="46208C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3E383F2" w14:textId="3939A496" w:rsidR="001D165A" w:rsidRDefault="000424DB" w:rsidP="00FD0762">
            <w:pPr>
              <w:tabs>
                <w:tab w:val="left" w:pos="1985"/>
              </w:tabs>
              <w:rPr>
                <w:snapToGrid w:val="0"/>
                <w:color w:val="000000"/>
                <w:sz w:val="20"/>
              </w:rPr>
            </w:pPr>
            <w:r w:rsidRPr="000424DB">
              <w:rPr>
                <w:snapToGrid w:val="0"/>
                <w:color w:val="000000"/>
                <w:sz w:val="20"/>
              </w:rPr>
              <w:t>Angelica Lundberg</w:t>
            </w:r>
            <w:r w:rsidR="001D165A">
              <w:rPr>
                <w:snapToGrid w:val="0"/>
                <w:color w:val="000000"/>
                <w:sz w:val="20"/>
              </w:rPr>
              <w:t xml:space="preserve"> (SD)</w:t>
            </w:r>
          </w:p>
        </w:tc>
        <w:tc>
          <w:tcPr>
            <w:tcW w:w="449" w:type="dxa"/>
            <w:tcBorders>
              <w:top w:val="single" w:sz="6" w:space="0" w:color="auto"/>
              <w:left w:val="single" w:sz="6" w:space="0" w:color="auto"/>
              <w:bottom w:val="single" w:sz="6" w:space="0" w:color="auto"/>
              <w:right w:val="single" w:sz="6" w:space="0" w:color="auto"/>
            </w:tcBorders>
          </w:tcPr>
          <w:p w14:paraId="2A49C47D" w14:textId="49A450DE"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AE7D274" w14:textId="279F94E3"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CE12A0" w14:textId="4A84B89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5E7F2F79" w14:textId="6249F6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4AEA9" w14:textId="47FA24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Aida Birinxhiku (S)</w:t>
            </w:r>
          </w:p>
        </w:tc>
        <w:tc>
          <w:tcPr>
            <w:tcW w:w="449" w:type="dxa"/>
            <w:tcBorders>
              <w:top w:val="single" w:sz="6" w:space="0" w:color="auto"/>
              <w:left w:val="single" w:sz="6" w:space="0" w:color="auto"/>
              <w:bottom w:val="single" w:sz="6" w:space="0" w:color="auto"/>
              <w:right w:val="single" w:sz="6" w:space="0" w:color="auto"/>
            </w:tcBorders>
          </w:tcPr>
          <w:p w14:paraId="202D0A56" w14:textId="737FFA5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C50DBAB" w14:textId="431CA5E9"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97AAB3" w14:textId="397962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BC7F996" w14:textId="6347183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DD2EF7" w14:textId="459AEB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54F1CE" w14:textId="4E0177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4431F3" w14:paraId="2A0CF4BE"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Daniel Vencu Velasquez Castro (S)</w:t>
            </w:r>
          </w:p>
        </w:tc>
        <w:tc>
          <w:tcPr>
            <w:tcW w:w="449" w:type="dxa"/>
            <w:tcBorders>
              <w:top w:val="single" w:sz="6" w:space="0" w:color="auto"/>
              <w:left w:val="single" w:sz="6" w:space="0" w:color="auto"/>
              <w:bottom w:val="single" w:sz="6" w:space="0" w:color="auto"/>
              <w:right w:val="single" w:sz="6" w:space="0" w:color="auto"/>
            </w:tcBorders>
          </w:tcPr>
          <w:p w14:paraId="7EF91ABC" w14:textId="3FBF2C8A" w:rsidR="001D165A" w:rsidRPr="00F8082F"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34" w:type="dxa"/>
            <w:gridSpan w:val="2"/>
            <w:tcBorders>
              <w:top w:val="single" w:sz="6" w:space="0" w:color="auto"/>
              <w:left w:val="single" w:sz="6" w:space="0" w:color="auto"/>
              <w:bottom w:val="single" w:sz="6" w:space="0" w:color="auto"/>
              <w:right w:val="single" w:sz="6"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6" w:space="0" w:color="auto"/>
              <w:left w:val="single" w:sz="6" w:space="0" w:color="auto"/>
              <w:bottom w:val="single" w:sz="6" w:space="0" w:color="auto"/>
              <w:right w:val="single" w:sz="6" w:space="0" w:color="auto"/>
            </w:tcBorders>
          </w:tcPr>
          <w:p w14:paraId="16B1D73F" w14:textId="301F9E55" w:rsidR="001D165A" w:rsidRPr="00F8082F"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5EE1583" w14:textId="7BDE5C1F"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6" w:space="0" w:color="auto"/>
              <w:left w:val="single" w:sz="6" w:space="0" w:color="auto"/>
              <w:bottom w:val="single" w:sz="6" w:space="0" w:color="auto"/>
              <w:right w:val="single" w:sz="6" w:space="0" w:color="auto"/>
            </w:tcBorders>
          </w:tcPr>
          <w:p w14:paraId="2092DA06" w14:textId="030BEF0C"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2" w:type="dxa"/>
            <w:tcBorders>
              <w:top w:val="single" w:sz="6" w:space="0" w:color="auto"/>
              <w:left w:val="single" w:sz="6" w:space="0" w:color="auto"/>
              <w:bottom w:val="single" w:sz="6" w:space="0" w:color="auto"/>
              <w:right w:val="single" w:sz="6"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9D4C925" w14:textId="33A8C7B8"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345E0046" w14:textId="42F60F0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gridSpan w:val="2"/>
            <w:tcBorders>
              <w:top w:val="single" w:sz="6" w:space="0" w:color="auto"/>
              <w:left w:val="single" w:sz="6" w:space="0" w:color="auto"/>
              <w:bottom w:val="single" w:sz="6" w:space="0" w:color="auto"/>
              <w:right w:val="single" w:sz="6"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Borders>
              <w:top w:val="single" w:sz="6" w:space="0" w:color="auto"/>
              <w:left w:val="single" w:sz="6" w:space="0" w:color="auto"/>
              <w:bottom w:val="single" w:sz="6" w:space="0" w:color="auto"/>
              <w:right w:val="single" w:sz="6"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6" w:space="0" w:color="auto"/>
              <w:left w:val="single" w:sz="6" w:space="0" w:color="auto"/>
              <w:bottom w:val="single" w:sz="6" w:space="0" w:color="auto"/>
              <w:right w:val="single" w:sz="6" w:space="0" w:color="auto"/>
            </w:tcBorders>
          </w:tcPr>
          <w:p w14:paraId="3B253F8A" w14:textId="241C8672"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DD5EA8A" w14:textId="480A02DD"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2A91B1C" w14:textId="755E94DC"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6" w:space="0" w:color="auto"/>
              <w:left w:val="single" w:sz="6" w:space="0" w:color="auto"/>
              <w:bottom w:val="single" w:sz="6" w:space="0" w:color="auto"/>
              <w:right w:val="single" w:sz="6" w:space="0" w:color="auto"/>
            </w:tcBorders>
          </w:tcPr>
          <w:p w14:paraId="0A695F37" w14:textId="21FB90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42557C8" w14:textId="567F11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6" w:space="0" w:color="auto"/>
              <w:left w:val="single" w:sz="6" w:space="0" w:color="auto"/>
              <w:bottom w:val="single" w:sz="6" w:space="0" w:color="auto"/>
              <w:right w:val="single" w:sz="6"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6" w:space="0" w:color="auto"/>
              <w:left w:val="single" w:sz="6" w:space="0" w:color="auto"/>
              <w:bottom w:val="single" w:sz="6" w:space="0" w:color="auto"/>
              <w:right w:val="single" w:sz="6" w:space="0" w:color="auto"/>
            </w:tcBorders>
          </w:tcPr>
          <w:p w14:paraId="500DFB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22642B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9CCD6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48EEBC2" w14:textId="77777777" w:rsidR="001D165A" w:rsidRDefault="001D165A" w:rsidP="00FD0762">
            <w:pPr>
              <w:tabs>
                <w:tab w:val="left" w:pos="1985"/>
              </w:tabs>
              <w:rPr>
                <w:snapToGrid w:val="0"/>
                <w:color w:val="000000"/>
                <w:sz w:val="20"/>
              </w:rPr>
            </w:pPr>
            <w:proofErr w:type="spellStart"/>
            <w:r w:rsidRPr="005C4C7B">
              <w:rPr>
                <w:snapToGrid w:val="0"/>
                <w:color w:val="000000"/>
                <w:sz w:val="20"/>
              </w:rPr>
              <w:t>Lorena</w:t>
            </w:r>
            <w:proofErr w:type="spellEnd"/>
            <w:r w:rsidRPr="005C4C7B">
              <w:rPr>
                <w:snapToGrid w:val="0"/>
                <w:color w:val="000000"/>
                <w:sz w:val="20"/>
              </w:rPr>
              <w:t xml:space="preserve"> Delgado Varas (V)</w:t>
            </w:r>
          </w:p>
        </w:tc>
        <w:tc>
          <w:tcPr>
            <w:tcW w:w="449" w:type="dxa"/>
            <w:tcBorders>
              <w:top w:val="single" w:sz="6" w:space="0" w:color="auto"/>
              <w:left w:val="single" w:sz="6" w:space="0" w:color="auto"/>
              <w:bottom w:val="single" w:sz="6" w:space="0" w:color="auto"/>
              <w:right w:val="single" w:sz="6" w:space="0" w:color="auto"/>
            </w:tcBorders>
          </w:tcPr>
          <w:p w14:paraId="39F75129" w14:textId="4120DE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B7CBFF1" w14:textId="3A2EBD4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28019C" w14:textId="07EA2E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92BF33" w14:textId="128EB6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975E8A" w14:textId="6B4D60F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F29F2C3" w14:textId="396322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6" w:space="0" w:color="auto"/>
              <w:left w:val="single" w:sz="6" w:space="0" w:color="auto"/>
              <w:bottom w:val="single" w:sz="6" w:space="0" w:color="auto"/>
              <w:right w:val="single" w:sz="6" w:space="0" w:color="auto"/>
            </w:tcBorders>
          </w:tcPr>
          <w:p w14:paraId="736FB1DE" w14:textId="4881A6C5"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EE0BC0B" w14:textId="3D15BC61"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DF282" w14:textId="6C89C1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DE72812" w14:textId="5D0A3B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827E5" w14:textId="5743D4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C8BB7C" w14:textId="39028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6" w:space="0" w:color="auto"/>
              <w:left w:val="single" w:sz="6" w:space="0" w:color="auto"/>
              <w:bottom w:val="single" w:sz="6" w:space="0" w:color="auto"/>
              <w:right w:val="single" w:sz="6" w:space="0" w:color="auto"/>
            </w:tcBorders>
          </w:tcPr>
          <w:p w14:paraId="0CE1085D" w14:textId="79FF8A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3111289" w14:textId="061907B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55B5F" w14:textId="5FE598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4F5E3BF" w14:textId="596056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71B3D6" w14:textId="4E1A13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7216BA">
        <w:trPr>
          <w:gridAfter w:val="1"/>
          <w:wAfter w:w="11" w:type="dxa"/>
        </w:trPr>
        <w:tc>
          <w:tcPr>
            <w:tcW w:w="3190" w:type="dxa"/>
            <w:tcBorders>
              <w:top w:val="single" w:sz="6" w:space="0" w:color="auto"/>
              <w:left w:val="single" w:sz="6" w:space="0" w:color="auto"/>
              <w:bottom w:val="single" w:sz="4" w:space="0" w:color="auto"/>
              <w:right w:val="single" w:sz="6"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Linus Lakso (MP)</w:t>
            </w:r>
          </w:p>
        </w:tc>
        <w:tc>
          <w:tcPr>
            <w:tcW w:w="449" w:type="dxa"/>
            <w:tcBorders>
              <w:top w:val="single" w:sz="6" w:space="0" w:color="auto"/>
              <w:left w:val="single" w:sz="6" w:space="0" w:color="auto"/>
              <w:bottom w:val="single" w:sz="4" w:space="0" w:color="auto"/>
              <w:right w:val="single" w:sz="6" w:space="0" w:color="auto"/>
            </w:tcBorders>
          </w:tcPr>
          <w:p w14:paraId="4D439C68" w14:textId="30E7AE4E"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4" w:space="0" w:color="auto"/>
              <w:right w:val="single" w:sz="6"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4" w:space="0" w:color="auto"/>
              <w:right w:val="single" w:sz="6" w:space="0" w:color="auto"/>
            </w:tcBorders>
          </w:tcPr>
          <w:p w14:paraId="2767DB16" w14:textId="05E89BD3" w:rsidR="001D165A"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4" w:space="0" w:color="auto"/>
              <w:right w:val="single" w:sz="6"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57606572" w14:textId="5FAD9F2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4" w:space="0" w:color="auto"/>
              <w:right w:val="single" w:sz="6" w:space="0" w:color="auto"/>
            </w:tcBorders>
          </w:tcPr>
          <w:p w14:paraId="0A5F84DF" w14:textId="4663046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4" w:space="0" w:color="auto"/>
              <w:right w:val="single" w:sz="6"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4" w:space="0" w:color="auto"/>
              <w:right w:val="single" w:sz="6"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4" w:space="0" w:color="auto"/>
              <w:right w:val="single" w:sz="6"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4" w:space="0" w:color="auto"/>
              <w:right w:val="single" w:sz="6"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1691" w14:paraId="238B99FC" w14:textId="77777777" w:rsidTr="007216BA">
        <w:trPr>
          <w:gridAfter w:val="1"/>
          <w:wAfter w:w="11" w:type="dxa"/>
        </w:trPr>
        <w:tc>
          <w:tcPr>
            <w:tcW w:w="3190" w:type="dxa"/>
            <w:tcBorders>
              <w:top w:val="single" w:sz="6" w:space="0" w:color="auto"/>
              <w:left w:val="single" w:sz="6" w:space="0" w:color="auto"/>
              <w:bottom w:val="single" w:sz="4" w:space="0" w:color="auto"/>
              <w:right w:val="single" w:sz="6" w:space="0" w:color="auto"/>
            </w:tcBorders>
          </w:tcPr>
          <w:p w14:paraId="084CD331" w14:textId="0DAF5AF0" w:rsidR="004E1691" w:rsidRDefault="004E1691" w:rsidP="00FD0762">
            <w:pPr>
              <w:tabs>
                <w:tab w:val="left" w:pos="1985"/>
              </w:tabs>
              <w:rPr>
                <w:snapToGrid w:val="0"/>
                <w:color w:val="000000"/>
                <w:sz w:val="20"/>
              </w:rPr>
            </w:pPr>
            <w:r w:rsidRPr="004E1691">
              <w:rPr>
                <w:snapToGrid w:val="0"/>
                <w:color w:val="000000"/>
                <w:sz w:val="20"/>
              </w:rPr>
              <w:t>Anna af Sillén (M)</w:t>
            </w:r>
          </w:p>
        </w:tc>
        <w:tc>
          <w:tcPr>
            <w:tcW w:w="449" w:type="dxa"/>
            <w:tcBorders>
              <w:top w:val="single" w:sz="6" w:space="0" w:color="auto"/>
              <w:left w:val="single" w:sz="6" w:space="0" w:color="auto"/>
              <w:bottom w:val="single" w:sz="4" w:space="0" w:color="auto"/>
              <w:right w:val="single" w:sz="6" w:space="0" w:color="auto"/>
            </w:tcBorders>
          </w:tcPr>
          <w:p w14:paraId="064EAEAF" w14:textId="4316BEE7" w:rsidR="004E1691"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6" w:space="0" w:color="auto"/>
              <w:left w:val="single" w:sz="6" w:space="0" w:color="auto"/>
              <w:bottom w:val="single" w:sz="4" w:space="0" w:color="auto"/>
              <w:right w:val="single" w:sz="6" w:space="0" w:color="auto"/>
            </w:tcBorders>
          </w:tcPr>
          <w:p w14:paraId="139025A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4" w:space="0" w:color="auto"/>
              <w:right w:val="single" w:sz="6" w:space="0" w:color="auto"/>
            </w:tcBorders>
          </w:tcPr>
          <w:p w14:paraId="1C0216DF" w14:textId="47AEA52D" w:rsidR="004E1691" w:rsidRDefault="005351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4" w:space="0" w:color="auto"/>
              <w:right w:val="single" w:sz="6" w:space="0" w:color="auto"/>
            </w:tcBorders>
          </w:tcPr>
          <w:p w14:paraId="17342542"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468609F3" w14:textId="159311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1F38993A"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4" w:space="0" w:color="auto"/>
              <w:right w:val="single" w:sz="6" w:space="0" w:color="auto"/>
            </w:tcBorders>
          </w:tcPr>
          <w:p w14:paraId="595B19C4" w14:textId="39B5FC0B"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4" w:space="0" w:color="auto"/>
              <w:right w:val="single" w:sz="6" w:space="0" w:color="auto"/>
            </w:tcBorders>
          </w:tcPr>
          <w:p w14:paraId="16F849E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4E38B4C8" w14:textId="7C32FB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707C3285"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4" w:space="0" w:color="auto"/>
              <w:right w:val="single" w:sz="6" w:space="0" w:color="auto"/>
            </w:tcBorders>
          </w:tcPr>
          <w:p w14:paraId="67AB1EA9"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2AC42D7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4310C934"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4" w:space="0" w:color="auto"/>
              <w:right w:val="single" w:sz="6" w:space="0" w:color="auto"/>
            </w:tcBorders>
          </w:tcPr>
          <w:p w14:paraId="7603B8B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4" w:space="0" w:color="auto"/>
              <w:right w:val="single" w:sz="6" w:space="0" w:color="auto"/>
            </w:tcBorders>
          </w:tcPr>
          <w:p w14:paraId="07D222BE"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7216BA">
        <w:trPr>
          <w:gridAfter w:val="1"/>
          <w:wAfter w:w="11" w:type="dxa"/>
        </w:trPr>
        <w:tc>
          <w:tcPr>
            <w:tcW w:w="3190" w:type="dxa"/>
            <w:tcBorders>
              <w:top w:val="single" w:sz="4" w:space="0" w:color="auto"/>
              <w:left w:val="single" w:sz="6" w:space="0" w:color="auto"/>
              <w:bottom w:val="single" w:sz="6" w:space="0" w:color="auto"/>
              <w:right w:val="single" w:sz="6"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4" w:space="0" w:color="auto"/>
              <w:left w:val="single" w:sz="6" w:space="0" w:color="auto"/>
              <w:bottom w:val="single" w:sz="6" w:space="0" w:color="auto"/>
              <w:right w:val="single" w:sz="6"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6" w:space="0" w:color="auto"/>
              <w:bottom w:val="single" w:sz="6" w:space="0" w:color="auto"/>
              <w:right w:val="single" w:sz="6"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6" w:space="0" w:color="auto"/>
              <w:bottom w:val="single" w:sz="6" w:space="0" w:color="auto"/>
              <w:right w:val="single" w:sz="6"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6" w:space="0" w:color="auto"/>
              <w:bottom w:val="single" w:sz="6" w:space="0" w:color="auto"/>
              <w:right w:val="single" w:sz="6"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6" w:space="0" w:color="auto"/>
              <w:bottom w:val="single" w:sz="6" w:space="0" w:color="auto"/>
              <w:right w:val="single" w:sz="6"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4" w:space="0" w:color="auto"/>
              <w:left w:val="single" w:sz="6" w:space="0" w:color="auto"/>
              <w:bottom w:val="single" w:sz="6" w:space="0" w:color="auto"/>
              <w:right w:val="single" w:sz="6"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6" w:space="0" w:color="auto"/>
              <w:bottom w:val="single" w:sz="6" w:space="0" w:color="auto"/>
              <w:right w:val="single" w:sz="6"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6" w:space="0" w:color="auto"/>
              <w:bottom w:val="single" w:sz="6" w:space="0" w:color="auto"/>
              <w:right w:val="single" w:sz="6"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6" w:space="0" w:color="auto"/>
              <w:bottom w:val="single" w:sz="6" w:space="0" w:color="auto"/>
              <w:right w:val="single" w:sz="6"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6" w:space="0" w:color="auto"/>
              <w:bottom w:val="single" w:sz="6" w:space="0" w:color="auto"/>
              <w:right w:val="single" w:sz="6"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6" w:space="0" w:color="auto"/>
              <w:bottom w:val="single" w:sz="6" w:space="0" w:color="auto"/>
              <w:right w:val="single" w:sz="6"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6" w:space="0" w:color="auto"/>
              <w:left w:val="single" w:sz="6" w:space="0" w:color="auto"/>
              <w:bottom w:val="single" w:sz="6" w:space="0" w:color="auto"/>
              <w:right w:val="single" w:sz="6" w:space="0" w:color="auto"/>
            </w:tcBorders>
          </w:tcPr>
          <w:p w14:paraId="061783F3" w14:textId="28808CC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F44BAC5"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E7F42F1" w14:textId="77777777" w:rsidR="001D165A" w:rsidRDefault="001D165A" w:rsidP="00FD0762">
            <w:pPr>
              <w:rPr>
                <w:sz w:val="20"/>
              </w:rPr>
            </w:pPr>
            <w:r w:rsidRPr="007E2968">
              <w:rPr>
                <w:sz w:val="20"/>
              </w:rPr>
              <w:t xml:space="preserve">Daniel </w:t>
            </w:r>
            <w:proofErr w:type="spellStart"/>
            <w:r w:rsidRPr="007E2968">
              <w:rPr>
                <w:sz w:val="20"/>
              </w:rPr>
              <w:t>Riazat</w:t>
            </w:r>
            <w:proofErr w:type="spellEnd"/>
            <w:r w:rsidRPr="007E2968">
              <w:rPr>
                <w:sz w:val="20"/>
              </w:rPr>
              <w:t xml:space="preserve"> (V)</w:t>
            </w:r>
          </w:p>
        </w:tc>
        <w:tc>
          <w:tcPr>
            <w:tcW w:w="449" w:type="dxa"/>
            <w:tcBorders>
              <w:top w:val="single" w:sz="6" w:space="0" w:color="auto"/>
              <w:left w:val="single" w:sz="6" w:space="0" w:color="auto"/>
              <w:bottom w:val="single" w:sz="6" w:space="0" w:color="auto"/>
              <w:right w:val="single" w:sz="6" w:space="0" w:color="auto"/>
            </w:tcBorders>
          </w:tcPr>
          <w:p w14:paraId="533806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75656E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6514F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727B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A55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D6C97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CFC461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51A4C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E865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9D4B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80ECE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568355" w14:textId="66C96A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F8FC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5EF852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7861E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6" w:space="0" w:color="auto"/>
              <w:left w:val="single" w:sz="6" w:space="0" w:color="auto"/>
              <w:bottom w:val="single" w:sz="6" w:space="0" w:color="auto"/>
              <w:right w:val="single" w:sz="6" w:space="0" w:color="auto"/>
            </w:tcBorders>
          </w:tcPr>
          <w:p w14:paraId="29DC2FBA" w14:textId="741F39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2114866" w14:textId="4533ED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6" w:space="0" w:color="auto"/>
              <w:left w:val="single" w:sz="6" w:space="0" w:color="auto"/>
              <w:bottom w:val="single" w:sz="6" w:space="0" w:color="auto"/>
              <w:right w:val="single" w:sz="6"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6" w:space="0" w:color="auto"/>
              <w:left w:val="single" w:sz="6" w:space="0" w:color="auto"/>
              <w:bottom w:val="single" w:sz="6" w:space="0" w:color="auto"/>
              <w:right w:val="single" w:sz="6" w:space="0" w:color="auto"/>
            </w:tcBorders>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F5E226C" w14:textId="5C4776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D451E6" w14:textId="77777777" w:rsidR="001D165A" w:rsidRPr="007E2968" w:rsidRDefault="001D165A"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256C0A4" w14:textId="1C373E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4DF384C6" w14:textId="467EBC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6D8B8D" w14:textId="4AADA599" w:rsidR="001D165A" w:rsidRPr="007E2968" w:rsidRDefault="00C47A22" w:rsidP="00FD0762">
            <w:pPr>
              <w:rPr>
                <w:sz w:val="20"/>
              </w:rPr>
            </w:pPr>
            <w:r>
              <w:rPr>
                <w:sz w:val="20"/>
              </w:rPr>
              <w:t xml:space="preserve">Camilla </w:t>
            </w:r>
            <w:proofErr w:type="spellStart"/>
            <w:r>
              <w:rPr>
                <w:sz w:val="20"/>
              </w:rPr>
              <w:t>Mårtensen</w:t>
            </w:r>
            <w:proofErr w:type="spellEnd"/>
            <w:r w:rsidR="001D165A">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6" w:space="0" w:color="auto"/>
              <w:left w:val="single" w:sz="6" w:space="0" w:color="auto"/>
              <w:bottom w:val="single" w:sz="6" w:space="0" w:color="auto"/>
              <w:right w:val="single" w:sz="6" w:space="0" w:color="auto"/>
            </w:tcBorders>
          </w:tcPr>
          <w:p w14:paraId="23BEBE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FF12AD">
        <w:trPr>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FF12AD">
        <w:trPr>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90B2574" w:rsidR="00655DB0" w:rsidRDefault="00655DB0" w:rsidP="00BE3F54"/>
    <w:sectPr w:rsidR="00655DB0"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DDED" w14:textId="77777777" w:rsidR="007C576B" w:rsidRDefault="007C576B" w:rsidP="002130F1">
      <w:r>
        <w:separator/>
      </w:r>
    </w:p>
  </w:endnote>
  <w:endnote w:type="continuationSeparator" w:id="0">
    <w:p w14:paraId="5C57957E" w14:textId="77777777" w:rsidR="007C576B" w:rsidRDefault="007C576B"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3C84" w14:textId="77777777" w:rsidR="007C576B" w:rsidRDefault="007C576B" w:rsidP="002130F1">
      <w:r>
        <w:separator/>
      </w:r>
    </w:p>
  </w:footnote>
  <w:footnote w:type="continuationSeparator" w:id="0">
    <w:p w14:paraId="3546FFF9" w14:textId="77777777" w:rsidR="007C576B" w:rsidRDefault="007C576B"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5995AD7"/>
    <w:multiLevelType w:val="hybridMultilevel"/>
    <w:tmpl w:val="182E163C"/>
    <w:lvl w:ilvl="0" w:tplc="9F74BD34">
      <w:start w:val="1"/>
      <w:numFmt w:val="lowerLetter"/>
      <w:lvlText w:val="%1)"/>
      <w:lvlJc w:val="left"/>
      <w:pPr>
        <w:ind w:left="720" w:hanging="360"/>
      </w:pPr>
      <w:rPr>
        <w:rFonts w:hint="default"/>
        <w:color w:val="1B1B1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85C70A1"/>
    <w:multiLevelType w:val="hybridMultilevel"/>
    <w:tmpl w:val="AD1CBF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11" w15:restartNumberingAfterBreak="0">
    <w:nsid w:val="5ABA5C5C"/>
    <w:multiLevelType w:val="hybridMultilevel"/>
    <w:tmpl w:val="DC7E81B0"/>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60802B3"/>
    <w:multiLevelType w:val="hybridMultilevel"/>
    <w:tmpl w:val="0922D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10"/>
  </w:num>
  <w:num w:numId="5">
    <w:abstractNumId w:val="2"/>
  </w:num>
  <w:num w:numId="6">
    <w:abstractNumId w:val="3"/>
  </w:num>
  <w:num w:numId="7">
    <w:abstractNumId w:val="1"/>
  </w:num>
  <w:num w:numId="8">
    <w:abstractNumId w:val="15"/>
  </w:num>
  <w:num w:numId="9">
    <w:abstractNumId w:val="16"/>
  </w:num>
  <w:num w:numId="10">
    <w:abstractNumId w:val="12"/>
  </w:num>
  <w:num w:numId="11">
    <w:abstractNumId w:val="8"/>
  </w:num>
  <w:num w:numId="12">
    <w:abstractNumId w:val="4"/>
  </w:num>
  <w:num w:numId="13">
    <w:abstractNumId w:val="13"/>
  </w:num>
  <w:num w:numId="14">
    <w:abstractNumId w:val="5"/>
  </w:num>
  <w:num w:numId="15">
    <w:abstractNumId w:val="6"/>
  </w:num>
  <w:num w:numId="16">
    <w:abstractNumId w:val="14"/>
  </w:num>
  <w:num w:numId="1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0E9F"/>
    <w:rsid w:val="0002124A"/>
    <w:rsid w:val="00023C91"/>
    <w:rsid w:val="00023D44"/>
    <w:rsid w:val="0002438C"/>
    <w:rsid w:val="0002508C"/>
    <w:rsid w:val="000253C1"/>
    <w:rsid w:val="000255B5"/>
    <w:rsid w:val="0002654B"/>
    <w:rsid w:val="00026615"/>
    <w:rsid w:val="00026DBB"/>
    <w:rsid w:val="0002763F"/>
    <w:rsid w:val="00030425"/>
    <w:rsid w:val="000305E7"/>
    <w:rsid w:val="00030B7F"/>
    <w:rsid w:val="00031133"/>
    <w:rsid w:val="000319C2"/>
    <w:rsid w:val="00032D19"/>
    <w:rsid w:val="0003355B"/>
    <w:rsid w:val="0003414D"/>
    <w:rsid w:val="0003427E"/>
    <w:rsid w:val="00035407"/>
    <w:rsid w:val="00036024"/>
    <w:rsid w:val="0003709C"/>
    <w:rsid w:val="000401E7"/>
    <w:rsid w:val="00040301"/>
    <w:rsid w:val="00041F79"/>
    <w:rsid w:val="00042475"/>
    <w:rsid w:val="000424DB"/>
    <w:rsid w:val="000427D7"/>
    <w:rsid w:val="00043B99"/>
    <w:rsid w:val="000442DA"/>
    <w:rsid w:val="00044E80"/>
    <w:rsid w:val="00044F5A"/>
    <w:rsid w:val="00045281"/>
    <w:rsid w:val="00045A8A"/>
    <w:rsid w:val="00050A20"/>
    <w:rsid w:val="00052598"/>
    <w:rsid w:val="00052937"/>
    <w:rsid w:val="00053421"/>
    <w:rsid w:val="000536D9"/>
    <w:rsid w:val="00053BE5"/>
    <w:rsid w:val="0005439B"/>
    <w:rsid w:val="00054831"/>
    <w:rsid w:val="0005545D"/>
    <w:rsid w:val="000564A8"/>
    <w:rsid w:val="000569AB"/>
    <w:rsid w:val="00056A67"/>
    <w:rsid w:val="00060380"/>
    <w:rsid w:val="00061C55"/>
    <w:rsid w:val="0006202F"/>
    <w:rsid w:val="0006613C"/>
    <w:rsid w:val="00067448"/>
    <w:rsid w:val="0006776E"/>
    <w:rsid w:val="00067A33"/>
    <w:rsid w:val="000715BD"/>
    <w:rsid w:val="00071EB9"/>
    <w:rsid w:val="000726F3"/>
    <w:rsid w:val="00072C99"/>
    <w:rsid w:val="00073238"/>
    <w:rsid w:val="00073624"/>
    <w:rsid w:val="00075E21"/>
    <w:rsid w:val="00075E59"/>
    <w:rsid w:val="00076756"/>
    <w:rsid w:val="00080A73"/>
    <w:rsid w:val="00080E7B"/>
    <w:rsid w:val="000816C5"/>
    <w:rsid w:val="00081A05"/>
    <w:rsid w:val="00083B5C"/>
    <w:rsid w:val="00084198"/>
    <w:rsid w:val="00084B36"/>
    <w:rsid w:val="00085A2B"/>
    <w:rsid w:val="000861A8"/>
    <w:rsid w:val="0008637D"/>
    <w:rsid w:val="00087E93"/>
    <w:rsid w:val="000915AB"/>
    <w:rsid w:val="00092337"/>
    <w:rsid w:val="00093F5C"/>
    <w:rsid w:val="000941E8"/>
    <w:rsid w:val="0009483B"/>
    <w:rsid w:val="00094A63"/>
    <w:rsid w:val="00096F01"/>
    <w:rsid w:val="000A052E"/>
    <w:rsid w:val="000A094B"/>
    <w:rsid w:val="000A129A"/>
    <w:rsid w:val="000A13C3"/>
    <w:rsid w:val="000A200A"/>
    <w:rsid w:val="000A2CE1"/>
    <w:rsid w:val="000A41FA"/>
    <w:rsid w:val="000A4EB1"/>
    <w:rsid w:val="000A5556"/>
    <w:rsid w:val="000A5ADC"/>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2A40"/>
    <w:rsid w:val="000D3377"/>
    <w:rsid w:val="000D40B2"/>
    <w:rsid w:val="000D4BDB"/>
    <w:rsid w:val="000D6392"/>
    <w:rsid w:val="000D783C"/>
    <w:rsid w:val="000E0864"/>
    <w:rsid w:val="000E0EAC"/>
    <w:rsid w:val="000E0FE8"/>
    <w:rsid w:val="000E11B6"/>
    <w:rsid w:val="000E121E"/>
    <w:rsid w:val="000E22F1"/>
    <w:rsid w:val="000E3D3D"/>
    <w:rsid w:val="000E680A"/>
    <w:rsid w:val="000E723A"/>
    <w:rsid w:val="000F159A"/>
    <w:rsid w:val="000F2706"/>
    <w:rsid w:val="000F2962"/>
    <w:rsid w:val="000F381A"/>
    <w:rsid w:val="000F4271"/>
    <w:rsid w:val="000F49A4"/>
    <w:rsid w:val="000F5289"/>
    <w:rsid w:val="000F537F"/>
    <w:rsid w:val="000F5CD2"/>
    <w:rsid w:val="000F5E38"/>
    <w:rsid w:val="000F62A2"/>
    <w:rsid w:val="000F692D"/>
    <w:rsid w:val="000F7307"/>
    <w:rsid w:val="0010025E"/>
    <w:rsid w:val="00100761"/>
    <w:rsid w:val="00100BB1"/>
    <w:rsid w:val="001012C4"/>
    <w:rsid w:val="00102850"/>
    <w:rsid w:val="00103B78"/>
    <w:rsid w:val="00103FCA"/>
    <w:rsid w:val="00104B70"/>
    <w:rsid w:val="00105441"/>
    <w:rsid w:val="00105706"/>
    <w:rsid w:val="001060D0"/>
    <w:rsid w:val="0010618F"/>
    <w:rsid w:val="00106202"/>
    <w:rsid w:val="001063FC"/>
    <w:rsid w:val="00107BCC"/>
    <w:rsid w:val="00107FF8"/>
    <w:rsid w:val="001103C7"/>
    <w:rsid w:val="00110897"/>
    <w:rsid w:val="00110B0C"/>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2AA3"/>
    <w:rsid w:val="001231EB"/>
    <w:rsid w:val="001235FB"/>
    <w:rsid w:val="00123797"/>
    <w:rsid w:val="00123D07"/>
    <w:rsid w:val="00125439"/>
    <w:rsid w:val="0012669A"/>
    <w:rsid w:val="00126738"/>
    <w:rsid w:val="00126CAC"/>
    <w:rsid w:val="0012748D"/>
    <w:rsid w:val="00127707"/>
    <w:rsid w:val="00127A75"/>
    <w:rsid w:val="00127B08"/>
    <w:rsid w:val="0013080B"/>
    <w:rsid w:val="001312B5"/>
    <w:rsid w:val="0013203F"/>
    <w:rsid w:val="001324AA"/>
    <w:rsid w:val="00133616"/>
    <w:rsid w:val="00133A31"/>
    <w:rsid w:val="00133A8B"/>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239"/>
    <w:rsid w:val="00151D22"/>
    <w:rsid w:val="0015234D"/>
    <w:rsid w:val="00152451"/>
    <w:rsid w:val="001527D1"/>
    <w:rsid w:val="00152FAE"/>
    <w:rsid w:val="001544CD"/>
    <w:rsid w:val="00154751"/>
    <w:rsid w:val="00155095"/>
    <w:rsid w:val="00155ADC"/>
    <w:rsid w:val="00156311"/>
    <w:rsid w:val="001567BC"/>
    <w:rsid w:val="0015720C"/>
    <w:rsid w:val="00157329"/>
    <w:rsid w:val="00157791"/>
    <w:rsid w:val="001577E4"/>
    <w:rsid w:val="001603B4"/>
    <w:rsid w:val="00160BF4"/>
    <w:rsid w:val="00161C62"/>
    <w:rsid w:val="00161CC2"/>
    <w:rsid w:val="00163E80"/>
    <w:rsid w:val="00164FB6"/>
    <w:rsid w:val="001655C7"/>
    <w:rsid w:val="00165662"/>
    <w:rsid w:val="001662E4"/>
    <w:rsid w:val="001673BD"/>
    <w:rsid w:val="00170C7E"/>
    <w:rsid w:val="001710C0"/>
    <w:rsid w:val="00171EA9"/>
    <w:rsid w:val="00173E37"/>
    <w:rsid w:val="0017416D"/>
    <w:rsid w:val="00174597"/>
    <w:rsid w:val="00175E5F"/>
    <w:rsid w:val="00176050"/>
    <w:rsid w:val="0017737F"/>
    <w:rsid w:val="0018013C"/>
    <w:rsid w:val="001861E1"/>
    <w:rsid w:val="0018740A"/>
    <w:rsid w:val="00187936"/>
    <w:rsid w:val="00187C01"/>
    <w:rsid w:val="00187D30"/>
    <w:rsid w:val="00187F17"/>
    <w:rsid w:val="0019256F"/>
    <w:rsid w:val="001925F5"/>
    <w:rsid w:val="001927AE"/>
    <w:rsid w:val="00192F1B"/>
    <w:rsid w:val="001933CF"/>
    <w:rsid w:val="00193522"/>
    <w:rsid w:val="00193A4A"/>
    <w:rsid w:val="00193D38"/>
    <w:rsid w:val="00195DE9"/>
    <w:rsid w:val="00196B2D"/>
    <w:rsid w:val="00196CFE"/>
    <w:rsid w:val="00196E22"/>
    <w:rsid w:val="00196F9A"/>
    <w:rsid w:val="001971BF"/>
    <w:rsid w:val="00197761"/>
    <w:rsid w:val="00197781"/>
    <w:rsid w:val="001A1512"/>
    <w:rsid w:val="001A19D4"/>
    <w:rsid w:val="001A2B87"/>
    <w:rsid w:val="001A3165"/>
    <w:rsid w:val="001A3257"/>
    <w:rsid w:val="001A4184"/>
    <w:rsid w:val="001A4B24"/>
    <w:rsid w:val="001A5515"/>
    <w:rsid w:val="001A7140"/>
    <w:rsid w:val="001B04DF"/>
    <w:rsid w:val="001B0AEF"/>
    <w:rsid w:val="001B0F3C"/>
    <w:rsid w:val="001B2054"/>
    <w:rsid w:val="001B209A"/>
    <w:rsid w:val="001B264C"/>
    <w:rsid w:val="001B2BF4"/>
    <w:rsid w:val="001B3B27"/>
    <w:rsid w:val="001B4298"/>
    <w:rsid w:val="001B43F9"/>
    <w:rsid w:val="001B4700"/>
    <w:rsid w:val="001B5342"/>
    <w:rsid w:val="001B5FB6"/>
    <w:rsid w:val="001B61B8"/>
    <w:rsid w:val="001B6579"/>
    <w:rsid w:val="001B679D"/>
    <w:rsid w:val="001B6A85"/>
    <w:rsid w:val="001B6CAE"/>
    <w:rsid w:val="001C0623"/>
    <w:rsid w:val="001C1261"/>
    <w:rsid w:val="001C2B7B"/>
    <w:rsid w:val="001C3257"/>
    <w:rsid w:val="001C33DC"/>
    <w:rsid w:val="001C4419"/>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58E6"/>
    <w:rsid w:val="001D5957"/>
    <w:rsid w:val="001D627A"/>
    <w:rsid w:val="001D6526"/>
    <w:rsid w:val="001E047E"/>
    <w:rsid w:val="001E0BA2"/>
    <w:rsid w:val="001E10D7"/>
    <w:rsid w:val="001E1147"/>
    <w:rsid w:val="001E191C"/>
    <w:rsid w:val="001E1CC3"/>
    <w:rsid w:val="001E625D"/>
    <w:rsid w:val="001E682F"/>
    <w:rsid w:val="001E6EE5"/>
    <w:rsid w:val="001F0CF0"/>
    <w:rsid w:val="001F11CE"/>
    <w:rsid w:val="001F23DE"/>
    <w:rsid w:val="001F24AF"/>
    <w:rsid w:val="001F294A"/>
    <w:rsid w:val="001F38DE"/>
    <w:rsid w:val="001F3C7B"/>
    <w:rsid w:val="001F4A9E"/>
    <w:rsid w:val="001F51AE"/>
    <w:rsid w:val="001F5EA6"/>
    <w:rsid w:val="001F61FD"/>
    <w:rsid w:val="001F6A18"/>
    <w:rsid w:val="001F6AC9"/>
    <w:rsid w:val="001F7E84"/>
    <w:rsid w:val="002006D8"/>
    <w:rsid w:val="00201383"/>
    <w:rsid w:val="00201442"/>
    <w:rsid w:val="002029F3"/>
    <w:rsid w:val="0020368B"/>
    <w:rsid w:val="0020387B"/>
    <w:rsid w:val="00203984"/>
    <w:rsid w:val="00204401"/>
    <w:rsid w:val="002054AD"/>
    <w:rsid w:val="002056F1"/>
    <w:rsid w:val="00206555"/>
    <w:rsid w:val="002073AB"/>
    <w:rsid w:val="00207671"/>
    <w:rsid w:val="00210C6F"/>
    <w:rsid w:val="00210FD3"/>
    <w:rsid w:val="00211F78"/>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6607"/>
    <w:rsid w:val="0022664E"/>
    <w:rsid w:val="00227526"/>
    <w:rsid w:val="002314D5"/>
    <w:rsid w:val="00231D5D"/>
    <w:rsid w:val="0023263C"/>
    <w:rsid w:val="002327AE"/>
    <w:rsid w:val="00234344"/>
    <w:rsid w:val="002347C7"/>
    <w:rsid w:val="00234A48"/>
    <w:rsid w:val="0023595D"/>
    <w:rsid w:val="00235FA3"/>
    <w:rsid w:val="0023601A"/>
    <w:rsid w:val="00236769"/>
    <w:rsid w:val="00240FFE"/>
    <w:rsid w:val="00241084"/>
    <w:rsid w:val="00241781"/>
    <w:rsid w:val="00241FF0"/>
    <w:rsid w:val="0024203D"/>
    <w:rsid w:val="00242D8C"/>
    <w:rsid w:val="00243F79"/>
    <w:rsid w:val="002443EF"/>
    <w:rsid w:val="00245505"/>
    <w:rsid w:val="00247064"/>
    <w:rsid w:val="00247BF2"/>
    <w:rsid w:val="0025002F"/>
    <w:rsid w:val="002516C7"/>
    <w:rsid w:val="0025174A"/>
    <w:rsid w:val="002528F8"/>
    <w:rsid w:val="00253354"/>
    <w:rsid w:val="00253858"/>
    <w:rsid w:val="00253AD1"/>
    <w:rsid w:val="00255734"/>
    <w:rsid w:val="00255BCF"/>
    <w:rsid w:val="002569D3"/>
    <w:rsid w:val="00256C9C"/>
    <w:rsid w:val="00257715"/>
    <w:rsid w:val="00257D2B"/>
    <w:rsid w:val="0026023A"/>
    <w:rsid w:val="00261CB9"/>
    <w:rsid w:val="00263B38"/>
    <w:rsid w:val="002644D4"/>
    <w:rsid w:val="00265027"/>
    <w:rsid w:val="00266857"/>
    <w:rsid w:val="00267CE1"/>
    <w:rsid w:val="00267EB1"/>
    <w:rsid w:val="00270F56"/>
    <w:rsid w:val="00271E64"/>
    <w:rsid w:val="0027247F"/>
    <w:rsid w:val="0027291D"/>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7DC"/>
    <w:rsid w:val="00294F5B"/>
    <w:rsid w:val="002951C3"/>
    <w:rsid w:val="002959B7"/>
    <w:rsid w:val="00297258"/>
    <w:rsid w:val="00297761"/>
    <w:rsid w:val="00297ABD"/>
    <w:rsid w:val="00297EA2"/>
    <w:rsid w:val="002A02E7"/>
    <w:rsid w:val="002A057E"/>
    <w:rsid w:val="002A1912"/>
    <w:rsid w:val="002A2024"/>
    <w:rsid w:val="002A20D3"/>
    <w:rsid w:val="002A294F"/>
    <w:rsid w:val="002A3009"/>
    <w:rsid w:val="002A4104"/>
    <w:rsid w:val="002A4ED9"/>
    <w:rsid w:val="002A61C3"/>
    <w:rsid w:val="002A6687"/>
    <w:rsid w:val="002A6E1A"/>
    <w:rsid w:val="002A6F34"/>
    <w:rsid w:val="002A7439"/>
    <w:rsid w:val="002A7966"/>
    <w:rsid w:val="002B00B4"/>
    <w:rsid w:val="002B0571"/>
    <w:rsid w:val="002B0AE2"/>
    <w:rsid w:val="002B226F"/>
    <w:rsid w:val="002B2BDC"/>
    <w:rsid w:val="002B3098"/>
    <w:rsid w:val="002B3794"/>
    <w:rsid w:val="002B4785"/>
    <w:rsid w:val="002B50FE"/>
    <w:rsid w:val="002B6776"/>
    <w:rsid w:val="002B779D"/>
    <w:rsid w:val="002C0577"/>
    <w:rsid w:val="002C1501"/>
    <w:rsid w:val="002C444F"/>
    <w:rsid w:val="002C45C4"/>
    <w:rsid w:val="002C496D"/>
    <w:rsid w:val="002C4A3B"/>
    <w:rsid w:val="002C4C1E"/>
    <w:rsid w:val="002C52F8"/>
    <w:rsid w:val="002C57F9"/>
    <w:rsid w:val="002C5A9C"/>
    <w:rsid w:val="002C5B13"/>
    <w:rsid w:val="002C6713"/>
    <w:rsid w:val="002C69DE"/>
    <w:rsid w:val="002C76F2"/>
    <w:rsid w:val="002C7948"/>
    <w:rsid w:val="002C7F50"/>
    <w:rsid w:val="002D0CCA"/>
    <w:rsid w:val="002D0FA3"/>
    <w:rsid w:val="002D1551"/>
    <w:rsid w:val="002D1DB8"/>
    <w:rsid w:val="002D3C34"/>
    <w:rsid w:val="002D3D49"/>
    <w:rsid w:val="002D4C87"/>
    <w:rsid w:val="002D522B"/>
    <w:rsid w:val="002D5288"/>
    <w:rsid w:val="002D58EB"/>
    <w:rsid w:val="002D6A7D"/>
    <w:rsid w:val="002D7754"/>
    <w:rsid w:val="002D7DA8"/>
    <w:rsid w:val="002E0319"/>
    <w:rsid w:val="002E095F"/>
    <w:rsid w:val="002E1159"/>
    <w:rsid w:val="002E12E4"/>
    <w:rsid w:val="002E23EC"/>
    <w:rsid w:val="002E24EE"/>
    <w:rsid w:val="002E2BF0"/>
    <w:rsid w:val="002E489D"/>
    <w:rsid w:val="002E70A1"/>
    <w:rsid w:val="002E7359"/>
    <w:rsid w:val="002E766A"/>
    <w:rsid w:val="002E7D83"/>
    <w:rsid w:val="002F053B"/>
    <w:rsid w:val="002F211F"/>
    <w:rsid w:val="002F2740"/>
    <w:rsid w:val="002F72BA"/>
    <w:rsid w:val="00300673"/>
    <w:rsid w:val="00300D60"/>
    <w:rsid w:val="003012A5"/>
    <w:rsid w:val="00302C89"/>
    <w:rsid w:val="00302CA0"/>
    <w:rsid w:val="00303925"/>
    <w:rsid w:val="0030397E"/>
    <w:rsid w:val="00304F56"/>
    <w:rsid w:val="003054F6"/>
    <w:rsid w:val="00305BEC"/>
    <w:rsid w:val="00305ED2"/>
    <w:rsid w:val="00306668"/>
    <w:rsid w:val="00306680"/>
    <w:rsid w:val="00307413"/>
    <w:rsid w:val="00307E10"/>
    <w:rsid w:val="00310EFE"/>
    <w:rsid w:val="00311C95"/>
    <w:rsid w:val="00312470"/>
    <w:rsid w:val="00312AA0"/>
    <w:rsid w:val="00313162"/>
    <w:rsid w:val="00313C01"/>
    <w:rsid w:val="003146D5"/>
    <w:rsid w:val="00316738"/>
    <w:rsid w:val="00317369"/>
    <w:rsid w:val="00317A58"/>
    <w:rsid w:val="00320856"/>
    <w:rsid w:val="0032171A"/>
    <w:rsid w:val="0032221D"/>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871"/>
    <w:rsid w:val="0034605A"/>
    <w:rsid w:val="003469A0"/>
    <w:rsid w:val="00347C08"/>
    <w:rsid w:val="003504FF"/>
    <w:rsid w:val="0035111E"/>
    <w:rsid w:val="00351127"/>
    <w:rsid w:val="00351535"/>
    <w:rsid w:val="0035178B"/>
    <w:rsid w:val="00351ADA"/>
    <w:rsid w:val="00351EE5"/>
    <w:rsid w:val="0035203C"/>
    <w:rsid w:val="0035223E"/>
    <w:rsid w:val="0035348E"/>
    <w:rsid w:val="00353DB2"/>
    <w:rsid w:val="00353DE9"/>
    <w:rsid w:val="003545BA"/>
    <w:rsid w:val="00354753"/>
    <w:rsid w:val="00355D1B"/>
    <w:rsid w:val="003569EB"/>
    <w:rsid w:val="00360156"/>
    <w:rsid w:val="00360512"/>
    <w:rsid w:val="00360F8A"/>
    <w:rsid w:val="00361296"/>
    <w:rsid w:val="00361D62"/>
    <w:rsid w:val="00361F93"/>
    <w:rsid w:val="00362063"/>
    <w:rsid w:val="003624EB"/>
    <w:rsid w:val="00362DC0"/>
    <w:rsid w:val="0036361C"/>
    <w:rsid w:val="00364210"/>
    <w:rsid w:val="00365A3F"/>
    <w:rsid w:val="00365DFA"/>
    <w:rsid w:val="00367B20"/>
    <w:rsid w:val="00370585"/>
    <w:rsid w:val="00370A13"/>
    <w:rsid w:val="00371796"/>
    <w:rsid w:val="00372AE4"/>
    <w:rsid w:val="00372C94"/>
    <w:rsid w:val="00372E60"/>
    <w:rsid w:val="00372E9D"/>
    <w:rsid w:val="00372F6A"/>
    <w:rsid w:val="003731B4"/>
    <w:rsid w:val="0037329D"/>
    <w:rsid w:val="003735A8"/>
    <w:rsid w:val="00373988"/>
    <w:rsid w:val="00373C98"/>
    <w:rsid w:val="00373CDE"/>
    <w:rsid w:val="0037439C"/>
    <w:rsid w:val="003747EA"/>
    <w:rsid w:val="00375A41"/>
    <w:rsid w:val="00376908"/>
    <w:rsid w:val="00381B13"/>
    <w:rsid w:val="00383280"/>
    <w:rsid w:val="00384E0C"/>
    <w:rsid w:val="00386485"/>
    <w:rsid w:val="0038796E"/>
    <w:rsid w:val="00390520"/>
    <w:rsid w:val="003908D2"/>
    <w:rsid w:val="00391552"/>
    <w:rsid w:val="00392F9B"/>
    <w:rsid w:val="00393315"/>
    <w:rsid w:val="003937B2"/>
    <w:rsid w:val="00393C41"/>
    <w:rsid w:val="003955DB"/>
    <w:rsid w:val="00395611"/>
    <w:rsid w:val="00395D3B"/>
    <w:rsid w:val="003977B2"/>
    <w:rsid w:val="00397E10"/>
    <w:rsid w:val="003A0707"/>
    <w:rsid w:val="003A09E2"/>
    <w:rsid w:val="003A0C53"/>
    <w:rsid w:val="003A0E86"/>
    <w:rsid w:val="003A0ECC"/>
    <w:rsid w:val="003A0F50"/>
    <w:rsid w:val="003A0FDF"/>
    <w:rsid w:val="003A19F2"/>
    <w:rsid w:val="003A2CAF"/>
    <w:rsid w:val="003A33A5"/>
    <w:rsid w:val="003A4229"/>
    <w:rsid w:val="003A5140"/>
    <w:rsid w:val="003A54BB"/>
    <w:rsid w:val="003A5D52"/>
    <w:rsid w:val="003A5E05"/>
    <w:rsid w:val="003A769B"/>
    <w:rsid w:val="003B2611"/>
    <w:rsid w:val="003B2E37"/>
    <w:rsid w:val="003B2E56"/>
    <w:rsid w:val="003B3B53"/>
    <w:rsid w:val="003B434C"/>
    <w:rsid w:val="003B489B"/>
    <w:rsid w:val="003B4F9D"/>
    <w:rsid w:val="003B64D6"/>
    <w:rsid w:val="003B6520"/>
    <w:rsid w:val="003B6A6B"/>
    <w:rsid w:val="003B72FF"/>
    <w:rsid w:val="003B792B"/>
    <w:rsid w:val="003B7F4F"/>
    <w:rsid w:val="003C01E4"/>
    <w:rsid w:val="003C0AB7"/>
    <w:rsid w:val="003C0D5F"/>
    <w:rsid w:val="003C0E91"/>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815"/>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3F7880"/>
    <w:rsid w:val="00400D3D"/>
    <w:rsid w:val="00403845"/>
    <w:rsid w:val="0040476C"/>
    <w:rsid w:val="00405A90"/>
    <w:rsid w:val="00405D42"/>
    <w:rsid w:val="00407018"/>
    <w:rsid w:val="00410E09"/>
    <w:rsid w:val="004110BF"/>
    <w:rsid w:val="004123D7"/>
    <w:rsid w:val="00413802"/>
    <w:rsid w:val="00413E7B"/>
    <w:rsid w:val="004148DA"/>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5098"/>
    <w:rsid w:val="004250D2"/>
    <w:rsid w:val="004252B7"/>
    <w:rsid w:val="004259BF"/>
    <w:rsid w:val="00426377"/>
    <w:rsid w:val="00426A43"/>
    <w:rsid w:val="00427039"/>
    <w:rsid w:val="0042756E"/>
    <w:rsid w:val="004277B3"/>
    <w:rsid w:val="0042782B"/>
    <w:rsid w:val="00427FFB"/>
    <w:rsid w:val="004316D5"/>
    <w:rsid w:val="00433281"/>
    <w:rsid w:val="004337A4"/>
    <w:rsid w:val="00435318"/>
    <w:rsid w:val="00435433"/>
    <w:rsid w:val="0043545F"/>
    <w:rsid w:val="00437F79"/>
    <w:rsid w:val="00440513"/>
    <w:rsid w:val="00440A71"/>
    <w:rsid w:val="00441C92"/>
    <w:rsid w:val="00441F92"/>
    <w:rsid w:val="00443033"/>
    <w:rsid w:val="004431F3"/>
    <w:rsid w:val="0044326A"/>
    <w:rsid w:val="00443A3C"/>
    <w:rsid w:val="004446A8"/>
    <w:rsid w:val="00444C32"/>
    <w:rsid w:val="0044542E"/>
    <w:rsid w:val="0044751B"/>
    <w:rsid w:val="0044770B"/>
    <w:rsid w:val="004531D2"/>
    <w:rsid w:val="00453A1B"/>
    <w:rsid w:val="004541EF"/>
    <w:rsid w:val="00454AB8"/>
    <w:rsid w:val="00454B1A"/>
    <w:rsid w:val="00455DB2"/>
    <w:rsid w:val="00456104"/>
    <w:rsid w:val="00456895"/>
    <w:rsid w:val="00457D11"/>
    <w:rsid w:val="004606D5"/>
    <w:rsid w:val="00461F9F"/>
    <w:rsid w:val="00463253"/>
    <w:rsid w:val="00463722"/>
    <w:rsid w:val="00466D16"/>
    <w:rsid w:val="00466FE2"/>
    <w:rsid w:val="00467CD3"/>
    <w:rsid w:val="00470E15"/>
    <w:rsid w:val="00471B89"/>
    <w:rsid w:val="004724D5"/>
    <w:rsid w:val="00472EF8"/>
    <w:rsid w:val="00473648"/>
    <w:rsid w:val="0047437F"/>
    <w:rsid w:val="00474B88"/>
    <w:rsid w:val="00474FBA"/>
    <w:rsid w:val="004752EA"/>
    <w:rsid w:val="004758C0"/>
    <w:rsid w:val="00475D00"/>
    <w:rsid w:val="004765C9"/>
    <w:rsid w:val="00477B37"/>
    <w:rsid w:val="0048011F"/>
    <w:rsid w:val="00481097"/>
    <w:rsid w:val="0048197A"/>
    <w:rsid w:val="00482258"/>
    <w:rsid w:val="00484394"/>
    <w:rsid w:val="004844E7"/>
    <w:rsid w:val="0048614E"/>
    <w:rsid w:val="00486ECA"/>
    <w:rsid w:val="0048740A"/>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EE1"/>
    <w:rsid w:val="004A2FC3"/>
    <w:rsid w:val="004A30E8"/>
    <w:rsid w:val="004A3552"/>
    <w:rsid w:val="004A3967"/>
    <w:rsid w:val="004A3DBC"/>
    <w:rsid w:val="004A706E"/>
    <w:rsid w:val="004B09AE"/>
    <w:rsid w:val="004B0DDC"/>
    <w:rsid w:val="004B12B6"/>
    <w:rsid w:val="004B12C1"/>
    <w:rsid w:val="004B1C51"/>
    <w:rsid w:val="004B215F"/>
    <w:rsid w:val="004B260F"/>
    <w:rsid w:val="004B333D"/>
    <w:rsid w:val="004B6A61"/>
    <w:rsid w:val="004B7D90"/>
    <w:rsid w:val="004C0612"/>
    <w:rsid w:val="004C16AC"/>
    <w:rsid w:val="004C2215"/>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2EFE"/>
    <w:rsid w:val="004D48A7"/>
    <w:rsid w:val="004D4F86"/>
    <w:rsid w:val="004D53E8"/>
    <w:rsid w:val="004D6235"/>
    <w:rsid w:val="004D71D6"/>
    <w:rsid w:val="004D7B37"/>
    <w:rsid w:val="004D7E3A"/>
    <w:rsid w:val="004E08C8"/>
    <w:rsid w:val="004E0E9F"/>
    <w:rsid w:val="004E0FA4"/>
    <w:rsid w:val="004E1691"/>
    <w:rsid w:val="004E1DB6"/>
    <w:rsid w:val="004E2370"/>
    <w:rsid w:val="004E23F2"/>
    <w:rsid w:val="004E25C1"/>
    <w:rsid w:val="004E2A17"/>
    <w:rsid w:val="004E3123"/>
    <w:rsid w:val="004E3196"/>
    <w:rsid w:val="004E3212"/>
    <w:rsid w:val="004E3CA8"/>
    <w:rsid w:val="004E3CC2"/>
    <w:rsid w:val="004E4B8A"/>
    <w:rsid w:val="004E7F67"/>
    <w:rsid w:val="004F2EE1"/>
    <w:rsid w:val="004F2F92"/>
    <w:rsid w:val="004F43CB"/>
    <w:rsid w:val="004F4AC8"/>
    <w:rsid w:val="004F5D52"/>
    <w:rsid w:val="004F6070"/>
    <w:rsid w:val="004F7183"/>
    <w:rsid w:val="0050042C"/>
    <w:rsid w:val="00500B6A"/>
    <w:rsid w:val="00500D6F"/>
    <w:rsid w:val="005012DB"/>
    <w:rsid w:val="00501C3F"/>
    <w:rsid w:val="00502380"/>
    <w:rsid w:val="0050267B"/>
    <w:rsid w:val="00502903"/>
    <w:rsid w:val="00503730"/>
    <w:rsid w:val="00504A31"/>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1F5"/>
    <w:rsid w:val="005204D0"/>
    <w:rsid w:val="00520D18"/>
    <w:rsid w:val="005216BE"/>
    <w:rsid w:val="00522BDD"/>
    <w:rsid w:val="00523B38"/>
    <w:rsid w:val="00523CB0"/>
    <w:rsid w:val="005242EE"/>
    <w:rsid w:val="00524421"/>
    <w:rsid w:val="00525094"/>
    <w:rsid w:val="00525C18"/>
    <w:rsid w:val="00527783"/>
    <w:rsid w:val="00527FE0"/>
    <w:rsid w:val="00533167"/>
    <w:rsid w:val="005332C9"/>
    <w:rsid w:val="0053358C"/>
    <w:rsid w:val="0053369E"/>
    <w:rsid w:val="00533EE5"/>
    <w:rsid w:val="00534A8F"/>
    <w:rsid w:val="00534B36"/>
    <w:rsid w:val="0053512C"/>
    <w:rsid w:val="0053589E"/>
    <w:rsid w:val="00536378"/>
    <w:rsid w:val="0053677A"/>
    <w:rsid w:val="00536E3E"/>
    <w:rsid w:val="005372A7"/>
    <w:rsid w:val="00540C42"/>
    <w:rsid w:val="0054319F"/>
    <w:rsid w:val="00544729"/>
    <w:rsid w:val="00544E5D"/>
    <w:rsid w:val="00544ED2"/>
    <w:rsid w:val="0054546C"/>
    <w:rsid w:val="00545D9F"/>
    <w:rsid w:val="0054639F"/>
    <w:rsid w:val="0054689B"/>
    <w:rsid w:val="0054697F"/>
    <w:rsid w:val="00546FD2"/>
    <w:rsid w:val="00552D94"/>
    <w:rsid w:val="00553952"/>
    <w:rsid w:val="00553D8C"/>
    <w:rsid w:val="005545F9"/>
    <w:rsid w:val="005562F4"/>
    <w:rsid w:val="00556956"/>
    <w:rsid w:val="005606BF"/>
    <w:rsid w:val="00560A6B"/>
    <w:rsid w:val="0056221F"/>
    <w:rsid w:val="0056244F"/>
    <w:rsid w:val="0056325B"/>
    <w:rsid w:val="00563720"/>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C98"/>
    <w:rsid w:val="00583DEF"/>
    <w:rsid w:val="00584A73"/>
    <w:rsid w:val="00584D50"/>
    <w:rsid w:val="00587C15"/>
    <w:rsid w:val="00587C38"/>
    <w:rsid w:val="0059057B"/>
    <w:rsid w:val="00590786"/>
    <w:rsid w:val="00591D06"/>
    <w:rsid w:val="00592B67"/>
    <w:rsid w:val="00592C11"/>
    <w:rsid w:val="00592E14"/>
    <w:rsid w:val="00593E7E"/>
    <w:rsid w:val="00594389"/>
    <w:rsid w:val="00594C5F"/>
    <w:rsid w:val="00595B59"/>
    <w:rsid w:val="0059689F"/>
    <w:rsid w:val="00597A95"/>
    <w:rsid w:val="005A083F"/>
    <w:rsid w:val="005A0B16"/>
    <w:rsid w:val="005A0CF3"/>
    <w:rsid w:val="005A17C9"/>
    <w:rsid w:val="005A1A51"/>
    <w:rsid w:val="005A1B58"/>
    <w:rsid w:val="005A1EC1"/>
    <w:rsid w:val="005A213B"/>
    <w:rsid w:val="005A2D95"/>
    <w:rsid w:val="005A437A"/>
    <w:rsid w:val="005A4515"/>
    <w:rsid w:val="005A483C"/>
    <w:rsid w:val="005A48E6"/>
    <w:rsid w:val="005A5CBA"/>
    <w:rsid w:val="005A6173"/>
    <w:rsid w:val="005A6F68"/>
    <w:rsid w:val="005A7765"/>
    <w:rsid w:val="005A7BA9"/>
    <w:rsid w:val="005B12F1"/>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93E"/>
    <w:rsid w:val="005C73CC"/>
    <w:rsid w:val="005D012B"/>
    <w:rsid w:val="005D01ED"/>
    <w:rsid w:val="005D03C6"/>
    <w:rsid w:val="005D0920"/>
    <w:rsid w:val="005D24C3"/>
    <w:rsid w:val="005D378B"/>
    <w:rsid w:val="005D50DB"/>
    <w:rsid w:val="005D608A"/>
    <w:rsid w:val="005D670F"/>
    <w:rsid w:val="005D75D5"/>
    <w:rsid w:val="005D7E97"/>
    <w:rsid w:val="005E06EA"/>
    <w:rsid w:val="005E0863"/>
    <w:rsid w:val="005E0A9F"/>
    <w:rsid w:val="005E0FAD"/>
    <w:rsid w:val="005E17AF"/>
    <w:rsid w:val="005E187A"/>
    <w:rsid w:val="005E1C9E"/>
    <w:rsid w:val="005E27B2"/>
    <w:rsid w:val="005E2AF0"/>
    <w:rsid w:val="005E2B1F"/>
    <w:rsid w:val="005E4341"/>
    <w:rsid w:val="005E5B0E"/>
    <w:rsid w:val="005E5BAB"/>
    <w:rsid w:val="005E5D18"/>
    <w:rsid w:val="005E6024"/>
    <w:rsid w:val="005E631B"/>
    <w:rsid w:val="005E6C08"/>
    <w:rsid w:val="005E7551"/>
    <w:rsid w:val="005F072E"/>
    <w:rsid w:val="005F09E0"/>
    <w:rsid w:val="005F1DA3"/>
    <w:rsid w:val="005F2094"/>
    <w:rsid w:val="005F28AA"/>
    <w:rsid w:val="005F3B06"/>
    <w:rsid w:val="005F43EF"/>
    <w:rsid w:val="005F4489"/>
    <w:rsid w:val="005F45B9"/>
    <w:rsid w:val="005F47A3"/>
    <w:rsid w:val="005F4AF3"/>
    <w:rsid w:val="005F596C"/>
    <w:rsid w:val="005F6248"/>
    <w:rsid w:val="005F7B96"/>
    <w:rsid w:val="00600A62"/>
    <w:rsid w:val="00600C88"/>
    <w:rsid w:val="006026B4"/>
    <w:rsid w:val="00604293"/>
    <w:rsid w:val="00604400"/>
    <w:rsid w:val="0060455C"/>
    <w:rsid w:val="00605232"/>
    <w:rsid w:val="006055E9"/>
    <w:rsid w:val="0060686F"/>
    <w:rsid w:val="0060694D"/>
    <w:rsid w:val="00607A80"/>
    <w:rsid w:val="00607C3C"/>
    <w:rsid w:val="00611A84"/>
    <w:rsid w:val="00611EC2"/>
    <w:rsid w:val="00612E31"/>
    <w:rsid w:val="00613548"/>
    <w:rsid w:val="006144E3"/>
    <w:rsid w:val="00614FC8"/>
    <w:rsid w:val="0061673D"/>
    <w:rsid w:val="00616D73"/>
    <w:rsid w:val="00617056"/>
    <w:rsid w:val="006174C3"/>
    <w:rsid w:val="00617E5F"/>
    <w:rsid w:val="00617E79"/>
    <w:rsid w:val="00620408"/>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34EDF"/>
    <w:rsid w:val="00635C4B"/>
    <w:rsid w:val="006375C2"/>
    <w:rsid w:val="00640471"/>
    <w:rsid w:val="006416E2"/>
    <w:rsid w:val="0064175B"/>
    <w:rsid w:val="00641F49"/>
    <w:rsid w:val="0064286F"/>
    <w:rsid w:val="00642E1E"/>
    <w:rsid w:val="0064466B"/>
    <w:rsid w:val="006454AD"/>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CD5"/>
    <w:rsid w:val="00657D80"/>
    <w:rsid w:val="0066092E"/>
    <w:rsid w:val="00660B4D"/>
    <w:rsid w:val="00660D81"/>
    <w:rsid w:val="00661051"/>
    <w:rsid w:val="00662303"/>
    <w:rsid w:val="0066516C"/>
    <w:rsid w:val="00665F4E"/>
    <w:rsid w:val="00666BF5"/>
    <w:rsid w:val="00667AE0"/>
    <w:rsid w:val="00667D71"/>
    <w:rsid w:val="0067110F"/>
    <w:rsid w:val="006712DB"/>
    <w:rsid w:val="006712DF"/>
    <w:rsid w:val="00671B72"/>
    <w:rsid w:val="00671BAC"/>
    <w:rsid w:val="00672115"/>
    <w:rsid w:val="00672AA5"/>
    <w:rsid w:val="00673716"/>
    <w:rsid w:val="0067437C"/>
    <w:rsid w:val="00674E2D"/>
    <w:rsid w:val="0067504F"/>
    <w:rsid w:val="0067511B"/>
    <w:rsid w:val="006758D6"/>
    <w:rsid w:val="00675C7C"/>
    <w:rsid w:val="00675DE4"/>
    <w:rsid w:val="00676B07"/>
    <w:rsid w:val="00677699"/>
    <w:rsid w:val="00677B0A"/>
    <w:rsid w:val="00677C11"/>
    <w:rsid w:val="006804F1"/>
    <w:rsid w:val="00682C95"/>
    <w:rsid w:val="00683FA8"/>
    <w:rsid w:val="00684611"/>
    <w:rsid w:val="00684658"/>
    <w:rsid w:val="00684C45"/>
    <w:rsid w:val="00684CF7"/>
    <w:rsid w:val="00684E3F"/>
    <w:rsid w:val="00684FF3"/>
    <w:rsid w:val="00685425"/>
    <w:rsid w:val="00685546"/>
    <w:rsid w:val="006855A0"/>
    <w:rsid w:val="00690237"/>
    <w:rsid w:val="006902CA"/>
    <w:rsid w:val="0069055B"/>
    <w:rsid w:val="00690981"/>
    <w:rsid w:val="0069208E"/>
    <w:rsid w:val="0069335E"/>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F1"/>
    <w:rsid w:val="006A3D2D"/>
    <w:rsid w:val="006A445E"/>
    <w:rsid w:val="006A4C76"/>
    <w:rsid w:val="006A4CE1"/>
    <w:rsid w:val="006A5185"/>
    <w:rsid w:val="006A582F"/>
    <w:rsid w:val="006A6FFC"/>
    <w:rsid w:val="006A7E23"/>
    <w:rsid w:val="006B08BA"/>
    <w:rsid w:val="006B0BC3"/>
    <w:rsid w:val="006B0C02"/>
    <w:rsid w:val="006B1090"/>
    <w:rsid w:val="006B19ED"/>
    <w:rsid w:val="006B1FA1"/>
    <w:rsid w:val="006B3962"/>
    <w:rsid w:val="006B5D9E"/>
    <w:rsid w:val="006B5E16"/>
    <w:rsid w:val="006B77E1"/>
    <w:rsid w:val="006C0F9A"/>
    <w:rsid w:val="006C1585"/>
    <w:rsid w:val="006C17F9"/>
    <w:rsid w:val="006C1F0D"/>
    <w:rsid w:val="006C3067"/>
    <w:rsid w:val="006C3ADA"/>
    <w:rsid w:val="006C4B9F"/>
    <w:rsid w:val="006C5854"/>
    <w:rsid w:val="006C68DD"/>
    <w:rsid w:val="006C7B6B"/>
    <w:rsid w:val="006D05D3"/>
    <w:rsid w:val="006D14D3"/>
    <w:rsid w:val="006D15A0"/>
    <w:rsid w:val="006D214C"/>
    <w:rsid w:val="006D3CF4"/>
    <w:rsid w:val="006D4AF7"/>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F0526"/>
    <w:rsid w:val="006F0B70"/>
    <w:rsid w:val="006F1859"/>
    <w:rsid w:val="006F1914"/>
    <w:rsid w:val="006F1EF9"/>
    <w:rsid w:val="006F2692"/>
    <w:rsid w:val="006F2F2C"/>
    <w:rsid w:val="006F3398"/>
    <w:rsid w:val="006F423C"/>
    <w:rsid w:val="006F432A"/>
    <w:rsid w:val="006F49DB"/>
    <w:rsid w:val="006F4F00"/>
    <w:rsid w:val="006F7B9C"/>
    <w:rsid w:val="0070143E"/>
    <w:rsid w:val="00702446"/>
    <w:rsid w:val="00702AC4"/>
    <w:rsid w:val="007030D7"/>
    <w:rsid w:val="0070503A"/>
    <w:rsid w:val="007056D6"/>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542B"/>
    <w:rsid w:val="0071591F"/>
    <w:rsid w:val="00716AAE"/>
    <w:rsid w:val="007171A5"/>
    <w:rsid w:val="00720924"/>
    <w:rsid w:val="0072119B"/>
    <w:rsid w:val="007216BA"/>
    <w:rsid w:val="00721D54"/>
    <w:rsid w:val="0072255C"/>
    <w:rsid w:val="007229F0"/>
    <w:rsid w:val="00722AE3"/>
    <w:rsid w:val="00723D2E"/>
    <w:rsid w:val="007242CC"/>
    <w:rsid w:val="00725833"/>
    <w:rsid w:val="00725D72"/>
    <w:rsid w:val="0072640B"/>
    <w:rsid w:val="00726CFA"/>
    <w:rsid w:val="007276F4"/>
    <w:rsid w:val="007278D7"/>
    <w:rsid w:val="00727AF8"/>
    <w:rsid w:val="007315BE"/>
    <w:rsid w:val="0073165B"/>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24A9"/>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01"/>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D7C"/>
    <w:rsid w:val="00775EB8"/>
    <w:rsid w:val="007763E9"/>
    <w:rsid w:val="00776992"/>
    <w:rsid w:val="00777079"/>
    <w:rsid w:val="0077731E"/>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A57"/>
    <w:rsid w:val="00793CE5"/>
    <w:rsid w:val="00794374"/>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50E"/>
    <w:rsid w:val="007B0643"/>
    <w:rsid w:val="007B07CB"/>
    <w:rsid w:val="007B0B98"/>
    <w:rsid w:val="007B0E2D"/>
    <w:rsid w:val="007B1677"/>
    <w:rsid w:val="007B1A0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76B"/>
    <w:rsid w:val="007C5B19"/>
    <w:rsid w:val="007C74B4"/>
    <w:rsid w:val="007C750D"/>
    <w:rsid w:val="007D12E5"/>
    <w:rsid w:val="007D2AD8"/>
    <w:rsid w:val="007D3424"/>
    <w:rsid w:val="007D34ED"/>
    <w:rsid w:val="007D3A7D"/>
    <w:rsid w:val="007D3AB0"/>
    <w:rsid w:val="007D3ACA"/>
    <w:rsid w:val="007D3F1C"/>
    <w:rsid w:val="007D3F4E"/>
    <w:rsid w:val="007D4C86"/>
    <w:rsid w:val="007D4D49"/>
    <w:rsid w:val="007D5D8E"/>
    <w:rsid w:val="007D776A"/>
    <w:rsid w:val="007D7C70"/>
    <w:rsid w:val="007D7F7D"/>
    <w:rsid w:val="007E01FD"/>
    <w:rsid w:val="007E1600"/>
    <w:rsid w:val="007E1650"/>
    <w:rsid w:val="007E1B92"/>
    <w:rsid w:val="007E2A55"/>
    <w:rsid w:val="007E3CE5"/>
    <w:rsid w:val="007E4560"/>
    <w:rsid w:val="007E45E6"/>
    <w:rsid w:val="007E54B7"/>
    <w:rsid w:val="007E576E"/>
    <w:rsid w:val="007E5E7C"/>
    <w:rsid w:val="007E64EB"/>
    <w:rsid w:val="007E6A87"/>
    <w:rsid w:val="007E7823"/>
    <w:rsid w:val="007F1893"/>
    <w:rsid w:val="007F1B8A"/>
    <w:rsid w:val="007F2B4F"/>
    <w:rsid w:val="007F375B"/>
    <w:rsid w:val="007F3CB9"/>
    <w:rsid w:val="007F3EBF"/>
    <w:rsid w:val="007F3FE4"/>
    <w:rsid w:val="007F406C"/>
    <w:rsid w:val="007F43FE"/>
    <w:rsid w:val="007F45B2"/>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5281"/>
    <w:rsid w:val="008069B0"/>
    <w:rsid w:val="00806C05"/>
    <w:rsid w:val="00806C28"/>
    <w:rsid w:val="00806EC1"/>
    <w:rsid w:val="008076AA"/>
    <w:rsid w:val="008078B4"/>
    <w:rsid w:val="0081030A"/>
    <w:rsid w:val="00810891"/>
    <w:rsid w:val="008111BD"/>
    <w:rsid w:val="0081157E"/>
    <w:rsid w:val="008142A7"/>
    <w:rsid w:val="0081456F"/>
    <w:rsid w:val="008145C4"/>
    <w:rsid w:val="00814CD5"/>
    <w:rsid w:val="008153DC"/>
    <w:rsid w:val="008224FD"/>
    <w:rsid w:val="00823636"/>
    <w:rsid w:val="00823A06"/>
    <w:rsid w:val="00823B30"/>
    <w:rsid w:val="008248B5"/>
    <w:rsid w:val="00824BBE"/>
    <w:rsid w:val="008250FA"/>
    <w:rsid w:val="00825DB9"/>
    <w:rsid w:val="008268A4"/>
    <w:rsid w:val="00827662"/>
    <w:rsid w:val="008304CE"/>
    <w:rsid w:val="00831F2D"/>
    <w:rsid w:val="00832DD8"/>
    <w:rsid w:val="00832DE5"/>
    <w:rsid w:val="008353E6"/>
    <w:rsid w:val="00835D99"/>
    <w:rsid w:val="00836598"/>
    <w:rsid w:val="008370D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10F6"/>
    <w:rsid w:val="00852168"/>
    <w:rsid w:val="00852EB8"/>
    <w:rsid w:val="00853693"/>
    <w:rsid w:val="008536B0"/>
    <w:rsid w:val="00853825"/>
    <w:rsid w:val="00853B12"/>
    <w:rsid w:val="00853E8B"/>
    <w:rsid w:val="00854314"/>
    <w:rsid w:val="00854A24"/>
    <w:rsid w:val="0085608A"/>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D3C"/>
    <w:rsid w:val="00872DC2"/>
    <w:rsid w:val="008733C2"/>
    <w:rsid w:val="0087424B"/>
    <w:rsid w:val="0087455C"/>
    <w:rsid w:val="00874E53"/>
    <w:rsid w:val="00875307"/>
    <w:rsid w:val="008755DD"/>
    <w:rsid w:val="00875A96"/>
    <w:rsid w:val="00876492"/>
    <w:rsid w:val="00876913"/>
    <w:rsid w:val="00876D3E"/>
    <w:rsid w:val="00880882"/>
    <w:rsid w:val="00880DF6"/>
    <w:rsid w:val="00880F61"/>
    <w:rsid w:val="00881EA5"/>
    <w:rsid w:val="008822B7"/>
    <w:rsid w:val="008823ED"/>
    <w:rsid w:val="008825AF"/>
    <w:rsid w:val="00882DFC"/>
    <w:rsid w:val="00882F65"/>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51B1"/>
    <w:rsid w:val="008966EA"/>
    <w:rsid w:val="00897380"/>
    <w:rsid w:val="008A03E0"/>
    <w:rsid w:val="008A0508"/>
    <w:rsid w:val="008A114A"/>
    <w:rsid w:val="008A278E"/>
    <w:rsid w:val="008A2C3F"/>
    <w:rsid w:val="008A32BA"/>
    <w:rsid w:val="008A33B3"/>
    <w:rsid w:val="008A3A72"/>
    <w:rsid w:val="008A3B81"/>
    <w:rsid w:val="008A3BD7"/>
    <w:rsid w:val="008A4611"/>
    <w:rsid w:val="008A67DD"/>
    <w:rsid w:val="008A7C86"/>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D6D"/>
    <w:rsid w:val="008C355D"/>
    <w:rsid w:val="008C37A6"/>
    <w:rsid w:val="008C4947"/>
    <w:rsid w:val="008C4999"/>
    <w:rsid w:val="008C4FD1"/>
    <w:rsid w:val="008C5385"/>
    <w:rsid w:val="008C57B9"/>
    <w:rsid w:val="008C59A1"/>
    <w:rsid w:val="008C607E"/>
    <w:rsid w:val="008C68A5"/>
    <w:rsid w:val="008C6CC5"/>
    <w:rsid w:val="008C7DC4"/>
    <w:rsid w:val="008D0376"/>
    <w:rsid w:val="008D058C"/>
    <w:rsid w:val="008D1AA3"/>
    <w:rsid w:val="008D1B1B"/>
    <w:rsid w:val="008D1BD7"/>
    <w:rsid w:val="008D2343"/>
    <w:rsid w:val="008D2698"/>
    <w:rsid w:val="008D3FB5"/>
    <w:rsid w:val="008D419B"/>
    <w:rsid w:val="008D4335"/>
    <w:rsid w:val="008D52DA"/>
    <w:rsid w:val="008D5685"/>
    <w:rsid w:val="008D649E"/>
    <w:rsid w:val="008D6FE2"/>
    <w:rsid w:val="008D717C"/>
    <w:rsid w:val="008D7422"/>
    <w:rsid w:val="008D7A19"/>
    <w:rsid w:val="008E2536"/>
    <w:rsid w:val="008E2702"/>
    <w:rsid w:val="008E2F4C"/>
    <w:rsid w:val="008E3BA3"/>
    <w:rsid w:val="008E4900"/>
    <w:rsid w:val="008E6577"/>
    <w:rsid w:val="008E6CAF"/>
    <w:rsid w:val="008E77C4"/>
    <w:rsid w:val="008F0507"/>
    <w:rsid w:val="008F0875"/>
    <w:rsid w:val="008F0C2C"/>
    <w:rsid w:val="008F0C8C"/>
    <w:rsid w:val="008F0F47"/>
    <w:rsid w:val="008F1145"/>
    <w:rsid w:val="008F1797"/>
    <w:rsid w:val="008F27CA"/>
    <w:rsid w:val="008F3027"/>
    <w:rsid w:val="008F3A08"/>
    <w:rsid w:val="008F41E3"/>
    <w:rsid w:val="008F65C3"/>
    <w:rsid w:val="008F6A10"/>
    <w:rsid w:val="008F6BFD"/>
    <w:rsid w:val="008F6C57"/>
    <w:rsid w:val="008F7F3A"/>
    <w:rsid w:val="009019F0"/>
    <w:rsid w:val="00901C5F"/>
    <w:rsid w:val="009029D3"/>
    <w:rsid w:val="00902BAF"/>
    <w:rsid w:val="00902E0C"/>
    <w:rsid w:val="00903064"/>
    <w:rsid w:val="00903CAF"/>
    <w:rsid w:val="00904357"/>
    <w:rsid w:val="0090492E"/>
    <w:rsid w:val="009051C7"/>
    <w:rsid w:val="0090542D"/>
    <w:rsid w:val="009068AD"/>
    <w:rsid w:val="00906DD7"/>
    <w:rsid w:val="0090760E"/>
    <w:rsid w:val="009102CD"/>
    <w:rsid w:val="009106E1"/>
    <w:rsid w:val="00910F3B"/>
    <w:rsid w:val="0091164A"/>
    <w:rsid w:val="00911655"/>
    <w:rsid w:val="00912018"/>
    <w:rsid w:val="00913178"/>
    <w:rsid w:val="0091401F"/>
    <w:rsid w:val="00914B0A"/>
    <w:rsid w:val="00915006"/>
    <w:rsid w:val="00915DA2"/>
    <w:rsid w:val="00916459"/>
    <w:rsid w:val="0091742B"/>
    <w:rsid w:val="00920FCA"/>
    <w:rsid w:val="00922B60"/>
    <w:rsid w:val="00922D50"/>
    <w:rsid w:val="00923350"/>
    <w:rsid w:val="009233D0"/>
    <w:rsid w:val="009246A6"/>
    <w:rsid w:val="00924F52"/>
    <w:rsid w:val="00925294"/>
    <w:rsid w:val="00925DF9"/>
    <w:rsid w:val="00926022"/>
    <w:rsid w:val="00930083"/>
    <w:rsid w:val="00930144"/>
    <w:rsid w:val="0093041C"/>
    <w:rsid w:val="0093107A"/>
    <w:rsid w:val="00931266"/>
    <w:rsid w:val="00933792"/>
    <w:rsid w:val="009338DF"/>
    <w:rsid w:val="00933CC5"/>
    <w:rsid w:val="00934E8C"/>
    <w:rsid w:val="009351B3"/>
    <w:rsid w:val="00935D95"/>
    <w:rsid w:val="00935FB1"/>
    <w:rsid w:val="00937719"/>
    <w:rsid w:val="009379EF"/>
    <w:rsid w:val="009401AB"/>
    <w:rsid w:val="00940910"/>
    <w:rsid w:val="009425AD"/>
    <w:rsid w:val="00942D90"/>
    <w:rsid w:val="009435A4"/>
    <w:rsid w:val="00944EFE"/>
    <w:rsid w:val="00945F30"/>
    <w:rsid w:val="00945FAF"/>
    <w:rsid w:val="0095027E"/>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A84"/>
    <w:rsid w:val="00965B7A"/>
    <w:rsid w:val="00965E43"/>
    <w:rsid w:val="00966DFD"/>
    <w:rsid w:val="009678A0"/>
    <w:rsid w:val="00970071"/>
    <w:rsid w:val="009706AF"/>
    <w:rsid w:val="00972FB0"/>
    <w:rsid w:val="009738D1"/>
    <w:rsid w:val="00973A7E"/>
    <w:rsid w:val="0097401D"/>
    <w:rsid w:val="00975BA0"/>
    <w:rsid w:val="0097618B"/>
    <w:rsid w:val="00976F60"/>
    <w:rsid w:val="0097727B"/>
    <w:rsid w:val="0098056C"/>
    <w:rsid w:val="00980FC3"/>
    <w:rsid w:val="009811E8"/>
    <w:rsid w:val="00982EC7"/>
    <w:rsid w:val="009831AB"/>
    <w:rsid w:val="00983205"/>
    <w:rsid w:val="009837EC"/>
    <w:rsid w:val="009846AA"/>
    <w:rsid w:val="00984C93"/>
    <w:rsid w:val="00986202"/>
    <w:rsid w:val="00986A35"/>
    <w:rsid w:val="009906F2"/>
    <w:rsid w:val="00993231"/>
    <w:rsid w:val="00993873"/>
    <w:rsid w:val="009940A2"/>
    <w:rsid w:val="009940E9"/>
    <w:rsid w:val="00994329"/>
    <w:rsid w:val="00994AA3"/>
    <w:rsid w:val="00994ECE"/>
    <w:rsid w:val="009966D6"/>
    <w:rsid w:val="009A1763"/>
    <w:rsid w:val="009A1A9C"/>
    <w:rsid w:val="009A1BFD"/>
    <w:rsid w:val="009A26AA"/>
    <w:rsid w:val="009A5B64"/>
    <w:rsid w:val="009A60B5"/>
    <w:rsid w:val="009A62F0"/>
    <w:rsid w:val="009A62F8"/>
    <w:rsid w:val="009A714D"/>
    <w:rsid w:val="009B0293"/>
    <w:rsid w:val="009B0587"/>
    <w:rsid w:val="009B23C1"/>
    <w:rsid w:val="009B27B8"/>
    <w:rsid w:val="009B3D3D"/>
    <w:rsid w:val="009B4288"/>
    <w:rsid w:val="009B51F2"/>
    <w:rsid w:val="009B53E2"/>
    <w:rsid w:val="009B631B"/>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6ED1"/>
    <w:rsid w:val="009C74DB"/>
    <w:rsid w:val="009C7D7C"/>
    <w:rsid w:val="009D023A"/>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252"/>
    <w:rsid w:val="009F0412"/>
    <w:rsid w:val="009F07E6"/>
    <w:rsid w:val="009F1808"/>
    <w:rsid w:val="009F1843"/>
    <w:rsid w:val="009F2C18"/>
    <w:rsid w:val="009F3914"/>
    <w:rsid w:val="009F42DE"/>
    <w:rsid w:val="009F42FA"/>
    <w:rsid w:val="009F450C"/>
    <w:rsid w:val="009F4948"/>
    <w:rsid w:val="009F50B8"/>
    <w:rsid w:val="009F52C7"/>
    <w:rsid w:val="009F592C"/>
    <w:rsid w:val="009F5C23"/>
    <w:rsid w:val="009F5F90"/>
    <w:rsid w:val="009F62E0"/>
    <w:rsid w:val="009F6836"/>
    <w:rsid w:val="009F7472"/>
    <w:rsid w:val="009F74F7"/>
    <w:rsid w:val="009F7E39"/>
    <w:rsid w:val="009F7E47"/>
    <w:rsid w:val="00A00009"/>
    <w:rsid w:val="00A02494"/>
    <w:rsid w:val="00A02AD1"/>
    <w:rsid w:val="00A03524"/>
    <w:rsid w:val="00A03A03"/>
    <w:rsid w:val="00A06186"/>
    <w:rsid w:val="00A06DDC"/>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479"/>
    <w:rsid w:val="00A26F01"/>
    <w:rsid w:val="00A27057"/>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2DB0"/>
    <w:rsid w:val="00A5384D"/>
    <w:rsid w:val="00A539EF"/>
    <w:rsid w:val="00A555BC"/>
    <w:rsid w:val="00A56776"/>
    <w:rsid w:val="00A56C8C"/>
    <w:rsid w:val="00A57E03"/>
    <w:rsid w:val="00A606D7"/>
    <w:rsid w:val="00A619DC"/>
    <w:rsid w:val="00A627A6"/>
    <w:rsid w:val="00A62E0E"/>
    <w:rsid w:val="00A6311B"/>
    <w:rsid w:val="00A63874"/>
    <w:rsid w:val="00A64150"/>
    <w:rsid w:val="00A642E5"/>
    <w:rsid w:val="00A64789"/>
    <w:rsid w:val="00A6563E"/>
    <w:rsid w:val="00A65DD2"/>
    <w:rsid w:val="00A65DD7"/>
    <w:rsid w:val="00A662C1"/>
    <w:rsid w:val="00A6636F"/>
    <w:rsid w:val="00A6686A"/>
    <w:rsid w:val="00A66964"/>
    <w:rsid w:val="00A66C14"/>
    <w:rsid w:val="00A67558"/>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9E6"/>
    <w:rsid w:val="00A76AD4"/>
    <w:rsid w:val="00A81062"/>
    <w:rsid w:val="00A81205"/>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04ED"/>
    <w:rsid w:val="00AA10DC"/>
    <w:rsid w:val="00AA1CCE"/>
    <w:rsid w:val="00AA21BD"/>
    <w:rsid w:val="00AA2DEF"/>
    <w:rsid w:val="00AA2F04"/>
    <w:rsid w:val="00AA3C4B"/>
    <w:rsid w:val="00AA4B18"/>
    <w:rsid w:val="00AA4FB8"/>
    <w:rsid w:val="00AA5602"/>
    <w:rsid w:val="00AA5C5C"/>
    <w:rsid w:val="00AA63F9"/>
    <w:rsid w:val="00AB01D0"/>
    <w:rsid w:val="00AB0726"/>
    <w:rsid w:val="00AB2394"/>
    <w:rsid w:val="00AB3A55"/>
    <w:rsid w:val="00AB3B3E"/>
    <w:rsid w:val="00AB46EA"/>
    <w:rsid w:val="00AB49A4"/>
    <w:rsid w:val="00AB5F34"/>
    <w:rsid w:val="00AB6205"/>
    <w:rsid w:val="00AB62EF"/>
    <w:rsid w:val="00AB63D6"/>
    <w:rsid w:val="00AB677E"/>
    <w:rsid w:val="00AB6859"/>
    <w:rsid w:val="00AB6F1B"/>
    <w:rsid w:val="00AB7252"/>
    <w:rsid w:val="00AB7256"/>
    <w:rsid w:val="00AB75D0"/>
    <w:rsid w:val="00AB7E86"/>
    <w:rsid w:val="00AC07FD"/>
    <w:rsid w:val="00AC138C"/>
    <w:rsid w:val="00AC2E3E"/>
    <w:rsid w:val="00AC3144"/>
    <w:rsid w:val="00AC3762"/>
    <w:rsid w:val="00AC457D"/>
    <w:rsid w:val="00AC4696"/>
    <w:rsid w:val="00AC4736"/>
    <w:rsid w:val="00AC4877"/>
    <w:rsid w:val="00AC5B01"/>
    <w:rsid w:val="00AC70CA"/>
    <w:rsid w:val="00AC75E3"/>
    <w:rsid w:val="00AC76E0"/>
    <w:rsid w:val="00AC7B3A"/>
    <w:rsid w:val="00AC7F49"/>
    <w:rsid w:val="00AD0048"/>
    <w:rsid w:val="00AD05B4"/>
    <w:rsid w:val="00AD2C28"/>
    <w:rsid w:val="00AD2C9F"/>
    <w:rsid w:val="00AD355C"/>
    <w:rsid w:val="00AD431B"/>
    <w:rsid w:val="00AD4CC4"/>
    <w:rsid w:val="00AD5CC2"/>
    <w:rsid w:val="00AD5E3D"/>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27D4"/>
    <w:rsid w:val="00AF48C2"/>
    <w:rsid w:val="00AF4967"/>
    <w:rsid w:val="00B0112B"/>
    <w:rsid w:val="00B01F49"/>
    <w:rsid w:val="00B02C69"/>
    <w:rsid w:val="00B02F60"/>
    <w:rsid w:val="00B03DB2"/>
    <w:rsid w:val="00B0455B"/>
    <w:rsid w:val="00B048E9"/>
    <w:rsid w:val="00B049F9"/>
    <w:rsid w:val="00B04D07"/>
    <w:rsid w:val="00B05427"/>
    <w:rsid w:val="00B059B8"/>
    <w:rsid w:val="00B06022"/>
    <w:rsid w:val="00B07E00"/>
    <w:rsid w:val="00B1048D"/>
    <w:rsid w:val="00B10617"/>
    <w:rsid w:val="00B1092E"/>
    <w:rsid w:val="00B10A71"/>
    <w:rsid w:val="00B114B6"/>
    <w:rsid w:val="00B119E9"/>
    <w:rsid w:val="00B12B3F"/>
    <w:rsid w:val="00B12F54"/>
    <w:rsid w:val="00B1376F"/>
    <w:rsid w:val="00B14D10"/>
    <w:rsid w:val="00B16276"/>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27F79"/>
    <w:rsid w:val="00B303F1"/>
    <w:rsid w:val="00B308E5"/>
    <w:rsid w:val="00B30D75"/>
    <w:rsid w:val="00B33138"/>
    <w:rsid w:val="00B3356F"/>
    <w:rsid w:val="00B338B9"/>
    <w:rsid w:val="00B35D99"/>
    <w:rsid w:val="00B371CD"/>
    <w:rsid w:val="00B37289"/>
    <w:rsid w:val="00B37318"/>
    <w:rsid w:val="00B3779E"/>
    <w:rsid w:val="00B403C6"/>
    <w:rsid w:val="00B40E6A"/>
    <w:rsid w:val="00B42703"/>
    <w:rsid w:val="00B4288F"/>
    <w:rsid w:val="00B4307E"/>
    <w:rsid w:val="00B43157"/>
    <w:rsid w:val="00B432F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56E86"/>
    <w:rsid w:val="00B61274"/>
    <w:rsid w:val="00B62FE1"/>
    <w:rsid w:val="00B641A3"/>
    <w:rsid w:val="00B6555F"/>
    <w:rsid w:val="00B65826"/>
    <w:rsid w:val="00B66664"/>
    <w:rsid w:val="00B66723"/>
    <w:rsid w:val="00B670B4"/>
    <w:rsid w:val="00B67165"/>
    <w:rsid w:val="00B7168F"/>
    <w:rsid w:val="00B7186A"/>
    <w:rsid w:val="00B72482"/>
    <w:rsid w:val="00B72A8E"/>
    <w:rsid w:val="00B72DB6"/>
    <w:rsid w:val="00B7332F"/>
    <w:rsid w:val="00B7455D"/>
    <w:rsid w:val="00B7497B"/>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2DCD"/>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2B17"/>
    <w:rsid w:val="00BA2F1A"/>
    <w:rsid w:val="00BA4196"/>
    <w:rsid w:val="00BA4321"/>
    <w:rsid w:val="00BA594F"/>
    <w:rsid w:val="00BA6207"/>
    <w:rsid w:val="00BA67CE"/>
    <w:rsid w:val="00BA67EF"/>
    <w:rsid w:val="00BA6FB9"/>
    <w:rsid w:val="00BA7441"/>
    <w:rsid w:val="00BB0239"/>
    <w:rsid w:val="00BB1538"/>
    <w:rsid w:val="00BB1DE8"/>
    <w:rsid w:val="00BB21D1"/>
    <w:rsid w:val="00BB2742"/>
    <w:rsid w:val="00BB48B9"/>
    <w:rsid w:val="00BB6279"/>
    <w:rsid w:val="00BB6D9F"/>
    <w:rsid w:val="00BB70C5"/>
    <w:rsid w:val="00BB7A0A"/>
    <w:rsid w:val="00BC014F"/>
    <w:rsid w:val="00BC09DE"/>
    <w:rsid w:val="00BC0BCC"/>
    <w:rsid w:val="00BC137A"/>
    <w:rsid w:val="00BC1695"/>
    <w:rsid w:val="00BC1D7A"/>
    <w:rsid w:val="00BC1EE9"/>
    <w:rsid w:val="00BC2E5A"/>
    <w:rsid w:val="00BC2E9F"/>
    <w:rsid w:val="00BC34CA"/>
    <w:rsid w:val="00BC3A1D"/>
    <w:rsid w:val="00BC3FCB"/>
    <w:rsid w:val="00BC4517"/>
    <w:rsid w:val="00BC6C1A"/>
    <w:rsid w:val="00BC771A"/>
    <w:rsid w:val="00BC7BCC"/>
    <w:rsid w:val="00BC7D45"/>
    <w:rsid w:val="00BD04EA"/>
    <w:rsid w:val="00BD061A"/>
    <w:rsid w:val="00BD0FEC"/>
    <w:rsid w:val="00BD11C8"/>
    <w:rsid w:val="00BD1AC2"/>
    <w:rsid w:val="00BD24CA"/>
    <w:rsid w:val="00BD2613"/>
    <w:rsid w:val="00BD2704"/>
    <w:rsid w:val="00BD28ED"/>
    <w:rsid w:val="00BD2D33"/>
    <w:rsid w:val="00BD352C"/>
    <w:rsid w:val="00BD3923"/>
    <w:rsid w:val="00BD3EED"/>
    <w:rsid w:val="00BD5712"/>
    <w:rsid w:val="00BD7885"/>
    <w:rsid w:val="00BE0F75"/>
    <w:rsid w:val="00BE2142"/>
    <w:rsid w:val="00BE22A1"/>
    <w:rsid w:val="00BE2377"/>
    <w:rsid w:val="00BE2DF5"/>
    <w:rsid w:val="00BE3F54"/>
    <w:rsid w:val="00BE4161"/>
    <w:rsid w:val="00BE5C45"/>
    <w:rsid w:val="00BE61AF"/>
    <w:rsid w:val="00BE6536"/>
    <w:rsid w:val="00BE78C9"/>
    <w:rsid w:val="00BE7CB3"/>
    <w:rsid w:val="00BE7D42"/>
    <w:rsid w:val="00BE7F46"/>
    <w:rsid w:val="00BF1D1C"/>
    <w:rsid w:val="00BF2842"/>
    <w:rsid w:val="00BF2FAE"/>
    <w:rsid w:val="00BF3282"/>
    <w:rsid w:val="00BF3421"/>
    <w:rsid w:val="00BF4A20"/>
    <w:rsid w:val="00C00831"/>
    <w:rsid w:val="00C00C6D"/>
    <w:rsid w:val="00C00E97"/>
    <w:rsid w:val="00C01F32"/>
    <w:rsid w:val="00C028F3"/>
    <w:rsid w:val="00C02B6B"/>
    <w:rsid w:val="00C02F5A"/>
    <w:rsid w:val="00C04269"/>
    <w:rsid w:val="00C04759"/>
    <w:rsid w:val="00C04875"/>
    <w:rsid w:val="00C0488A"/>
    <w:rsid w:val="00C054A4"/>
    <w:rsid w:val="00C058C5"/>
    <w:rsid w:val="00C05B27"/>
    <w:rsid w:val="00C06330"/>
    <w:rsid w:val="00C06CD1"/>
    <w:rsid w:val="00C06F92"/>
    <w:rsid w:val="00C10C6A"/>
    <w:rsid w:val="00C10D58"/>
    <w:rsid w:val="00C159ED"/>
    <w:rsid w:val="00C16B0B"/>
    <w:rsid w:val="00C17912"/>
    <w:rsid w:val="00C20634"/>
    <w:rsid w:val="00C21071"/>
    <w:rsid w:val="00C21FEC"/>
    <w:rsid w:val="00C2207E"/>
    <w:rsid w:val="00C22964"/>
    <w:rsid w:val="00C22CBA"/>
    <w:rsid w:val="00C22E32"/>
    <w:rsid w:val="00C2307C"/>
    <w:rsid w:val="00C23F65"/>
    <w:rsid w:val="00C24532"/>
    <w:rsid w:val="00C2465B"/>
    <w:rsid w:val="00C24AF7"/>
    <w:rsid w:val="00C26001"/>
    <w:rsid w:val="00C2771E"/>
    <w:rsid w:val="00C27C8C"/>
    <w:rsid w:val="00C30047"/>
    <w:rsid w:val="00C3083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47A22"/>
    <w:rsid w:val="00C47C63"/>
    <w:rsid w:val="00C50B34"/>
    <w:rsid w:val="00C51E52"/>
    <w:rsid w:val="00C51F14"/>
    <w:rsid w:val="00C52FC8"/>
    <w:rsid w:val="00C53816"/>
    <w:rsid w:val="00C53C6F"/>
    <w:rsid w:val="00C55010"/>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F02"/>
    <w:rsid w:val="00C73EBF"/>
    <w:rsid w:val="00C74A2D"/>
    <w:rsid w:val="00C75056"/>
    <w:rsid w:val="00C7540A"/>
    <w:rsid w:val="00C75BD7"/>
    <w:rsid w:val="00C75ECE"/>
    <w:rsid w:val="00C76190"/>
    <w:rsid w:val="00C77557"/>
    <w:rsid w:val="00C776FC"/>
    <w:rsid w:val="00C8032C"/>
    <w:rsid w:val="00C80F07"/>
    <w:rsid w:val="00C8161B"/>
    <w:rsid w:val="00C824B8"/>
    <w:rsid w:val="00C82878"/>
    <w:rsid w:val="00C83BA0"/>
    <w:rsid w:val="00C856BA"/>
    <w:rsid w:val="00C861F4"/>
    <w:rsid w:val="00C87801"/>
    <w:rsid w:val="00C87922"/>
    <w:rsid w:val="00C87EC7"/>
    <w:rsid w:val="00C9305C"/>
    <w:rsid w:val="00C94F91"/>
    <w:rsid w:val="00C9538D"/>
    <w:rsid w:val="00C96555"/>
    <w:rsid w:val="00C97083"/>
    <w:rsid w:val="00C97189"/>
    <w:rsid w:val="00CA1CCB"/>
    <w:rsid w:val="00CA3C45"/>
    <w:rsid w:val="00CA41CC"/>
    <w:rsid w:val="00CA4A64"/>
    <w:rsid w:val="00CA4B8D"/>
    <w:rsid w:val="00CA4BBA"/>
    <w:rsid w:val="00CA5AB1"/>
    <w:rsid w:val="00CA5B50"/>
    <w:rsid w:val="00CA627F"/>
    <w:rsid w:val="00CA6365"/>
    <w:rsid w:val="00CA6B81"/>
    <w:rsid w:val="00CA764E"/>
    <w:rsid w:val="00CA7AC2"/>
    <w:rsid w:val="00CB0696"/>
    <w:rsid w:val="00CB189F"/>
    <w:rsid w:val="00CB1CC1"/>
    <w:rsid w:val="00CB27C4"/>
    <w:rsid w:val="00CB310B"/>
    <w:rsid w:val="00CB3317"/>
    <w:rsid w:val="00CB379C"/>
    <w:rsid w:val="00CB3DD7"/>
    <w:rsid w:val="00CB3FFE"/>
    <w:rsid w:val="00CB494F"/>
    <w:rsid w:val="00CB554E"/>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67F"/>
    <w:rsid w:val="00CD0DB2"/>
    <w:rsid w:val="00CD10C2"/>
    <w:rsid w:val="00CD11E2"/>
    <w:rsid w:val="00CD1219"/>
    <w:rsid w:val="00CD1393"/>
    <w:rsid w:val="00CD70F2"/>
    <w:rsid w:val="00CD777A"/>
    <w:rsid w:val="00CD79A1"/>
    <w:rsid w:val="00CE0DCC"/>
    <w:rsid w:val="00CE1A34"/>
    <w:rsid w:val="00CE2965"/>
    <w:rsid w:val="00CE3C3B"/>
    <w:rsid w:val="00CE4CBA"/>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2147"/>
    <w:rsid w:val="00D035C5"/>
    <w:rsid w:val="00D03DDC"/>
    <w:rsid w:val="00D04011"/>
    <w:rsid w:val="00D04756"/>
    <w:rsid w:val="00D04CE6"/>
    <w:rsid w:val="00D05D47"/>
    <w:rsid w:val="00D061BA"/>
    <w:rsid w:val="00D06AE1"/>
    <w:rsid w:val="00D10A59"/>
    <w:rsid w:val="00D122C4"/>
    <w:rsid w:val="00D1483F"/>
    <w:rsid w:val="00D1487E"/>
    <w:rsid w:val="00D14A56"/>
    <w:rsid w:val="00D14CF1"/>
    <w:rsid w:val="00D14D98"/>
    <w:rsid w:val="00D15646"/>
    <w:rsid w:val="00D1635B"/>
    <w:rsid w:val="00D165A9"/>
    <w:rsid w:val="00D1675A"/>
    <w:rsid w:val="00D16D31"/>
    <w:rsid w:val="00D17389"/>
    <w:rsid w:val="00D20968"/>
    <w:rsid w:val="00D2140E"/>
    <w:rsid w:val="00D250BC"/>
    <w:rsid w:val="00D25315"/>
    <w:rsid w:val="00D255F7"/>
    <w:rsid w:val="00D266CC"/>
    <w:rsid w:val="00D26829"/>
    <w:rsid w:val="00D269F1"/>
    <w:rsid w:val="00D26D90"/>
    <w:rsid w:val="00D273B9"/>
    <w:rsid w:val="00D27745"/>
    <w:rsid w:val="00D30B3B"/>
    <w:rsid w:val="00D31BB3"/>
    <w:rsid w:val="00D31C7E"/>
    <w:rsid w:val="00D329FA"/>
    <w:rsid w:val="00D33744"/>
    <w:rsid w:val="00D3400D"/>
    <w:rsid w:val="00D34ADC"/>
    <w:rsid w:val="00D357C1"/>
    <w:rsid w:val="00D36206"/>
    <w:rsid w:val="00D366B8"/>
    <w:rsid w:val="00D36D3D"/>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36F5"/>
    <w:rsid w:val="00D55234"/>
    <w:rsid w:val="00D554B4"/>
    <w:rsid w:val="00D5740C"/>
    <w:rsid w:val="00D57A98"/>
    <w:rsid w:val="00D60610"/>
    <w:rsid w:val="00D60778"/>
    <w:rsid w:val="00D60CCC"/>
    <w:rsid w:val="00D612C8"/>
    <w:rsid w:val="00D61342"/>
    <w:rsid w:val="00D61427"/>
    <w:rsid w:val="00D617AF"/>
    <w:rsid w:val="00D623B0"/>
    <w:rsid w:val="00D63DDB"/>
    <w:rsid w:val="00D63FF7"/>
    <w:rsid w:val="00D645C2"/>
    <w:rsid w:val="00D668A9"/>
    <w:rsid w:val="00D6691D"/>
    <w:rsid w:val="00D6765B"/>
    <w:rsid w:val="00D678EB"/>
    <w:rsid w:val="00D71021"/>
    <w:rsid w:val="00D7181F"/>
    <w:rsid w:val="00D71A8B"/>
    <w:rsid w:val="00D72982"/>
    <w:rsid w:val="00D73977"/>
    <w:rsid w:val="00D741CB"/>
    <w:rsid w:val="00D7441E"/>
    <w:rsid w:val="00D74CD3"/>
    <w:rsid w:val="00D75471"/>
    <w:rsid w:val="00D75C25"/>
    <w:rsid w:val="00D7630C"/>
    <w:rsid w:val="00D7662F"/>
    <w:rsid w:val="00D76C23"/>
    <w:rsid w:val="00D7734A"/>
    <w:rsid w:val="00D77B56"/>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87883"/>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35C2"/>
    <w:rsid w:val="00DA4267"/>
    <w:rsid w:val="00DA4308"/>
    <w:rsid w:val="00DA4F9A"/>
    <w:rsid w:val="00DA5A31"/>
    <w:rsid w:val="00DA7002"/>
    <w:rsid w:val="00DB1AE5"/>
    <w:rsid w:val="00DB28EE"/>
    <w:rsid w:val="00DB4445"/>
    <w:rsid w:val="00DB5BD3"/>
    <w:rsid w:val="00DB7849"/>
    <w:rsid w:val="00DB79BF"/>
    <w:rsid w:val="00DB79DB"/>
    <w:rsid w:val="00DC0D46"/>
    <w:rsid w:val="00DC12B5"/>
    <w:rsid w:val="00DC2572"/>
    <w:rsid w:val="00DC3521"/>
    <w:rsid w:val="00DC3C52"/>
    <w:rsid w:val="00DC445D"/>
    <w:rsid w:val="00DC493B"/>
    <w:rsid w:val="00DC4AD6"/>
    <w:rsid w:val="00DC570C"/>
    <w:rsid w:val="00DC5B99"/>
    <w:rsid w:val="00DC62C5"/>
    <w:rsid w:val="00DC73EB"/>
    <w:rsid w:val="00DC76BA"/>
    <w:rsid w:val="00DC7760"/>
    <w:rsid w:val="00DC7AA9"/>
    <w:rsid w:val="00DD02CB"/>
    <w:rsid w:val="00DD04DA"/>
    <w:rsid w:val="00DD0BC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1461"/>
    <w:rsid w:val="00DE267C"/>
    <w:rsid w:val="00DE36F5"/>
    <w:rsid w:val="00DE4291"/>
    <w:rsid w:val="00DE44DE"/>
    <w:rsid w:val="00DE491B"/>
    <w:rsid w:val="00DE4CC5"/>
    <w:rsid w:val="00DE515B"/>
    <w:rsid w:val="00DE537F"/>
    <w:rsid w:val="00DE5C3F"/>
    <w:rsid w:val="00DE633D"/>
    <w:rsid w:val="00DE6783"/>
    <w:rsid w:val="00DE7AF2"/>
    <w:rsid w:val="00DF0395"/>
    <w:rsid w:val="00DF0770"/>
    <w:rsid w:val="00DF0C2E"/>
    <w:rsid w:val="00DF155C"/>
    <w:rsid w:val="00DF2126"/>
    <w:rsid w:val="00DF232F"/>
    <w:rsid w:val="00DF2A03"/>
    <w:rsid w:val="00DF2A1F"/>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0D3"/>
    <w:rsid w:val="00E242DF"/>
    <w:rsid w:val="00E24E9A"/>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08F3"/>
    <w:rsid w:val="00E42495"/>
    <w:rsid w:val="00E4249A"/>
    <w:rsid w:val="00E425F4"/>
    <w:rsid w:val="00E42ECE"/>
    <w:rsid w:val="00E44959"/>
    <w:rsid w:val="00E44B43"/>
    <w:rsid w:val="00E44B95"/>
    <w:rsid w:val="00E45F9E"/>
    <w:rsid w:val="00E460F6"/>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184"/>
    <w:rsid w:val="00E76820"/>
    <w:rsid w:val="00E76ABD"/>
    <w:rsid w:val="00E76F1A"/>
    <w:rsid w:val="00E80DEC"/>
    <w:rsid w:val="00E818C0"/>
    <w:rsid w:val="00E82448"/>
    <w:rsid w:val="00E83BD3"/>
    <w:rsid w:val="00E83C14"/>
    <w:rsid w:val="00E8434D"/>
    <w:rsid w:val="00E84C9B"/>
    <w:rsid w:val="00E856B7"/>
    <w:rsid w:val="00E85EF0"/>
    <w:rsid w:val="00E911EA"/>
    <w:rsid w:val="00E91F79"/>
    <w:rsid w:val="00E9263F"/>
    <w:rsid w:val="00E9297D"/>
    <w:rsid w:val="00E92BC5"/>
    <w:rsid w:val="00E92CD8"/>
    <w:rsid w:val="00E9315E"/>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691"/>
    <w:rsid w:val="00EA2CEF"/>
    <w:rsid w:val="00EA2D27"/>
    <w:rsid w:val="00EA4307"/>
    <w:rsid w:val="00EA43A9"/>
    <w:rsid w:val="00EA5038"/>
    <w:rsid w:val="00EA5B50"/>
    <w:rsid w:val="00EA6ACA"/>
    <w:rsid w:val="00EB0BB3"/>
    <w:rsid w:val="00EB354F"/>
    <w:rsid w:val="00EB3A71"/>
    <w:rsid w:val="00EB53E3"/>
    <w:rsid w:val="00EB56A5"/>
    <w:rsid w:val="00EB583E"/>
    <w:rsid w:val="00EB5A37"/>
    <w:rsid w:val="00EB5B96"/>
    <w:rsid w:val="00EB61B4"/>
    <w:rsid w:val="00EB69EB"/>
    <w:rsid w:val="00EB6D11"/>
    <w:rsid w:val="00EB6DD7"/>
    <w:rsid w:val="00EB718F"/>
    <w:rsid w:val="00EB7534"/>
    <w:rsid w:val="00EC06B7"/>
    <w:rsid w:val="00EC0BB8"/>
    <w:rsid w:val="00EC1072"/>
    <w:rsid w:val="00EC139E"/>
    <w:rsid w:val="00EC2F92"/>
    <w:rsid w:val="00EC35A2"/>
    <w:rsid w:val="00EC3E07"/>
    <w:rsid w:val="00EC3F43"/>
    <w:rsid w:val="00EC4F5D"/>
    <w:rsid w:val="00EC5D7B"/>
    <w:rsid w:val="00EC6162"/>
    <w:rsid w:val="00EC61EB"/>
    <w:rsid w:val="00EC71C7"/>
    <w:rsid w:val="00EC7C2C"/>
    <w:rsid w:val="00EC7F4F"/>
    <w:rsid w:val="00ED0162"/>
    <w:rsid w:val="00ED0585"/>
    <w:rsid w:val="00ED0CAB"/>
    <w:rsid w:val="00ED0E00"/>
    <w:rsid w:val="00ED1096"/>
    <w:rsid w:val="00ED2E4F"/>
    <w:rsid w:val="00ED44A6"/>
    <w:rsid w:val="00ED4E77"/>
    <w:rsid w:val="00ED5715"/>
    <w:rsid w:val="00ED5EB9"/>
    <w:rsid w:val="00ED610A"/>
    <w:rsid w:val="00ED6990"/>
    <w:rsid w:val="00ED75FB"/>
    <w:rsid w:val="00EE172A"/>
    <w:rsid w:val="00EE1FB1"/>
    <w:rsid w:val="00EE263F"/>
    <w:rsid w:val="00EE281E"/>
    <w:rsid w:val="00EE29BF"/>
    <w:rsid w:val="00EE2F86"/>
    <w:rsid w:val="00EE3637"/>
    <w:rsid w:val="00EE4103"/>
    <w:rsid w:val="00EE48C1"/>
    <w:rsid w:val="00EE4970"/>
    <w:rsid w:val="00EE4DA6"/>
    <w:rsid w:val="00EE50CB"/>
    <w:rsid w:val="00EE5677"/>
    <w:rsid w:val="00EE56C2"/>
    <w:rsid w:val="00EE56EA"/>
    <w:rsid w:val="00EE59B0"/>
    <w:rsid w:val="00EE60C9"/>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C97"/>
    <w:rsid w:val="00EF5D18"/>
    <w:rsid w:val="00EF6AC8"/>
    <w:rsid w:val="00EF7BDB"/>
    <w:rsid w:val="00F004A9"/>
    <w:rsid w:val="00F00785"/>
    <w:rsid w:val="00F00990"/>
    <w:rsid w:val="00F016B5"/>
    <w:rsid w:val="00F01758"/>
    <w:rsid w:val="00F01F8F"/>
    <w:rsid w:val="00F043CC"/>
    <w:rsid w:val="00F045EE"/>
    <w:rsid w:val="00F0503F"/>
    <w:rsid w:val="00F053F8"/>
    <w:rsid w:val="00F065F0"/>
    <w:rsid w:val="00F06771"/>
    <w:rsid w:val="00F0689F"/>
    <w:rsid w:val="00F07286"/>
    <w:rsid w:val="00F1051E"/>
    <w:rsid w:val="00F11EDB"/>
    <w:rsid w:val="00F12FAE"/>
    <w:rsid w:val="00F14591"/>
    <w:rsid w:val="00F15BC0"/>
    <w:rsid w:val="00F1726C"/>
    <w:rsid w:val="00F176B4"/>
    <w:rsid w:val="00F1776F"/>
    <w:rsid w:val="00F17837"/>
    <w:rsid w:val="00F21135"/>
    <w:rsid w:val="00F21733"/>
    <w:rsid w:val="00F21A13"/>
    <w:rsid w:val="00F2235F"/>
    <w:rsid w:val="00F2241D"/>
    <w:rsid w:val="00F2349C"/>
    <w:rsid w:val="00F23E4E"/>
    <w:rsid w:val="00F241F3"/>
    <w:rsid w:val="00F24843"/>
    <w:rsid w:val="00F24D8E"/>
    <w:rsid w:val="00F24EA8"/>
    <w:rsid w:val="00F25075"/>
    <w:rsid w:val="00F2577B"/>
    <w:rsid w:val="00F262D2"/>
    <w:rsid w:val="00F266BB"/>
    <w:rsid w:val="00F26BFF"/>
    <w:rsid w:val="00F2706A"/>
    <w:rsid w:val="00F30136"/>
    <w:rsid w:val="00F30C62"/>
    <w:rsid w:val="00F30DD2"/>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136"/>
    <w:rsid w:val="00F45BAA"/>
    <w:rsid w:val="00F45CCC"/>
    <w:rsid w:val="00F45FFD"/>
    <w:rsid w:val="00F46E23"/>
    <w:rsid w:val="00F46E94"/>
    <w:rsid w:val="00F471FA"/>
    <w:rsid w:val="00F473F3"/>
    <w:rsid w:val="00F50216"/>
    <w:rsid w:val="00F511F5"/>
    <w:rsid w:val="00F5193F"/>
    <w:rsid w:val="00F51944"/>
    <w:rsid w:val="00F532FD"/>
    <w:rsid w:val="00F5338C"/>
    <w:rsid w:val="00F53585"/>
    <w:rsid w:val="00F5408F"/>
    <w:rsid w:val="00F55F5C"/>
    <w:rsid w:val="00F56DC1"/>
    <w:rsid w:val="00F572EB"/>
    <w:rsid w:val="00F57734"/>
    <w:rsid w:val="00F57885"/>
    <w:rsid w:val="00F60274"/>
    <w:rsid w:val="00F602BF"/>
    <w:rsid w:val="00F605EB"/>
    <w:rsid w:val="00F61602"/>
    <w:rsid w:val="00F617C4"/>
    <w:rsid w:val="00F61D2A"/>
    <w:rsid w:val="00F62DAB"/>
    <w:rsid w:val="00F63B32"/>
    <w:rsid w:val="00F63BF0"/>
    <w:rsid w:val="00F6561B"/>
    <w:rsid w:val="00F65DF8"/>
    <w:rsid w:val="00F67641"/>
    <w:rsid w:val="00F71145"/>
    <w:rsid w:val="00F717BD"/>
    <w:rsid w:val="00F722A8"/>
    <w:rsid w:val="00F72DB1"/>
    <w:rsid w:val="00F73627"/>
    <w:rsid w:val="00F740CF"/>
    <w:rsid w:val="00F74479"/>
    <w:rsid w:val="00F74625"/>
    <w:rsid w:val="00F74B91"/>
    <w:rsid w:val="00F74BDC"/>
    <w:rsid w:val="00F7706D"/>
    <w:rsid w:val="00F8010F"/>
    <w:rsid w:val="00F8082F"/>
    <w:rsid w:val="00F81959"/>
    <w:rsid w:val="00F82018"/>
    <w:rsid w:val="00F8236C"/>
    <w:rsid w:val="00F82938"/>
    <w:rsid w:val="00F82CFF"/>
    <w:rsid w:val="00F83C46"/>
    <w:rsid w:val="00F84493"/>
    <w:rsid w:val="00F8498C"/>
    <w:rsid w:val="00F84BB1"/>
    <w:rsid w:val="00F8661E"/>
    <w:rsid w:val="00F91D45"/>
    <w:rsid w:val="00F91EA7"/>
    <w:rsid w:val="00F923B5"/>
    <w:rsid w:val="00F94973"/>
    <w:rsid w:val="00F95F3F"/>
    <w:rsid w:val="00F97547"/>
    <w:rsid w:val="00FA0259"/>
    <w:rsid w:val="00FA0CA1"/>
    <w:rsid w:val="00FA3B48"/>
    <w:rsid w:val="00FA3BEA"/>
    <w:rsid w:val="00FA52A5"/>
    <w:rsid w:val="00FA5D1B"/>
    <w:rsid w:val="00FA6778"/>
    <w:rsid w:val="00FA6F32"/>
    <w:rsid w:val="00FB08AE"/>
    <w:rsid w:val="00FB0C27"/>
    <w:rsid w:val="00FB0F23"/>
    <w:rsid w:val="00FB1090"/>
    <w:rsid w:val="00FB1442"/>
    <w:rsid w:val="00FB1B12"/>
    <w:rsid w:val="00FB1F94"/>
    <w:rsid w:val="00FB2813"/>
    <w:rsid w:val="00FB2DAE"/>
    <w:rsid w:val="00FB40C0"/>
    <w:rsid w:val="00FB4849"/>
    <w:rsid w:val="00FB4B61"/>
    <w:rsid w:val="00FB4D72"/>
    <w:rsid w:val="00FB59F5"/>
    <w:rsid w:val="00FB612A"/>
    <w:rsid w:val="00FB6F20"/>
    <w:rsid w:val="00FB731E"/>
    <w:rsid w:val="00FB744F"/>
    <w:rsid w:val="00FB7905"/>
    <w:rsid w:val="00FB7D91"/>
    <w:rsid w:val="00FB7DC5"/>
    <w:rsid w:val="00FC077E"/>
    <w:rsid w:val="00FC0A04"/>
    <w:rsid w:val="00FC1B7D"/>
    <w:rsid w:val="00FC2816"/>
    <w:rsid w:val="00FC29F0"/>
    <w:rsid w:val="00FC2B04"/>
    <w:rsid w:val="00FC33C5"/>
    <w:rsid w:val="00FC383C"/>
    <w:rsid w:val="00FC3BEB"/>
    <w:rsid w:val="00FC473A"/>
    <w:rsid w:val="00FC5660"/>
    <w:rsid w:val="00FC59EA"/>
    <w:rsid w:val="00FC5CCF"/>
    <w:rsid w:val="00FC5DBC"/>
    <w:rsid w:val="00FC690A"/>
    <w:rsid w:val="00FC696A"/>
    <w:rsid w:val="00FC6EEE"/>
    <w:rsid w:val="00FC6FB0"/>
    <w:rsid w:val="00FC7545"/>
    <w:rsid w:val="00FC7B23"/>
    <w:rsid w:val="00FD0D99"/>
    <w:rsid w:val="00FD17CD"/>
    <w:rsid w:val="00FD3946"/>
    <w:rsid w:val="00FD7B69"/>
    <w:rsid w:val="00FE2179"/>
    <w:rsid w:val="00FE2804"/>
    <w:rsid w:val="00FE2984"/>
    <w:rsid w:val="00FE3B74"/>
    <w:rsid w:val="00FE3D96"/>
    <w:rsid w:val="00FE3EAC"/>
    <w:rsid w:val="00FE418D"/>
    <w:rsid w:val="00FE58C1"/>
    <w:rsid w:val="00FE5979"/>
    <w:rsid w:val="00FE7BEF"/>
    <w:rsid w:val="00FE7E2D"/>
    <w:rsid w:val="00FE7ED5"/>
    <w:rsid w:val="00FF0198"/>
    <w:rsid w:val="00FF04EE"/>
    <w:rsid w:val="00FF0520"/>
    <w:rsid w:val="00FF10BB"/>
    <w:rsid w:val="00FF12AD"/>
    <w:rsid w:val="00FF16FC"/>
    <w:rsid w:val="00FF17DE"/>
    <w:rsid w:val="00FF27C0"/>
    <w:rsid w:val="00FF29CE"/>
    <w:rsid w:val="00FF2AE8"/>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AF7"/>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74093118">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5680708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18940">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04296606">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2784</Words>
  <Characters>18984</Characters>
  <Application>Microsoft Office Word</Application>
  <DocSecurity>0</DocSecurity>
  <Lines>1356</Lines>
  <Paragraphs>306</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2025-04-24T09:28:00Z</cp:lastPrinted>
  <dcterms:created xsi:type="dcterms:W3CDTF">2025-04-29T10:31:00Z</dcterms:created>
  <dcterms:modified xsi:type="dcterms:W3CDTF">2025-04-29T10:31:00Z</dcterms:modified>
</cp:coreProperties>
</file>