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43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3 december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12 och onsdagen den 13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Teresa Carvalho (S) fr.o.m. den 1 december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Erica Nådins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Emilia Töyrä (S) fr.o.m. den 1 december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Hannah Bergstedts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2019/20:158 av Louise Meijer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tillåtlighetsprövning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framst. 2019/20:RS5 Riksrevisionens ledningsstruktur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2019/20:3436 av Mia Sydow Mölleby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2019/20:KU1 Utgiftsområde 1 Rikets styrelse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2019/20:FiU19 Kompletterande bestämmelser till EU:s förordning om värdepapperisering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 Utgiftsområde 3 Skatt, tull och exekution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2019/20:SkU11 Anstånd med kupongskatt i vissa fall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2019/20:SkU12 Skatt på avfallsförbränning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2019/20:SkU15 Sänkt skatt på drivmedel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2019/20:UFöU1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2019/20:UFöU3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 Utgiftsområde 5 Internationell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 Utgiftsområde 18 Samhällsplanering, bostadsförsörjning och byggande samt konsumentpolitik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2019/20:88 av Michael Anefur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huvudman för personer med samsjuklighet, beroendesjukdom och psykisk ohälsa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2019/20:125 av Ulla Andersson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Habiliteringsersättning i alla 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2019/20:159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Mikrobryggeriers och folkölsbutikers förutsättningar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2019/20:111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Utvecklingstid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2019/20:112 av Elisabeth Björnsdotter Rahm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 och psykisk ohälsa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3 december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2019-12-03</SAFIR_Sammantradesdatum_Doc>
    <SAFIR_SammantradeID xmlns="C07A1A6C-0B19-41D9-BDF8-F523BA3921EB">ab5d721b-65ba-4a6d-af07-e640d0c5f96f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512A63-0AB3-4D7E-9250-796EEE1B6D9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