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34" w:type="dxa"/>
        <w:tblLayout w:type="fixed"/>
        <w:tblCellMar>
          <w:left w:w="70" w:type="dxa"/>
          <w:right w:w="70" w:type="dxa"/>
        </w:tblCellMar>
        <w:tblLook w:val="0000" w:firstRow="0" w:lastRow="0" w:firstColumn="0" w:lastColumn="0" w:noHBand="0" w:noVBand="0"/>
      </w:tblPr>
      <w:tblGrid>
        <w:gridCol w:w="1134"/>
        <w:gridCol w:w="3473"/>
        <w:gridCol w:w="1204"/>
        <w:gridCol w:w="2822"/>
        <w:gridCol w:w="13"/>
      </w:tblGrid>
      <w:tr w:rsidR="00C469D0" w:rsidRPr="00E70B57">
        <w:tblPrEx>
          <w:tblCellMar>
            <w:top w:w="0" w:type="dxa"/>
            <w:bottom w:w="0" w:type="dxa"/>
          </w:tblCellMar>
        </w:tblPrEx>
        <w:trPr>
          <w:gridAfter w:val="1"/>
          <w:wAfter w:w="13" w:type="dxa"/>
          <w:cantSplit/>
          <w:trHeight w:hRule="exact" w:val="1134"/>
        </w:trPr>
        <w:tc>
          <w:tcPr>
            <w:tcW w:w="1134" w:type="dxa"/>
          </w:tcPr>
          <w:p w:rsidR="00C469D0" w:rsidRPr="00E70B57" w:rsidRDefault="00C469D0">
            <w:pPr>
              <w:rPr>
                <w:rFonts w:ascii="GillSans" w:hAnsi="GillSans"/>
                <w:b/>
              </w:rPr>
            </w:pPr>
            <w:bookmarkStart w:id="0" w:name="Diarienummer" w:colFirst="2" w:colLast="2"/>
            <w:bookmarkStart w:id="1" w:name="Datum" w:colFirst="1" w:colLast="1"/>
            <w:r w:rsidRPr="00E70B57">
              <w:rPr>
                <w:rFonts w:ascii="GillSans" w:hAnsi="GillSans"/>
                <w:b/>
              </w:rPr>
              <w:t>PM</w:t>
            </w:r>
          </w:p>
        </w:tc>
        <w:tc>
          <w:tcPr>
            <w:tcW w:w="3473" w:type="dxa"/>
          </w:tcPr>
          <w:p w:rsidR="00C469D0" w:rsidRPr="00E70B57" w:rsidRDefault="00012E23">
            <w:r w:rsidRPr="00E70B57">
              <w:t>2012-02-14</w:t>
            </w:r>
          </w:p>
        </w:tc>
        <w:tc>
          <w:tcPr>
            <w:tcW w:w="4026" w:type="dxa"/>
            <w:gridSpan w:val="2"/>
          </w:tcPr>
          <w:p w:rsidR="00200AF1" w:rsidRPr="00E70B57" w:rsidRDefault="00200AF1" w:rsidP="00200AF1">
            <w:pPr>
              <w:ind w:left="142"/>
              <w:rPr>
                <w:b/>
              </w:rPr>
            </w:pPr>
            <w:r w:rsidRPr="00E70B57">
              <w:rPr>
                <w:b/>
              </w:rPr>
              <w:t>Bilaga 2</w:t>
            </w:r>
          </w:p>
          <w:p w:rsidR="00200AF1" w:rsidRPr="00E70B57" w:rsidRDefault="00200AF1" w:rsidP="00200AF1">
            <w:pPr>
              <w:ind w:left="142"/>
              <w:rPr>
                <w:b/>
              </w:rPr>
            </w:pPr>
            <w:r w:rsidRPr="00E70B57">
              <w:rPr>
                <w:b/>
              </w:rPr>
              <w:t>till protokoll 2011/12:18</w:t>
            </w:r>
          </w:p>
          <w:p w:rsidR="00200AF1" w:rsidRPr="00E70B57" w:rsidRDefault="00200AF1" w:rsidP="00200AF1">
            <w:pPr>
              <w:ind w:left="142"/>
              <w:rPr>
                <w:b/>
              </w:rPr>
            </w:pPr>
          </w:p>
          <w:p w:rsidR="00200AF1" w:rsidRPr="00E70B57" w:rsidRDefault="007D28C5" w:rsidP="00200AF1">
            <w:pPr>
              <w:ind w:left="142"/>
              <w:rPr>
                <w:b/>
              </w:rPr>
            </w:pPr>
            <w:r w:rsidRPr="00E70B57">
              <w:rPr>
                <w:b/>
              </w:rPr>
              <w:t>Dnr 090-1369</w:t>
            </w:r>
            <w:r w:rsidR="00200AF1" w:rsidRPr="00E70B57">
              <w:rPr>
                <w:b/>
              </w:rPr>
              <w:t>-2011/12</w:t>
            </w:r>
          </w:p>
          <w:p w:rsidR="00C469D0" w:rsidRPr="00E70B57" w:rsidRDefault="00C469D0">
            <w:pPr>
              <w:jc w:val="right"/>
            </w:pPr>
          </w:p>
        </w:tc>
      </w:tr>
      <w:tr w:rsidR="00C469D0" w:rsidRPr="00E70B57">
        <w:tblPrEx>
          <w:tblCellMar>
            <w:top w:w="0" w:type="dxa"/>
            <w:bottom w:w="0" w:type="dxa"/>
          </w:tblCellMar>
        </w:tblPrEx>
        <w:trPr>
          <w:gridBefore w:val="1"/>
          <w:wBefore w:w="1134" w:type="dxa"/>
          <w:cantSplit/>
        </w:trPr>
        <w:tc>
          <w:tcPr>
            <w:tcW w:w="7512" w:type="dxa"/>
            <w:gridSpan w:val="4"/>
          </w:tcPr>
          <w:p w:rsidR="00C469D0" w:rsidRPr="00E70B57" w:rsidRDefault="00C469D0">
            <w:pPr>
              <w:rPr>
                <w:rFonts w:ascii="GillSans" w:hAnsi="GillSans"/>
                <w:b/>
                <w:sz w:val="27"/>
              </w:rPr>
            </w:pPr>
            <w:bookmarkStart w:id="2" w:name="Rubrik" w:colFirst="0" w:colLast="0"/>
            <w:bookmarkEnd w:id="0"/>
            <w:bookmarkEnd w:id="1"/>
          </w:p>
        </w:tc>
      </w:tr>
      <w:bookmarkEnd w:id="2"/>
      <w:tr w:rsidR="00C469D0" w:rsidRPr="00E70B57">
        <w:tblPrEx>
          <w:tblCellMar>
            <w:top w:w="0" w:type="dxa"/>
            <w:bottom w:w="0" w:type="dxa"/>
          </w:tblCellMar>
        </w:tblPrEx>
        <w:trPr>
          <w:gridBefore w:val="1"/>
          <w:wBefore w:w="1134" w:type="dxa"/>
        </w:trPr>
        <w:tc>
          <w:tcPr>
            <w:tcW w:w="4677" w:type="dxa"/>
            <w:gridSpan w:val="2"/>
          </w:tcPr>
          <w:p w:rsidR="00C469D0" w:rsidRPr="00E70B57" w:rsidRDefault="00C469D0"/>
        </w:tc>
        <w:tc>
          <w:tcPr>
            <w:tcW w:w="2835" w:type="dxa"/>
            <w:gridSpan w:val="2"/>
          </w:tcPr>
          <w:p w:rsidR="00C469D0" w:rsidRPr="00E70B57" w:rsidRDefault="00C469D0"/>
        </w:tc>
      </w:tr>
    </w:tbl>
    <w:p w:rsidR="00C469D0" w:rsidRPr="00E70B57" w:rsidRDefault="00C469D0">
      <w:bookmarkStart w:id="3" w:name="Start"/>
      <w:bookmarkEnd w:id="3"/>
    </w:p>
    <w:p w:rsidR="00153F30" w:rsidRPr="00E70B57" w:rsidRDefault="001E3680" w:rsidP="001E3680">
      <w:pPr>
        <w:pStyle w:val="Rubrik1"/>
      </w:pPr>
      <w:r w:rsidRPr="00E70B57">
        <w:t>Fråga om initiativ till en uppföljning av barnförsäkringar</w:t>
      </w:r>
    </w:p>
    <w:p w:rsidR="001E3680" w:rsidRPr="00E70B57" w:rsidRDefault="001E3680" w:rsidP="001E3680"/>
    <w:p w:rsidR="001E3680" w:rsidRPr="00E70B57" w:rsidRDefault="001E3680" w:rsidP="001E3680">
      <w:pPr>
        <w:pStyle w:val="Rubrik2"/>
      </w:pPr>
      <w:r w:rsidRPr="00E70B57">
        <w:t>Bakgrund</w:t>
      </w:r>
    </w:p>
    <w:p w:rsidR="0048749A" w:rsidRPr="00E70B57" w:rsidRDefault="0048749A" w:rsidP="0048749A">
      <w:r w:rsidRPr="00E70B57">
        <w:t>Flera försäkringsbolag erbjuder kombinerade sjuk- och olycksfallsförsäkringar för barn, s.k. barnförsäkringar. Sådana försäkringar är främst inriktade på att ge ersättning för kostnader vid långvariga och svåra skador samt ersättning vid bestående invaliditet. En privat sjuk- och olycksfallsfö</w:t>
      </w:r>
      <w:r w:rsidRPr="00E70B57">
        <w:t>r</w:t>
      </w:r>
      <w:r w:rsidRPr="00E70B57">
        <w:t>säkring för barn kan tecknas individuellt eller som en gruppförsäkring. Om föräldern omfattas av en gruppförsäkring genom t.ex. en facklig organisation eller arbetsgivare kan barnen medförsäkras. En ansökan om en individuell barnförsäkring ska även innehålla en hälsodeklaration.</w:t>
      </w:r>
    </w:p>
    <w:p w:rsidR="0048749A" w:rsidRPr="00E70B57" w:rsidRDefault="0048749A" w:rsidP="0048749A"/>
    <w:p w:rsidR="00B668F0" w:rsidRPr="00E70B57" w:rsidRDefault="00762C2E" w:rsidP="00762C2E">
      <w:r w:rsidRPr="00E70B57">
        <w:t>Enligt 11 kap. 1 § första stycket försäkringsavtalslagen (2005:104) får ett</w:t>
      </w:r>
      <w:r w:rsidR="00C90C00" w:rsidRPr="00E70B57">
        <w:t xml:space="preserve"> </w:t>
      </w:r>
      <w:r w:rsidRPr="00E70B57">
        <w:t>fö</w:t>
      </w:r>
      <w:r w:rsidRPr="00E70B57">
        <w:t>r</w:t>
      </w:r>
      <w:r w:rsidRPr="00E70B57">
        <w:t>säkringsbolag inte vägra någon att teckna en sådan personförsäkring</w:t>
      </w:r>
      <w:r w:rsidR="00C90C00" w:rsidRPr="00E70B57">
        <w:t xml:space="preserve"> </w:t>
      </w:r>
      <w:r w:rsidRPr="00E70B57">
        <w:t>som b</w:t>
      </w:r>
      <w:r w:rsidRPr="00E70B57">
        <w:t>o</w:t>
      </w:r>
      <w:r w:rsidRPr="00E70B57">
        <w:t>laget normalt tillhandahåller allmänheten när det har fått de uppgifter</w:t>
      </w:r>
      <w:r w:rsidR="00C90C00" w:rsidRPr="00E70B57">
        <w:t xml:space="preserve"> </w:t>
      </w:r>
      <w:r w:rsidRPr="00E70B57">
        <w:t>som behövs, om det inte finns särskilda skäl för vägran med hänsyn</w:t>
      </w:r>
      <w:r w:rsidR="00C90C00" w:rsidRPr="00E70B57">
        <w:t xml:space="preserve"> </w:t>
      </w:r>
      <w:r w:rsidRPr="00E70B57">
        <w:t>till risken för framtida försäkringsfall, den avsedda försäkringens art eller</w:t>
      </w:r>
      <w:r w:rsidR="00C90C00" w:rsidRPr="00E70B57">
        <w:t xml:space="preserve"> </w:t>
      </w:r>
      <w:r w:rsidRPr="00E70B57">
        <w:t>någon annan omständighet. Av bestämmelsen framgår att ett försäkringsbolag</w:t>
      </w:r>
      <w:r w:rsidR="00C90C00" w:rsidRPr="00E70B57">
        <w:t xml:space="preserve"> </w:t>
      </w:r>
      <w:r w:rsidRPr="00E70B57">
        <w:t>har en sky</w:t>
      </w:r>
      <w:r w:rsidRPr="00E70B57">
        <w:t>l</w:t>
      </w:r>
      <w:r w:rsidRPr="00E70B57">
        <w:t>dighet att meddela en personförsäkring (s.k. kontraheringsplikt).</w:t>
      </w:r>
      <w:r w:rsidR="00C90C00" w:rsidRPr="00E70B57">
        <w:t xml:space="preserve"> </w:t>
      </w:r>
      <w:r w:rsidRPr="00E70B57">
        <w:t>Har bolaget i strid med sin skyldighet helt eller delvis vägrat någon</w:t>
      </w:r>
      <w:r w:rsidR="00C90C00" w:rsidRPr="00E70B57">
        <w:t xml:space="preserve"> </w:t>
      </w:r>
      <w:r w:rsidRPr="00E70B57">
        <w:t xml:space="preserve">en försäkring </w:t>
      </w:r>
      <w:r w:rsidR="00FC3B71" w:rsidRPr="00E70B57">
        <w:t>kan</w:t>
      </w:r>
      <w:r w:rsidRPr="00E70B57">
        <w:t xml:space="preserve"> domstol förklara att denne har rätt till försäkringen (se</w:t>
      </w:r>
      <w:r w:rsidR="00C90C00" w:rsidRPr="00E70B57">
        <w:t xml:space="preserve"> </w:t>
      </w:r>
      <w:r w:rsidRPr="00E70B57">
        <w:t xml:space="preserve">16 kap. 7 och 9 §§). </w:t>
      </w:r>
    </w:p>
    <w:p w:rsidR="00B668F0" w:rsidRPr="00E70B57" w:rsidRDefault="00B668F0" w:rsidP="00762C2E"/>
    <w:p w:rsidR="00FD559E" w:rsidRPr="00E70B57" w:rsidRDefault="001D7145" w:rsidP="00762C2E">
      <w:r w:rsidRPr="00E70B57">
        <w:t>Som framgått ovan är k</w:t>
      </w:r>
      <w:r w:rsidR="00762C2E" w:rsidRPr="00E70B57">
        <w:t>ontraheringsplikten underkastad vissa</w:t>
      </w:r>
      <w:r w:rsidR="00C90C00" w:rsidRPr="00E70B57">
        <w:t xml:space="preserve"> </w:t>
      </w:r>
      <w:r w:rsidR="00762C2E" w:rsidRPr="00E70B57">
        <w:t>unda</w:t>
      </w:r>
      <w:r w:rsidR="00762C2E" w:rsidRPr="00E70B57">
        <w:t>n</w:t>
      </w:r>
      <w:r w:rsidR="00762C2E" w:rsidRPr="00E70B57">
        <w:t>tag. En inskränkning i rätten att teckna en försäkring som försäkringsb</w:t>
      </w:r>
      <w:r w:rsidR="00762C2E" w:rsidRPr="00E70B57">
        <w:t>o</w:t>
      </w:r>
      <w:r w:rsidR="00762C2E" w:rsidRPr="00E70B57">
        <w:t>laget</w:t>
      </w:r>
      <w:r w:rsidR="00C90C00" w:rsidRPr="00E70B57">
        <w:t xml:space="preserve"> </w:t>
      </w:r>
      <w:r w:rsidR="00762C2E" w:rsidRPr="00E70B57">
        <w:t>normalt tillhandahå</w:t>
      </w:r>
      <w:r w:rsidR="00762C2E" w:rsidRPr="00E70B57">
        <w:t>l</w:t>
      </w:r>
      <w:r w:rsidR="00762C2E" w:rsidRPr="00E70B57">
        <w:t>ler gäller om bolaget i det individuella fallet</w:t>
      </w:r>
      <w:r w:rsidR="00C90C00" w:rsidRPr="00E70B57">
        <w:t xml:space="preserve"> </w:t>
      </w:r>
      <w:r w:rsidR="00762C2E" w:rsidRPr="00E70B57">
        <w:t>har särskilda skäl att inte meddela en sådan försäkring med hänsyn till risken</w:t>
      </w:r>
      <w:r w:rsidR="00C90C00" w:rsidRPr="00E70B57">
        <w:t xml:space="preserve"> </w:t>
      </w:r>
      <w:r w:rsidR="00762C2E" w:rsidRPr="00E70B57">
        <w:t>för framtida försä</w:t>
      </w:r>
      <w:r w:rsidR="00762C2E" w:rsidRPr="00E70B57">
        <w:t>k</w:t>
      </w:r>
      <w:r w:rsidR="00762C2E" w:rsidRPr="00E70B57">
        <w:t>ring</w:t>
      </w:r>
      <w:r w:rsidR="00762C2E" w:rsidRPr="00E70B57">
        <w:t>s</w:t>
      </w:r>
      <w:r w:rsidR="00762C2E" w:rsidRPr="00E70B57">
        <w:t>fall, den avsedda försäkringens art eller någon</w:t>
      </w:r>
      <w:r w:rsidR="00C90C00" w:rsidRPr="00E70B57">
        <w:t xml:space="preserve"> </w:t>
      </w:r>
      <w:r w:rsidR="00762C2E" w:rsidRPr="00E70B57">
        <w:t>annan omständighet. Detta innebär att ett försäkringsbolag har rätt att</w:t>
      </w:r>
      <w:r w:rsidR="00C90C00" w:rsidRPr="00E70B57">
        <w:t xml:space="preserve"> </w:t>
      </w:r>
      <w:r w:rsidR="00762C2E" w:rsidRPr="00E70B57">
        <w:t>begära högre premie än normalt eller förse försäkringen med förbehåll</w:t>
      </w:r>
      <w:r w:rsidR="00C90C00" w:rsidRPr="00E70B57">
        <w:t xml:space="preserve"> </w:t>
      </w:r>
      <w:r w:rsidR="00762C2E" w:rsidRPr="00E70B57">
        <w:t>som inte görs för andra försä</w:t>
      </w:r>
      <w:r w:rsidR="00762C2E" w:rsidRPr="00E70B57">
        <w:t>k</w:t>
      </w:r>
      <w:r w:rsidR="00762C2E" w:rsidRPr="00E70B57">
        <w:t>ringar av samma typ eller i sista hand helt</w:t>
      </w:r>
      <w:r w:rsidR="00C90C00" w:rsidRPr="00E70B57">
        <w:t xml:space="preserve"> </w:t>
      </w:r>
      <w:r w:rsidR="00762C2E" w:rsidRPr="00E70B57">
        <w:t>vägra försäkring.</w:t>
      </w:r>
      <w:r w:rsidR="00FD559E" w:rsidRPr="00E70B57">
        <w:t xml:space="preserve"> </w:t>
      </w:r>
      <w:r w:rsidR="00762C2E" w:rsidRPr="00E70B57">
        <w:t>Det är försä</w:t>
      </w:r>
      <w:r w:rsidR="00762C2E" w:rsidRPr="00E70B57">
        <w:t>k</w:t>
      </w:r>
      <w:r w:rsidR="00762C2E" w:rsidRPr="00E70B57">
        <w:t>ringsbolaget som har att styrka att omständigheterna är</w:t>
      </w:r>
      <w:r w:rsidR="00C90C00" w:rsidRPr="00E70B57">
        <w:t xml:space="preserve"> </w:t>
      </w:r>
      <w:r w:rsidR="00762C2E" w:rsidRPr="00E70B57">
        <w:t>sådana att det finns tillräckliga skäl för att e</w:t>
      </w:r>
      <w:r w:rsidR="00762C2E" w:rsidRPr="00E70B57">
        <w:t>r</w:t>
      </w:r>
      <w:r w:rsidR="00762C2E" w:rsidRPr="00E70B57">
        <w:t>bjuda en försäkring på sämre</w:t>
      </w:r>
      <w:r w:rsidR="00C90C00" w:rsidRPr="00E70B57">
        <w:t xml:space="preserve"> </w:t>
      </w:r>
      <w:r w:rsidR="00762C2E" w:rsidRPr="00E70B57">
        <w:t>villkor eller vägra någon en försäkring (</w:t>
      </w:r>
      <w:r w:rsidR="00FC3B71" w:rsidRPr="00E70B57">
        <w:t xml:space="preserve">se </w:t>
      </w:r>
      <w:r w:rsidR="00762C2E" w:rsidRPr="00E70B57">
        <w:t xml:space="preserve">prop. 2003/04:150 s. </w:t>
      </w:r>
      <w:smartTag w:uri="urn:schemas-microsoft-com:office:smarttags" w:element="metricconverter">
        <w:smartTagPr>
          <w:attr w:name="ProductID" w:val="497 f"/>
        </w:smartTagPr>
        <w:r w:rsidR="00762C2E" w:rsidRPr="00E70B57">
          <w:t>497 f</w:t>
        </w:r>
      </w:smartTag>
      <w:r w:rsidR="00762C2E" w:rsidRPr="00E70B57">
        <w:t xml:space="preserve">.). </w:t>
      </w:r>
    </w:p>
    <w:p w:rsidR="00FD559E" w:rsidRPr="00E70B57" w:rsidRDefault="00FD559E" w:rsidP="00762C2E"/>
    <w:p w:rsidR="00FC3B71" w:rsidRPr="00E70B57" w:rsidRDefault="00762C2E" w:rsidP="00762C2E">
      <w:r w:rsidRPr="00E70B57">
        <w:t>I propositionen</w:t>
      </w:r>
      <w:r w:rsidR="00C90C00" w:rsidRPr="00E70B57">
        <w:t xml:space="preserve"> </w:t>
      </w:r>
      <w:r w:rsidRPr="00E70B57">
        <w:t>till försäkringsavtalslagen anförde regeringen att en lagstif</w:t>
      </w:r>
      <w:r w:rsidRPr="00E70B57">
        <w:t>t</w:t>
      </w:r>
      <w:r w:rsidRPr="00E70B57">
        <w:t>ning</w:t>
      </w:r>
      <w:r w:rsidR="00C90C00" w:rsidRPr="00E70B57">
        <w:t xml:space="preserve"> </w:t>
      </w:r>
      <w:r w:rsidRPr="00E70B57">
        <w:t xml:space="preserve">av detta slag allmänt bör följas upp så att den tillämpas på avsett sätt. </w:t>
      </w:r>
      <w:r w:rsidR="00FC3B71" w:rsidRPr="00E70B57">
        <w:t>Avsikten med en översyn har angetts vara att säkerställa att de sociala skydd</w:t>
      </w:r>
      <w:r w:rsidR="00FC3B71" w:rsidRPr="00E70B57">
        <w:t>s</w:t>
      </w:r>
      <w:r w:rsidR="00FC3B71" w:rsidRPr="00E70B57">
        <w:t xml:space="preserve">aspekterna kring skyldigheten att erbjuda personförsäkring verkligen </w:t>
      </w:r>
      <w:r w:rsidR="00FC3B71" w:rsidRPr="00E70B57">
        <w:lastRenderedPageBreak/>
        <w:t xml:space="preserve">fick genomslag och </w:t>
      </w:r>
      <w:r w:rsidR="00FD559E" w:rsidRPr="00E70B57">
        <w:t xml:space="preserve">att överväga frågan </w:t>
      </w:r>
      <w:r w:rsidR="00FC3B71" w:rsidRPr="00E70B57">
        <w:t>om det bör införas en skyldighet för bol</w:t>
      </w:r>
      <w:r w:rsidR="00FC3B71" w:rsidRPr="00E70B57">
        <w:t>a</w:t>
      </w:r>
      <w:r w:rsidR="00FC3B71" w:rsidRPr="00E70B57">
        <w:t>gen att ra</w:t>
      </w:r>
      <w:r w:rsidR="00FC3B71" w:rsidRPr="00E70B57">
        <w:t>p</w:t>
      </w:r>
      <w:r w:rsidR="00FC3B71" w:rsidRPr="00E70B57">
        <w:t>portera om sina avslagsbeslut</w:t>
      </w:r>
      <w:r w:rsidR="001D7145" w:rsidRPr="00E70B57">
        <w:t xml:space="preserve"> (</w:t>
      </w:r>
      <w:r w:rsidR="00E93637" w:rsidRPr="00E70B57">
        <w:t xml:space="preserve">se prop. 2003/04:150 </w:t>
      </w:r>
      <w:r w:rsidR="001D7145" w:rsidRPr="00E70B57">
        <w:t xml:space="preserve">s. </w:t>
      </w:r>
      <w:r w:rsidR="00E93637" w:rsidRPr="00E70B57">
        <w:t>250).</w:t>
      </w:r>
    </w:p>
    <w:p w:rsidR="00C90C00" w:rsidRPr="00E70B57" w:rsidRDefault="00C90C00" w:rsidP="00762C2E"/>
    <w:p w:rsidR="00762C2E" w:rsidRPr="00E70B57" w:rsidRDefault="00762C2E" w:rsidP="00762C2E">
      <w:r w:rsidRPr="00E70B57">
        <w:t>I proposition</w:t>
      </w:r>
      <w:r w:rsidR="00C90C00" w:rsidRPr="00E70B57">
        <w:t xml:space="preserve"> 2009/10:241 Ett förstärkt integritetsskydd i försäkringssamma</w:t>
      </w:r>
      <w:r w:rsidR="00C90C00" w:rsidRPr="00E70B57">
        <w:t>n</w:t>
      </w:r>
      <w:r w:rsidR="00C90C00" w:rsidRPr="00E70B57">
        <w:t xml:space="preserve">hang </w:t>
      </w:r>
      <w:r w:rsidRPr="00E70B57">
        <w:t>konstaterar regeringen att det i förarbetena till försäkringsavtalslagen</w:t>
      </w:r>
      <w:r w:rsidR="00C90C00" w:rsidRPr="00E70B57">
        <w:t xml:space="preserve"> </w:t>
      </w:r>
      <w:r w:rsidRPr="00E70B57">
        <w:t>utt</w:t>
      </w:r>
      <w:r w:rsidRPr="00E70B57">
        <w:t>a</w:t>
      </w:r>
      <w:r w:rsidRPr="00E70B57">
        <w:t>lats att kontraheringsplikten bör följas upp så att den</w:t>
      </w:r>
      <w:r w:rsidR="00C90C00" w:rsidRPr="00E70B57">
        <w:t xml:space="preserve"> </w:t>
      </w:r>
      <w:r w:rsidRPr="00E70B57">
        <w:t>tillämpas på avsett sätt. Enligt regeringens bedömning finns alltjämt skäl att genomföra en</w:t>
      </w:r>
      <w:r w:rsidR="00C90C00" w:rsidRPr="00E70B57">
        <w:t xml:space="preserve"> </w:t>
      </w:r>
      <w:r w:rsidRPr="00E70B57">
        <w:t>s</w:t>
      </w:r>
      <w:r w:rsidRPr="00E70B57">
        <w:t>å</w:t>
      </w:r>
      <w:r w:rsidRPr="00E70B57">
        <w:t>dan översyn, och det framstår som naturligt att i det sammanhanget unders</w:t>
      </w:r>
      <w:r w:rsidRPr="00E70B57">
        <w:t>ö</w:t>
      </w:r>
      <w:r w:rsidRPr="00E70B57">
        <w:t>ka</w:t>
      </w:r>
      <w:r w:rsidR="00C90C00" w:rsidRPr="00E70B57">
        <w:t xml:space="preserve"> </w:t>
      </w:r>
      <w:r w:rsidRPr="00E70B57">
        <w:t>vilka problem som försäkringsbolagens tolkning av inhämtad hälsoinform</w:t>
      </w:r>
      <w:r w:rsidRPr="00E70B57">
        <w:t>a</w:t>
      </w:r>
      <w:r w:rsidRPr="00E70B57">
        <w:t>tion</w:t>
      </w:r>
      <w:r w:rsidR="00C90C00" w:rsidRPr="00E70B57">
        <w:t xml:space="preserve"> </w:t>
      </w:r>
      <w:r w:rsidRPr="00E70B57">
        <w:t>kan ge upphov till. Enligt propositionen avser regeringen att på</w:t>
      </w:r>
      <w:r w:rsidR="00C90C00" w:rsidRPr="00E70B57">
        <w:t xml:space="preserve"> </w:t>
      </w:r>
      <w:r w:rsidRPr="00E70B57">
        <w:t>det sä</w:t>
      </w:r>
      <w:r w:rsidRPr="00E70B57">
        <w:t>t</w:t>
      </w:r>
      <w:r w:rsidRPr="00E70B57">
        <w:t>tet ta fortsatta initiat</w:t>
      </w:r>
      <w:r w:rsidR="00C90C00" w:rsidRPr="00E70B57">
        <w:t>iv på området (</w:t>
      </w:r>
      <w:r w:rsidRPr="00E70B57">
        <w:t>s. 24).</w:t>
      </w:r>
    </w:p>
    <w:p w:rsidR="00762C2E" w:rsidRPr="00E70B57" w:rsidRDefault="00762C2E" w:rsidP="00762C2E"/>
    <w:p w:rsidR="00BB154A" w:rsidRPr="00E70B57" w:rsidRDefault="00BB154A" w:rsidP="00762C2E">
      <w:r w:rsidRPr="00E70B57">
        <w:t>Enligt uppgift från Justitiedepartementet är ambitionen att ta initiativ till en uppföljning und</w:t>
      </w:r>
      <w:r w:rsidR="00FD559E" w:rsidRPr="00E70B57">
        <w:t xml:space="preserve">er innevarande mandatperiod. </w:t>
      </w:r>
    </w:p>
    <w:p w:rsidR="00C90C00" w:rsidRPr="00E70B57" w:rsidRDefault="00C90C00" w:rsidP="00762C2E"/>
    <w:p w:rsidR="00C2559F" w:rsidRPr="00E70B57" w:rsidRDefault="00BB154A" w:rsidP="00762C2E">
      <w:r w:rsidRPr="00E70B57">
        <w:t>I riksdagen har det under en lång följd av år väckts motioner med olika sy</w:t>
      </w:r>
      <w:r w:rsidRPr="00E70B57">
        <w:t>n</w:t>
      </w:r>
      <w:r w:rsidR="00FD559E" w:rsidRPr="00E70B57">
        <w:t>punkter på barnförsäkringar, särskilt vad gäller kontraheringsplikten.</w:t>
      </w:r>
      <w:r w:rsidRPr="00E70B57">
        <w:t xml:space="preserve"> Utsko</w:t>
      </w:r>
      <w:r w:rsidRPr="00E70B57">
        <w:t>t</w:t>
      </w:r>
      <w:r w:rsidRPr="00E70B57">
        <w:t>tet har senast våren 2011 b</w:t>
      </w:r>
      <w:r w:rsidRPr="00E70B57">
        <w:t>e</w:t>
      </w:r>
      <w:r w:rsidRPr="00E70B57">
        <w:t>handlat en sådan motion</w:t>
      </w:r>
      <w:r w:rsidR="0075661A" w:rsidRPr="00E70B57">
        <w:t>, se betänkande 2010/11:CU16</w:t>
      </w:r>
      <w:r w:rsidRPr="00E70B57">
        <w:t xml:space="preserve">. </w:t>
      </w:r>
    </w:p>
    <w:p w:rsidR="00C2559F" w:rsidRPr="00E70B57" w:rsidRDefault="00C2559F" w:rsidP="00762C2E"/>
    <w:p w:rsidR="0048749A" w:rsidRPr="00E70B57" w:rsidRDefault="00C2559F" w:rsidP="00762C2E">
      <w:r w:rsidRPr="00E70B57">
        <w:t>I utskottets up</w:t>
      </w:r>
      <w:r w:rsidR="00FC3B71" w:rsidRPr="00E70B57">
        <w:t xml:space="preserve">pföljningsgrupp har </w:t>
      </w:r>
      <w:r w:rsidRPr="00E70B57">
        <w:t>fråga väckts om</w:t>
      </w:r>
      <w:r w:rsidR="00FC3B71" w:rsidRPr="00E70B57">
        <w:t xml:space="preserve"> </w:t>
      </w:r>
      <w:r w:rsidR="0075661A" w:rsidRPr="00E70B57">
        <w:t xml:space="preserve">utskottet bör ta initiativ till en övergripande inventering av </w:t>
      </w:r>
      <w:r w:rsidRPr="00E70B57">
        <w:t xml:space="preserve">hur </w:t>
      </w:r>
      <w:r w:rsidR="0075661A" w:rsidRPr="00E70B57">
        <w:t>försäkringsbolagen hanter</w:t>
      </w:r>
      <w:r w:rsidRPr="00E70B57">
        <w:t>ar</w:t>
      </w:r>
      <w:r w:rsidR="0075661A" w:rsidRPr="00E70B57">
        <w:t xml:space="preserve"> ansö</w:t>
      </w:r>
      <w:r w:rsidR="0075661A" w:rsidRPr="00E70B57">
        <w:t>k</w:t>
      </w:r>
      <w:r w:rsidR="0075661A" w:rsidRPr="00E70B57">
        <w:t>ningar om barnförsäkringar</w:t>
      </w:r>
      <w:r w:rsidRPr="00E70B57">
        <w:t xml:space="preserve"> och bolagens praxis på området</w:t>
      </w:r>
      <w:r w:rsidR="0075661A" w:rsidRPr="00E70B57">
        <w:t xml:space="preserve">. </w:t>
      </w:r>
      <w:r w:rsidR="00FC3B71" w:rsidRPr="00E70B57">
        <w:t xml:space="preserve">Uppföljningsgruppen anser att utskottet </w:t>
      </w:r>
      <w:r w:rsidR="00FD559E" w:rsidRPr="00E70B57">
        <w:t>bör ta ett sådant initiativ genom ett uppdrag till utvärd</w:t>
      </w:r>
      <w:r w:rsidR="00FD559E" w:rsidRPr="00E70B57">
        <w:t>e</w:t>
      </w:r>
      <w:r w:rsidR="00FD559E" w:rsidRPr="00E70B57">
        <w:t>rings- och foskningsfunktionen vid Riksdagsförvaltningens utskottsavdelning.</w:t>
      </w:r>
    </w:p>
    <w:p w:rsidR="004165C1" w:rsidRPr="00E70B57" w:rsidRDefault="004165C1" w:rsidP="00762C2E"/>
    <w:p w:rsidR="0048749A" w:rsidRPr="00E70B57" w:rsidRDefault="0048749A" w:rsidP="0048749A">
      <w:pPr>
        <w:pStyle w:val="Rubrik2"/>
      </w:pPr>
      <w:r w:rsidRPr="00E70B57">
        <w:t>Uppdraget</w:t>
      </w:r>
    </w:p>
    <w:p w:rsidR="00BB154A" w:rsidRPr="00E70B57" w:rsidRDefault="00FD559E" w:rsidP="00BB154A">
      <w:r w:rsidRPr="00E70B57">
        <w:t>Utskottet ger u</w:t>
      </w:r>
      <w:r w:rsidR="0048749A" w:rsidRPr="00E70B57">
        <w:t>tvärderings- och fors</w:t>
      </w:r>
      <w:r w:rsidR="00BB154A" w:rsidRPr="00E70B57">
        <w:t xml:space="preserve">kningsfunktionen i uppdrag att </w:t>
      </w:r>
      <w:r w:rsidR="0075661A" w:rsidRPr="00E70B57">
        <w:t xml:space="preserve">göra en övergripande inventering av hur </w:t>
      </w:r>
      <w:r w:rsidR="00BB154A" w:rsidRPr="00E70B57">
        <w:t>försäkringsbolagen hanterar ansöknin</w:t>
      </w:r>
      <w:r w:rsidR="00BB154A" w:rsidRPr="00E70B57">
        <w:t>g</w:t>
      </w:r>
      <w:r w:rsidR="00BB154A" w:rsidRPr="00E70B57">
        <w:t xml:space="preserve">ar om barnförsäkringar </w:t>
      </w:r>
      <w:r w:rsidR="00C2559F" w:rsidRPr="00E70B57">
        <w:t xml:space="preserve">och </w:t>
      </w:r>
      <w:r w:rsidR="0075661A" w:rsidRPr="00E70B57">
        <w:t xml:space="preserve">bolagens praxis på området. </w:t>
      </w:r>
      <w:r w:rsidR="008F7CED" w:rsidRPr="00E70B57">
        <w:t xml:space="preserve">Inventeringen </w:t>
      </w:r>
      <w:r w:rsidR="00EC11A7" w:rsidRPr="00E70B57">
        <w:t xml:space="preserve">syftar till att ge utskottet </w:t>
      </w:r>
      <w:r w:rsidR="008F7CED" w:rsidRPr="00E70B57">
        <w:t xml:space="preserve">underlag för </w:t>
      </w:r>
      <w:r w:rsidR="00EC11A7" w:rsidRPr="00E70B57">
        <w:t>beredning av riksdagsärenden i frågan och för eve</w:t>
      </w:r>
      <w:r w:rsidR="00EC11A7" w:rsidRPr="00E70B57">
        <w:t>n</w:t>
      </w:r>
      <w:r w:rsidR="00EC11A7" w:rsidRPr="00E70B57">
        <w:t xml:space="preserve">tuella synpunkter på </w:t>
      </w:r>
      <w:r w:rsidR="008F7CED" w:rsidRPr="00E70B57">
        <w:t xml:space="preserve">inriktningen av </w:t>
      </w:r>
      <w:r w:rsidR="00EC11A7" w:rsidRPr="00E70B57">
        <w:t>den uppföljning som regeringen avis</w:t>
      </w:r>
      <w:r w:rsidR="00EC11A7" w:rsidRPr="00E70B57">
        <w:t>e</w:t>
      </w:r>
      <w:r w:rsidR="00EC11A7" w:rsidRPr="00E70B57">
        <w:t xml:space="preserve">rat. </w:t>
      </w:r>
      <w:r w:rsidR="008F7CED" w:rsidRPr="00E70B57">
        <w:t>I</w:t>
      </w:r>
      <w:r w:rsidR="0075661A" w:rsidRPr="00E70B57">
        <w:t>nventeringen</w:t>
      </w:r>
      <w:r w:rsidR="008F7CED" w:rsidRPr="00E70B57">
        <w:t xml:space="preserve"> avser</w:t>
      </w:r>
      <w:r w:rsidR="00EC11A7" w:rsidRPr="00E70B57">
        <w:t xml:space="preserve"> således</w:t>
      </w:r>
      <w:r w:rsidR="008F7CED" w:rsidRPr="00E70B57">
        <w:t xml:space="preserve"> inte att </w:t>
      </w:r>
      <w:r w:rsidR="0075661A" w:rsidRPr="00E70B57">
        <w:t>ersätta regeringen</w:t>
      </w:r>
      <w:r w:rsidR="008F7CED" w:rsidRPr="00E70B57">
        <w:t>s</w:t>
      </w:r>
      <w:r w:rsidR="0075661A" w:rsidRPr="00E70B57">
        <w:t xml:space="preserve"> </w:t>
      </w:r>
      <w:r w:rsidR="00FC3B71" w:rsidRPr="00E70B57">
        <w:t>planerade</w:t>
      </w:r>
      <w:r w:rsidR="008F7CED" w:rsidRPr="00E70B57">
        <w:t xml:space="preserve"> uppföl</w:t>
      </w:r>
      <w:r w:rsidR="008F7CED" w:rsidRPr="00E70B57">
        <w:t>j</w:t>
      </w:r>
      <w:r w:rsidR="008F7CED" w:rsidRPr="00E70B57">
        <w:t>ning.</w:t>
      </w:r>
    </w:p>
    <w:p w:rsidR="00BB154A" w:rsidRPr="00E70B57" w:rsidRDefault="00BB154A" w:rsidP="00BB154A"/>
    <w:p w:rsidR="0048749A" w:rsidRPr="00E70B57" w:rsidRDefault="0048749A" w:rsidP="0048749A">
      <w:r w:rsidRPr="00E70B57">
        <w:t xml:space="preserve">Uppdraget bör redovisas </w:t>
      </w:r>
      <w:r w:rsidR="008F7CED" w:rsidRPr="00E70B57">
        <w:t>före utgången av december månad 2012.</w:t>
      </w:r>
      <w:r w:rsidRPr="00E70B57">
        <w:t xml:space="preserve"> </w:t>
      </w:r>
    </w:p>
    <w:sectPr w:rsidR="0048749A" w:rsidRPr="00E70B57">
      <w:headerReference w:type="default" r:id="rId6"/>
      <w:footerReference w:type="default" r:id="rId7"/>
      <w:headerReference w:type="first" r:id="rId8"/>
      <w:footerReference w:type="first" r:id="rId9"/>
      <w:type w:val="continuous"/>
      <w:pgSz w:w="11907" w:h="16840" w:code="9"/>
      <w:pgMar w:top="567" w:right="1701" w:bottom="851" w:left="2835" w:header="567" w:footer="851"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1FC4" w:rsidRPr="00E70B57" w:rsidRDefault="00981FC4">
      <w:r w:rsidRPr="00E70B57">
        <w:separator/>
      </w:r>
    </w:p>
  </w:endnote>
  <w:endnote w:type="continuationSeparator" w:id="0">
    <w:p w:rsidR="00981FC4" w:rsidRPr="00E70B57" w:rsidRDefault="00981FC4">
      <w:r w:rsidRPr="00E70B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AF1" w:rsidRPr="00E70B57" w:rsidRDefault="00200AF1">
    <w:pPr>
      <w:tabs>
        <w:tab w:val="center" w:pos="4536"/>
        <w:tab w:val="right" w:pos="9072"/>
      </w:tabs>
      <w:spacing w:line="180" w:lineRule="exact"/>
      <w:jc w:val="right"/>
      <w:rPr>
        <w:caps/>
        <w:sz w:val="14"/>
      </w:rPr>
    </w:pPr>
  </w:p>
  <w:p w:rsidR="00200AF1" w:rsidRPr="00E70B57" w:rsidRDefault="00200AF1">
    <w:pPr>
      <w:pStyle w:val="KantHuvud"/>
      <w:framePr w:w="0" w:wrap="around" w:x="10150" w:y="15679"/>
      <w:spacing w:line="240" w:lineRule="auto"/>
      <w:rPr>
        <w:sz w:val="20"/>
      </w:rPr>
    </w:pPr>
    <w:r w:rsidRPr="00E70B57">
      <w:rPr>
        <w:rStyle w:val="Sidnummer"/>
      </w:rPr>
      <w:fldChar w:fldCharType="begin" w:fldLock="1"/>
    </w:r>
    <w:r w:rsidRPr="00E70B57">
      <w:rPr>
        <w:rStyle w:val="Sidnummer"/>
      </w:rPr>
      <w:instrText xml:space="preserve"> PAGE </w:instrText>
    </w:r>
    <w:r w:rsidRPr="00E70B57">
      <w:rPr>
        <w:rStyle w:val="Sidnummer"/>
      </w:rPr>
      <w:fldChar w:fldCharType="separate"/>
    </w:r>
    <w:r w:rsidR="007D28C5" w:rsidRPr="00E70B57">
      <w:rPr>
        <w:rStyle w:val="Sidnummer"/>
      </w:rPr>
      <w:t>2</w:t>
    </w:r>
    <w:r w:rsidRPr="00E70B57">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AF1" w:rsidRPr="00E70B57" w:rsidRDefault="00200AF1">
    <w:pPr>
      <w:pStyle w:val="Sidfot"/>
    </w:pPr>
    <w:bookmarkStart w:id="7" w:name="Fot"/>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1FC4" w:rsidRPr="00E70B57" w:rsidRDefault="00981FC4">
      <w:r w:rsidRPr="00E70B57">
        <w:separator/>
      </w:r>
    </w:p>
  </w:footnote>
  <w:footnote w:type="continuationSeparator" w:id="0">
    <w:p w:rsidR="00981FC4" w:rsidRPr="00E70B57" w:rsidRDefault="00981FC4">
      <w:r w:rsidRPr="00E70B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AF1" w:rsidRPr="00E70B57" w:rsidRDefault="00E70B57">
    <w:pPr>
      <w:framePr w:hSpace="142" w:wrap="around" w:vAnchor="page" w:hAnchor="page" w:x="8846" w:y="511"/>
      <w:spacing w:line="240" w:lineRule="auto"/>
      <w:rPr>
        <w:sz w:val="4"/>
      </w:rPr>
    </w:pPr>
    <w:bookmarkStart w:id="4" w:name="SvenskaLiten"/>
    <w:r w:rsidRPr="00E70B57">
      <w:rPr>
        <w:noProof/>
      </w:rPr>
      <w:drawing>
        <wp:inline distT="0" distB="0" distL="0" distR="0">
          <wp:extent cx="1153795" cy="304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795" cy="304800"/>
                  </a:xfrm>
                  <a:prstGeom prst="rect">
                    <a:avLst/>
                  </a:prstGeom>
                  <a:noFill/>
                  <a:ln>
                    <a:noFill/>
                  </a:ln>
                </pic:spPr>
              </pic:pic>
            </a:graphicData>
          </a:graphic>
        </wp:inline>
      </w:drawing>
    </w:r>
  </w:p>
  <w:p w:rsidR="00200AF1" w:rsidRPr="00E70B57" w:rsidRDefault="00200AF1">
    <w:pPr>
      <w:framePr w:hSpace="142" w:wrap="around" w:vAnchor="page" w:hAnchor="page" w:x="8846" w:y="511"/>
      <w:spacing w:line="240" w:lineRule="auto"/>
      <w:rPr>
        <w:sz w:val="4"/>
      </w:rPr>
    </w:pPr>
  </w:p>
  <w:bookmarkEnd w:id="4"/>
  <w:p w:rsidR="00200AF1" w:rsidRPr="00E70B57" w:rsidRDefault="00200AF1"/>
  <w:p w:rsidR="00200AF1" w:rsidRPr="00E70B57" w:rsidRDefault="00200AF1"/>
  <w:p w:rsidR="00200AF1" w:rsidRPr="00E70B57" w:rsidRDefault="00200AF1"/>
  <w:p w:rsidR="00200AF1" w:rsidRPr="00E70B57" w:rsidRDefault="00200A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0AF1" w:rsidRPr="00E70B57" w:rsidRDefault="00E70B57">
    <w:pPr>
      <w:pStyle w:val="logo"/>
      <w:framePr w:wrap="around" w:x="8052" w:y="455"/>
    </w:pPr>
    <w:bookmarkStart w:id="5" w:name="Svenska"/>
    <w:r w:rsidRPr="00E70B57">
      <w:rPr>
        <w:noProof/>
      </w:rPr>
      <w:drawing>
        <wp:inline distT="0" distB="0" distL="0" distR="0">
          <wp:extent cx="1692910" cy="4464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910" cy="446405"/>
                  </a:xfrm>
                  <a:prstGeom prst="rect">
                    <a:avLst/>
                  </a:prstGeom>
                  <a:noFill/>
                  <a:ln>
                    <a:noFill/>
                  </a:ln>
                </pic:spPr>
              </pic:pic>
            </a:graphicData>
          </a:graphic>
        </wp:inline>
      </w:drawing>
    </w:r>
    <w:bookmarkEnd w:id="5"/>
  </w:p>
  <w:p w:rsidR="00200AF1" w:rsidRPr="00E70B57" w:rsidRDefault="00200AF1">
    <w:pPr>
      <w:pStyle w:val="logo"/>
      <w:framePr w:wrap="around" w:x="8052" w:y="455"/>
      <w:rPr>
        <w:sz w:val="2"/>
      </w:rPr>
    </w:pPr>
  </w:p>
  <w:p w:rsidR="00200AF1" w:rsidRPr="00E70B57" w:rsidRDefault="00200AF1">
    <w:pPr>
      <w:spacing w:before="80" w:line="240" w:lineRule="auto"/>
    </w:pPr>
  </w:p>
  <w:tbl>
    <w:tblPr>
      <w:tblW w:w="0" w:type="auto"/>
      <w:tblInd w:w="-1134" w:type="dxa"/>
      <w:tblLayout w:type="fixed"/>
      <w:tblCellMar>
        <w:left w:w="70" w:type="dxa"/>
        <w:right w:w="70" w:type="dxa"/>
      </w:tblCellMar>
      <w:tblLook w:val="0000" w:firstRow="0" w:lastRow="0" w:firstColumn="0" w:lastColumn="0" w:noHBand="0" w:noVBand="0"/>
    </w:tblPr>
    <w:tblGrid>
      <w:gridCol w:w="6307"/>
    </w:tblGrid>
    <w:tr w:rsidR="00200AF1" w:rsidRPr="00E70B57">
      <w:tblPrEx>
        <w:tblCellMar>
          <w:top w:w="0" w:type="dxa"/>
          <w:bottom w:w="0" w:type="dxa"/>
        </w:tblCellMar>
      </w:tblPrEx>
      <w:trPr>
        <w:trHeight w:val="1480"/>
      </w:trPr>
      <w:tc>
        <w:tcPr>
          <w:tcW w:w="6307" w:type="dxa"/>
        </w:tcPr>
        <w:p w:rsidR="00200AF1" w:rsidRPr="00E70B57" w:rsidRDefault="00200AF1" w:rsidP="001E3680">
          <w:pPr>
            <w:pStyle w:val="Bembo1014Versaler"/>
          </w:pPr>
          <w:bookmarkStart w:id="6" w:name="Huvud"/>
          <w:r w:rsidRPr="00E70B57">
            <w:t>Civilutskottet</w:t>
          </w:r>
        </w:p>
        <w:p w:rsidR="00200AF1" w:rsidRPr="00E70B57" w:rsidRDefault="00200AF1" w:rsidP="001E3680">
          <w:pPr>
            <w:pStyle w:val="Bembo1014Versaler"/>
          </w:pPr>
          <w:r w:rsidRPr="00E70B57">
            <w:t>UppFÖLJNINGSGRUPPEN</w:t>
          </w:r>
        </w:p>
        <w:p w:rsidR="00200AF1" w:rsidRPr="00E70B57" w:rsidRDefault="00200AF1">
          <w:pPr>
            <w:spacing w:line="240" w:lineRule="auto"/>
          </w:pPr>
        </w:p>
      </w:tc>
    </w:tr>
    <w:tr w:rsidR="00200AF1" w:rsidRPr="00E70B57">
      <w:tblPrEx>
        <w:tblCellMar>
          <w:top w:w="0" w:type="dxa"/>
          <w:bottom w:w="0" w:type="dxa"/>
        </w:tblCellMar>
      </w:tblPrEx>
      <w:tc>
        <w:tcPr>
          <w:tcW w:w="6307" w:type="dxa"/>
        </w:tcPr>
        <w:p w:rsidR="00200AF1" w:rsidRPr="00E70B57" w:rsidRDefault="00200AF1">
          <w:pPr>
            <w:spacing w:line="240" w:lineRule="auto"/>
          </w:pPr>
        </w:p>
      </w:tc>
    </w:tr>
    <w:bookmarkEnd w:id="6"/>
  </w:tbl>
  <w:p w:rsidR="00200AF1" w:rsidRPr="00E70B57" w:rsidRDefault="00200AF1">
    <w:pPr>
      <w:spacing w:line="240" w:lineRule="auto"/>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sändare1" w:val="Falskt"/>
    <w:docVar w:name="Avsändare2" w:val="Sant"/>
    <w:docVar w:name="Avsändare3" w:val="Falskt"/>
    <w:docVar w:name="Avsändare4" w:val="Falskt"/>
    <w:docVar w:name="Avsändare5" w:val="Falskt"/>
    <w:docVar w:name="LogoFärg" w:val="Svart"/>
    <w:docVar w:name="Namn" w:val="Monica Hall"/>
    <w:docVar w:name="RedanKörd" w:val="Sant"/>
    <w:docVar w:name="SidfotHemort" w:val=" "/>
    <w:docVar w:name="SidfotRiksdag" w:val=" "/>
    <w:docVar w:name="SidfotStockholm" w:val=" "/>
    <w:docVar w:name="Språk" w:val="Svenska"/>
  </w:docVars>
  <w:rsids>
    <w:rsidRoot w:val="001E3680"/>
    <w:rsid w:val="00012E23"/>
    <w:rsid w:val="00050417"/>
    <w:rsid w:val="000668F3"/>
    <w:rsid w:val="00095C3B"/>
    <w:rsid w:val="000A1FD1"/>
    <w:rsid w:val="000A4E68"/>
    <w:rsid w:val="000A7D99"/>
    <w:rsid w:val="000B04E9"/>
    <w:rsid w:val="000D57AD"/>
    <w:rsid w:val="000F13CE"/>
    <w:rsid w:val="00112E6B"/>
    <w:rsid w:val="00130738"/>
    <w:rsid w:val="00144676"/>
    <w:rsid w:val="001471A0"/>
    <w:rsid w:val="00152B5D"/>
    <w:rsid w:val="00153F30"/>
    <w:rsid w:val="00156DF8"/>
    <w:rsid w:val="00161F00"/>
    <w:rsid w:val="00166508"/>
    <w:rsid w:val="00193322"/>
    <w:rsid w:val="001A25B0"/>
    <w:rsid w:val="001B032A"/>
    <w:rsid w:val="001D7145"/>
    <w:rsid w:val="001E3680"/>
    <w:rsid w:val="001F5A6C"/>
    <w:rsid w:val="00200AF1"/>
    <w:rsid w:val="00210CF6"/>
    <w:rsid w:val="00221257"/>
    <w:rsid w:val="00254B93"/>
    <w:rsid w:val="00257937"/>
    <w:rsid w:val="002823FB"/>
    <w:rsid w:val="00291258"/>
    <w:rsid w:val="00293865"/>
    <w:rsid w:val="002B4EDE"/>
    <w:rsid w:val="002D50CE"/>
    <w:rsid w:val="002D63D1"/>
    <w:rsid w:val="002E3117"/>
    <w:rsid w:val="002F2920"/>
    <w:rsid w:val="002F43DF"/>
    <w:rsid w:val="003031AF"/>
    <w:rsid w:val="00317954"/>
    <w:rsid w:val="00320BE1"/>
    <w:rsid w:val="00373590"/>
    <w:rsid w:val="0038684B"/>
    <w:rsid w:val="003969B4"/>
    <w:rsid w:val="003C6FAB"/>
    <w:rsid w:val="004165C1"/>
    <w:rsid w:val="00422861"/>
    <w:rsid w:val="00433FE4"/>
    <w:rsid w:val="00436FFF"/>
    <w:rsid w:val="00447CB3"/>
    <w:rsid w:val="00457AE1"/>
    <w:rsid w:val="004836E2"/>
    <w:rsid w:val="0048749A"/>
    <w:rsid w:val="0049451E"/>
    <w:rsid w:val="004A3237"/>
    <w:rsid w:val="004A48B2"/>
    <w:rsid w:val="00524766"/>
    <w:rsid w:val="00546A9C"/>
    <w:rsid w:val="00554E9A"/>
    <w:rsid w:val="0058297F"/>
    <w:rsid w:val="00594058"/>
    <w:rsid w:val="00596F4D"/>
    <w:rsid w:val="005A40D1"/>
    <w:rsid w:val="005C17AE"/>
    <w:rsid w:val="005F4C2D"/>
    <w:rsid w:val="00607411"/>
    <w:rsid w:val="006111BD"/>
    <w:rsid w:val="00611ED3"/>
    <w:rsid w:val="00624848"/>
    <w:rsid w:val="006366F5"/>
    <w:rsid w:val="00636DEB"/>
    <w:rsid w:val="00657924"/>
    <w:rsid w:val="00684C62"/>
    <w:rsid w:val="006874DE"/>
    <w:rsid w:val="006A4DC6"/>
    <w:rsid w:val="006B2EBA"/>
    <w:rsid w:val="006D302D"/>
    <w:rsid w:val="006E1096"/>
    <w:rsid w:val="006E36B0"/>
    <w:rsid w:val="006E441F"/>
    <w:rsid w:val="006F0DF5"/>
    <w:rsid w:val="00731D7A"/>
    <w:rsid w:val="00732AAE"/>
    <w:rsid w:val="007341BE"/>
    <w:rsid w:val="00750FD7"/>
    <w:rsid w:val="0075661A"/>
    <w:rsid w:val="00757695"/>
    <w:rsid w:val="00762C2E"/>
    <w:rsid w:val="00772788"/>
    <w:rsid w:val="007D0471"/>
    <w:rsid w:val="007D28C5"/>
    <w:rsid w:val="008108E8"/>
    <w:rsid w:val="00823BCE"/>
    <w:rsid w:val="0083183D"/>
    <w:rsid w:val="00834875"/>
    <w:rsid w:val="0084232C"/>
    <w:rsid w:val="00847D1B"/>
    <w:rsid w:val="00866E6F"/>
    <w:rsid w:val="00880C83"/>
    <w:rsid w:val="00894B42"/>
    <w:rsid w:val="008A400F"/>
    <w:rsid w:val="008B1190"/>
    <w:rsid w:val="008B374B"/>
    <w:rsid w:val="008C626B"/>
    <w:rsid w:val="008C656B"/>
    <w:rsid w:val="008D3524"/>
    <w:rsid w:val="008E2FF8"/>
    <w:rsid w:val="008F3867"/>
    <w:rsid w:val="008F7CED"/>
    <w:rsid w:val="00933FE2"/>
    <w:rsid w:val="009612DD"/>
    <w:rsid w:val="00967478"/>
    <w:rsid w:val="00971803"/>
    <w:rsid w:val="00981FC4"/>
    <w:rsid w:val="009839D4"/>
    <w:rsid w:val="009867E3"/>
    <w:rsid w:val="00991768"/>
    <w:rsid w:val="009C267A"/>
    <w:rsid w:val="009E13D3"/>
    <w:rsid w:val="009F0097"/>
    <w:rsid w:val="009F292C"/>
    <w:rsid w:val="00A13A3C"/>
    <w:rsid w:val="00A1438C"/>
    <w:rsid w:val="00A22C8D"/>
    <w:rsid w:val="00A375A2"/>
    <w:rsid w:val="00A436EF"/>
    <w:rsid w:val="00A70BBA"/>
    <w:rsid w:val="00A71AF0"/>
    <w:rsid w:val="00A8200A"/>
    <w:rsid w:val="00A95A6C"/>
    <w:rsid w:val="00AB31C7"/>
    <w:rsid w:val="00B02A1B"/>
    <w:rsid w:val="00B47411"/>
    <w:rsid w:val="00B668F0"/>
    <w:rsid w:val="00B731A2"/>
    <w:rsid w:val="00B73945"/>
    <w:rsid w:val="00B972B9"/>
    <w:rsid w:val="00BB154A"/>
    <w:rsid w:val="00BC29B3"/>
    <w:rsid w:val="00BE4C8D"/>
    <w:rsid w:val="00BF3B63"/>
    <w:rsid w:val="00C2330B"/>
    <w:rsid w:val="00C2559F"/>
    <w:rsid w:val="00C3044C"/>
    <w:rsid w:val="00C33828"/>
    <w:rsid w:val="00C469D0"/>
    <w:rsid w:val="00C56279"/>
    <w:rsid w:val="00C67D1A"/>
    <w:rsid w:val="00C90C00"/>
    <w:rsid w:val="00CA10B3"/>
    <w:rsid w:val="00CA1ECA"/>
    <w:rsid w:val="00CB0870"/>
    <w:rsid w:val="00CC7856"/>
    <w:rsid w:val="00CD4436"/>
    <w:rsid w:val="00CF611D"/>
    <w:rsid w:val="00D039FA"/>
    <w:rsid w:val="00D061B4"/>
    <w:rsid w:val="00D071B3"/>
    <w:rsid w:val="00D17242"/>
    <w:rsid w:val="00D338F1"/>
    <w:rsid w:val="00D35C71"/>
    <w:rsid w:val="00D6129E"/>
    <w:rsid w:val="00D719E8"/>
    <w:rsid w:val="00D74D75"/>
    <w:rsid w:val="00D83539"/>
    <w:rsid w:val="00DA1766"/>
    <w:rsid w:val="00DA24DA"/>
    <w:rsid w:val="00DB6288"/>
    <w:rsid w:val="00DB6706"/>
    <w:rsid w:val="00DB6BB9"/>
    <w:rsid w:val="00DB6F15"/>
    <w:rsid w:val="00DC2CA8"/>
    <w:rsid w:val="00DF4698"/>
    <w:rsid w:val="00E0758F"/>
    <w:rsid w:val="00E160D7"/>
    <w:rsid w:val="00E4744C"/>
    <w:rsid w:val="00E600AF"/>
    <w:rsid w:val="00E62AA8"/>
    <w:rsid w:val="00E70B57"/>
    <w:rsid w:val="00E93637"/>
    <w:rsid w:val="00EA2C9F"/>
    <w:rsid w:val="00EB3912"/>
    <w:rsid w:val="00EC11A7"/>
    <w:rsid w:val="00EE0939"/>
    <w:rsid w:val="00F05F65"/>
    <w:rsid w:val="00F06932"/>
    <w:rsid w:val="00F15A75"/>
    <w:rsid w:val="00F25AF3"/>
    <w:rsid w:val="00F43006"/>
    <w:rsid w:val="00F62A04"/>
    <w:rsid w:val="00F7565A"/>
    <w:rsid w:val="00FA6059"/>
    <w:rsid w:val="00FB7014"/>
    <w:rsid w:val="00FC3B71"/>
    <w:rsid w:val="00FD559E"/>
    <w:rsid w:val="00FD5CF7"/>
    <w:rsid w:val="00FD5E21"/>
    <w:rsid w:val="00FD7DB9"/>
    <w:rsid w:val="00FE5EE3"/>
    <w:rsid w:val="00FF31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2562667-AC54-45A2-ACE5-266EF966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Bembo" w:hAnsi="Bembo"/>
      <w:sz w:val="24"/>
      <w:lang w:val="sv-SE" w:eastAsia="sv-SE"/>
    </w:rPr>
  </w:style>
  <w:style w:type="paragraph" w:styleId="Rubrik1">
    <w:name w:val="heading 1"/>
    <w:basedOn w:val="Normal"/>
    <w:next w:val="Normal"/>
    <w:qFormat/>
    <w:pPr>
      <w:keepNext/>
      <w:outlineLvl w:val="0"/>
    </w:pPr>
    <w:rPr>
      <w:rFonts w:ascii="GillSans" w:hAnsi="GillSans"/>
      <w:b/>
      <w:kern w:val="28"/>
      <w:sz w:val="27"/>
    </w:rPr>
  </w:style>
  <w:style w:type="paragraph" w:styleId="Rubrik2">
    <w:name w:val="heading 2"/>
    <w:basedOn w:val="Rubrik1"/>
    <w:next w:val="Normal"/>
    <w:qFormat/>
    <w:pPr>
      <w:outlineLvl w:val="1"/>
    </w:pPr>
    <w:rPr>
      <w:sz w:val="23"/>
    </w:rPr>
  </w:style>
  <w:style w:type="paragraph" w:styleId="Rubrik3">
    <w:name w:val="heading 3"/>
    <w:basedOn w:val="Rubrik1"/>
    <w:next w:val="Normal"/>
    <w:qFormat/>
    <w:rsid w:val="00153F30"/>
    <w:pPr>
      <w:outlineLvl w:val="2"/>
    </w:pPr>
    <w:rPr>
      <w:rFonts w:cs="Arial"/>
      <w:bCs/>
      <w:i/>
      <w:sz w:val="23"/>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spacing w:line="200" w:lineRule="atLeast"/>
    </w:pPr>
    <w:rPr>
      <w:sz w:val="18"/>
    </w:rPr>
  </w:style>
  <w:style w:type="paragraph" w:customStyle="1" w:styleId="logo">
    <w:name w:val="logo"/>
    <w:basedOn w:val="Normal"/>
    <w:pPr>
      <w:framePr w:wrap="around" w:vAnchor="page" w:hAnchor="page" w:x="7939" w:y="511" w:anchorLock="1"/>
      <w:spacing w:line="240" w:lineRule="auto"/>
    </w:pPr>
    <w:rPr>
      <w:sz w:val="20"/>
    </w:rPr>
  </w:style>
  <w:style w:type="character" w:styleId="Sidnummer">
    <w:name w:val="page number"/>
    <w:basedOn w:val="Standardstycketeckensnitt"/>
    <w:rPr>
      <w:rFonts w:ascii="Bembo" w:hAnsi="Bembo"/>
      <w:sz w:val="20"/>
      <w:vertAlign w:val="baseline"/>
    </w:rPr>
  </w:style>
  <w:style w:type="paragraph" w:customStyle="1" w:styleId="logo2">
    <w:name w:val="logo2"/>
    <w:basedOn w:val="logo"/>
    <w:pPr>
      <w:framePr w:wrap="around" w:x="9016"/>
    </w:pPr>
  </w:style>
  <w:style w:type="paragraph" w:customStyle="1" w:styleId="Bembo1014Versaler">
    <w:name w:val="Bembo10/14Versaler"/>
    <w:basedOn w:val="Normal"/>
    <w:rPr>
      <w:caps/>
      <w:spacing w:val="40"/>
      <w:sz w:val="20"/>
    </w:rPr>
  </w:style>
  <w:style w:type="paragraph" w:customStyle="1" w:styleId="NormalCourier">
    <w:name w:val="NormalCourier"/>
    <w:basedOn w:val="Normal"/>
    <w:rPr>
      <w:rFonts w:ascii="Courier" w:hAnsi="Courier"/>
    </w:rPr>
  </w:style>
  <w:style w:type="paragraph" w:customStyle="1" w:styleId="KantHuvud">
    <w:name w:val="KantHuvud"/>
    <w:basedOn w:val="Normal"/>
    <w:pPr>
      <w:framePr w:w="2552" w:hSpace="284" w:wrap="around" w:vAnchor="page" w:hAnchor="page" w:x="8279" w:y="2326" w:anchorLock="1"/>
    </w:pPr>
  </w:style>
  <w:style w:type="paragraph" w:customStyle="1" w:styleId="Bembo10">
    <w:name w:val="Bembo10"/>
    <w:basedOn w:val="Normal"/>
    <w:pPr>
      <w:spacing w:before="40" w:line="240" w:lineRule="auto"/>
    </w:pPr>
    <w:rPr>
      <w:sz w:val="20"/>
    </w:rPr>
  </w:style>
  <w:style w:type="paragraph" w:customStyle="1" w:styleId="Bembo10Kursiv">
    <w:name w:val="Bembo10/Kursiv"/>
    <w:basedOn w:val="Normal"/>
    <w:pPr>
      <w:spacing w:line="240" w:lineRule="auto"/>
    </w:pPr>
    <w:rPr>
      <w:i/>
      <w:sz w:val="20"/>
    </w:rPr>
  </w:style>
  <w:style w:type="paragraph" w:customStyle="1" w:styleId="BemboFrvaltningskontor">
    <w:name w:val="BemboFörvaltningskontor"/>
    <w:basedOn w:val="Normal"/>
    <w:pPr>
      <w:pBdr>
        <w:bottom w:val="single" w:sz="4" w:space="1" w:color="auto"/>
      </w:pBdr>
      <w:ind w:right="284"/>
    </w:pPr>
    <w:rPr>
      <w:caps/>
      <w:spacing w:val="40"/>
      <w:sz w:val="20"/>
    </w:rPr>
  </w:style>
  <w:style w:type="paragraph" w:styleId="Ballongtext">
    <w:name w:val="Balloon Text"/>
    <w:basedOn w:val="Normal"/>
    <w:semiHidden/>
    <w:rsid w:val="00BB15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619aa\AppData\Roaming\Microsoft\Templates\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PM.dot</Template>
  <TotalTime>0</TotalTime>
  <Pages>2</Pages>
  <Words>620</Words>
  <Characters>3937</Characters>
  <Application>Microsoft Office Word</Application>
  <DocSecurity>4</DocSecurity>
  <Lines>85</Lines>
  <Paragraphs>20</Paragraphs>
  <ScaleCrop>false</ScaleCrop>
  <HeadingPairs>
    <vt:vector size="4" baseType="variant">
      <vt:variant>
        <vt:lpstr>Rubrik</vt:lpstr>
      </vt:variant>
      <vt:variant>
        <vt:i4>1</vt:i4>
      </vt:variant>
      <vt:variant>
        <vt:lpstr>Rubriker</vt:lpstr>
      </vt:variant>
      <vt:variant>
        <vt:i4>3</vt:i4>
      </vt:variant>
    </vt:vector>
  </HeadingPairs>
  <TitlesOfParts>
    <vt:vector size="4" baseType="lpstr">
      <vt:lpstr>PM</vt:lpstr>
      <vt:lpstr>Fråga om initiativ till en uppföljning av barnförsäkringar</vt:lpstr>
      <vt:lpstr>    Bakgrund</vt:lpstr>
      <vt:lpstr>    Uppdraget</vt:lpstr>
    </vt:vector>
  </TitlesOfParts>
  <Company>Riksdagen</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PM</dc:subject>
  <dc:creator>Riksdagen</dc:creator>
  <cp:keywords>Riksdagen</cp:keywords>
  <dc:description>Version: 20061106</dc:description>
  <cp:lastModifiedBy>Lars Brink</cp:lastModifiedBy>
  <cp:revision>2</cp:revision>
  <cp:lastPrinted>2012-02-16T12:00:00Z</cp:lastPrinted>
  <dcterms:created xsi:type="dcterms:W3CDTF">2025-12-17T21:45:00Z</dcterms:created>
  <dcterms:modified xsi:type="dcterms:W3CDTF">2025-12-17T21:45:00Z</dcterms:modified>
</cp:coreProperties>
</file>