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9110B">
        <w:tblPrEx>
          <w:tblCellMar>
            <w:top w:w="0" w:type="dxa"/>
            <w:bottom w:w="0" w:type="dxa"/>
          </w:tblCellMar>
        </w:tblPrEx>
        <w:trPr>
          <w:cantSplit/>
          <w:trHeight w:val="1720"/>
        </w:trPr>
        <w:tc>
          <w:tcPr>
            <w:tcW w:w="6024" w:type="dxa"/>
            <w:gridSpan w:val="2"/>
          </w:tcPr>
          <w:p w:rsidR="00A31B5B" w:rsidRPr="00F9110B" w:rsidRDefault="00A31B5B">
            <w:pPr>
              <w:pStyle w:val="HuvudRubrik"/>
            </w:pPr>
            <w:r w:rsidRPr="00F9110B">
              <w:t>Konstitutionsutskottets betänkande</w:t>
            </w:r>
          </w:p>
          <w:p w:rsidR="00A31B5B" w:rsidRPr="00F9110B" w:rsidRDefault="00A31B5B">
            <w:pPr>
              <w:pStyle w:val="HuvudRubrikRad2"/>
            </w:pPr>
            <w:bookmarkStart w:id="0" w:name="BetänkandeNr"/>
            <w:bookmarkEnd w:id="0"/>
            <w:r w:rsidRPr="00F9110B">
              <w:t>2002/03:KU7</w:t>
            </w:r>
          </w:p>
        </w:tc>
        <w:tc>
          <w:tcPr>
            <w:tcW w:w="1418" w:type="dxa"/>
            <w:tcBorders>
              <w:bottom w:val="nil"/>
            </w:tcBorders>
          </w:tcPr>
          <w:p w:rsidR="00A31B5B" w:rsidRPr="00F9110B" w:rsidRDefault="00F9110B">
            <w:pPr>
              <w:spacing w:line="230" w:lineRule="auto"/>
              <w:jc w:val="center"/>
            </w:pPr>
            <w:r w:rsidRPr="00F9110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31B5B" w:rsidRPr="00F9110B" w:rsidRDefault="00A31B5B">
            <w:pPr>
              <w:pStyle w:val="Normaltindrag"/>
              <w:jc w:val="center"/>
            </w:pPr>
          </w:p>
          <w:p w:rsidR="00A31B5B" w:rsidRPr="00F9110B" w:rsidRDefault="00A31B5B">
            <w:pPr>
              <w:pStyle w:val="StatusSida1"/>
            </w:pPr>
          </w:p>
          <w:p w:rsidR="00A31B5B" w:rsidRPr="00F9110B" w:rsidRDefault="00A31B5B">
            <w:pPr>
              <w:pStyle w:val="UtskriftsdatumSida1"/>
              <w:framePr w:wrap="around"/>
            </w:pPr>
          </w:p>
        </w:tc>
      </w:tr>
      <w:tr w:rsidR="00000000" w:rsidRPr="00F9110B">
        <w:tblPrEx>
          <w:tblCellMar>
            <w:top w:w="0" w:type="dxa"/>
            <w:bottom w:w="0" w:type="dxa"/>
          </w:tblCellMar>
        </w:tblPrEx>
        <w:trPr>
          <w:cantSplit/>
        </w:trPr>
        <w:tc>
          <w:tcPr>
            <w:tcW w:w="6024" w:type="dxa"/>
            <w:gridSpan w:val="2"/>
            <w:tcBorders>
              <w:bottom w:val="single" w:sz="4" w:space="0" w:color="auto"/>
            </w:tcBorders>
          </w:tcPr>
          <w:p w:rsidR="00A31B5B" w:rsidRPr="00F9110B" w:rsidRDefault="00A31B5B">
            <w:pPr>
              <w:pStyle w:val="DokumentRubrik"/>
              <w:rPr>
                <w:noProof w:val="0"/>
              </w:rPr>
            </w:pPr>
            <w:bookmarkStart w:id="1" w:name="Huvudrubrik"/>
            <w:bookmarkEnd w:id="1"/>
            <w:r w:rsidRPr="00F9110B">
              <w:rPr>
                <w:noProof w:val="0"/>
              </w:rPr>
              <w:t>Hets mot folkgrupp, m.m. (vilande grundlagsförslag och följdlagstiftning)</w:t>
            </w:r>
          </w:p>
        </w:tc>
        <w:tc>
          <w:tcPr>
            <w:tcW w:w="1418" w:type="dxa"/>
            <w:tcBorders>
              <w:bottom w:val="nil"/>
            </w:tcBorders>
          </w:tcPr>
          <w:p w:rsidR="00A31B5B" w:rsidRPr="00F9110B" w:rsidRDefault="00A31B5B"/>
        </w:tc>
      </w:tr>
      <w:tr w:rsidR="00000000" w:rsidRPr="00F9110B">
        <w:tblPrEx>
          <w:tblCellMar>
            <w:top w:w="0" w:type="dxa"/>
            <w:bottom w:w="0" w:type="dxa"/>
          </w:tblCellMar>
        </w:tblPrEx>
        <w:trPr>
          <w:cantSplit/>
          <w:trHeight w:hRule="exact" w:val="360"/>
        </w:trPr>
        <w:tc>
          <w:tcPr>
            <w:tcW w:w="3012" w:type="dxa"/>
          </w:tcPr>
          <w:p w:rsidR="00A31B5B" w:rsidRPr="00F9110B" w:rsidRDefault="00A31B5B"/>
        </w:tc>
        <w:tc>
          <w:tcPr>
            <w:tcW w:w="3012" w:type="dxa"/>
          </w:tcPr>
          <w:p w:rsidR="00A31B5B" w:rsidRPr="00F9110B" w:rsidRDefault="00A31B5B"/>
        </w:tc>
        <w:tc>
          <w:tcPr>
            <w:tcW w:w="1418" w:type="dxa"/>
          </w:tcPr>
          <w:p w:rsidR="00A31B5B" w:rsidRPr="00F9110B" w:rsidRDefault="00A31B5B"/>
        </w:tc>
      </w:tr>
    </w:tbl>
    <w:p w:rsidR="00A31B5B" w:rsidRPr="00F9110B" w:rsidRDefault="00A31B5B"/>
    <w:p w:rsidR="00A31B5B" w:rsidRPr="00F9110B" w:rsidRDefault="00A31B5B">
      <w:pPr>
        <w:pStyle w:val="Rubrik1"/>
        <w:spacing w:after="180"/>
        <w:rPr>
          <w:noProof w:val="0"/>
        </w:rPr>
      </w:pPr>
      <w:bookmarkStart w:id="2" w:name="_Toc23564363"/>
      <w:r w:rsidRPr="00F9110B">
        <w:rPr>
          <w:noProof w:val="0"/>
        </w:rPr>
        <w:t>Sammanfattning</w:t>
      </w:r>
      <w:bookmarkEnd w:id="2"/>
    </w:p>
    <w:p w:rsidR="00A31B5B" w:rsidRPr="00F9110B" w:rsidRDefault="00A31B5B">
      <w:bookmarkStart w:id="3" w:name="TextStart"/>
      <w:bookmarkEnd w:id="3"/>
      <w:r w:rsidRPr="00F9110B">
        <w:t>I betänkandet anmäls för slutligt beslut det vilande förslaget till lag om än</w:t>
      </w:r>
      <w:r w:rsidRPr="00F9110B">
        <w:t>d</w:t>
      </w:r>
      <w:r w:rsidRPr="00F9110B">
        <w:t>ring i tryckfrihetsförordningen. Förslaget innebär att tillämpningsområdet för bestämmelserna om brottet hets mot folkgrupp utvidgas så att också hets med anspelning på sexuell läggning omfattas.</w:t>
      </w:r>
    </w:p>
    <w:p w:rsidR="00A31B5B" w:rsidRPr="00F9110B" w:rsidRDefault="00A31B5B">
      <w:pPr>
        <w:pStyle w:val="Normaltindrag"/>
      </w:pPr>
      <w:r w:rsidRPr="00F9110B">
        <w:t>Vidare behandlas regeringens förslag till lag om ändring i brottsbalken s</w:t>
      </w:r>
      <w:r w:rsidRPr="00F9110B">
        <w:t>å</w:t>
      </w:r>
      <w:r w:rsidRPr="00F9110B">
        <w:t>vitt avser 16 kap. 8 § samt en motion.</w:t>
      </w:r>
    </w:p>
    <w:p w:rsidR="00A31B5B" w:rsidRPr="00F9110B" w:rsidRDefault="00A31B5B">
      <w:pPr>
        <w:pStyle w:val="Normaltindrag"/>
      </w:pPr>
      <w:r w:rsidRPr="00F9110B">
        <w:t>Utskottet föreslår att riksdagen slutligt antar det vilande förslaget till lag om ändring i tryckfrihetsförordningen samt utskottets förslag till lag om än</w:t>
      </w:r>
      <w:r w:rsidRPr="00F9110B">
        <w:t>d</w:t>
      </w:r>
      <w:r w:rsidRPr="00F9110B">
        <w:t xml:space="preserve">ring i brottsbalken. Utskottet avstyrker motionen. </w:t>
      </w:r>
    </w:p>
    <w:p w:rsidR="00A31B5B" w:rsidRPr="00F9110B" w:rsidRDefault="00A31B5B">
      <w:pPr>
        <w:pStyle w:val="Normaltindrag"/>
      </w:pPr>
      <w:r w:rsidRPr="00F9110B">
        <w:t>Till betänkandet har fogats fyra reservationer (m) och (kd) samt ett särskilt yt</w:t>
      </w:r>
      <w:r w:rsidRPr="00F9110B">
        <w:t>t</w:t>
      </w:r>
      <w:r w:rsidRPr="00F9110B">
        <w:t xml:space="preserve">rande (fp, mp). </w:t>
      </w:r>
    </w:p>
    <w:p w:rsidR="00A31B5B" w:rsidRPr="00F9110B" w:rsidRDefault="00A31B5B">
      <w:pPr>
        <w:pStyle w:val="Normaltindrag"/>
        <w:sectPr w:rsidR="00000000" w:rsidRPr="00F9110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31B5B" w:rsidRPr="00F9110B" w:rsidRDefault="00A31B5B">
      <w:pPr>
        <w:pStyle w:val="Rubrik1"/>
        <w:rPr>
          <w:noProof w:val="0"/>
        </w:rPr>
      </w:pPr>
      <w:bookmarkStart w:id="4" w:name="_Toc23564364"/>
      <w:r w:rsidRPr="00F9110B">
        <w:rPr>
          <w:noProof w:val="0"/>
        </w:rPr>
        <w:lastRenderedPageBreak/>
        <w:t>Innehållsförteckning</w:t>
      </w:r>
      <w:bookmarkEnd w:id="4"/>
    </w:p>
    <w:p w:rsidR="00A31B5B" w:rsidRPr="00F9110B" w:rsidRDefault="00A31B5B">
      <w:pPr>
        <w:pStyle w:val="Innehll1"/>
      </w:pPr>
      <w:r w:rsidRPr="00F9110B">
        <w:t>Sammanfattning</w:t>
      </w:r>
      <w:r w:rsidRPr="00F9110B">
        <w:tab/>
        <w:t>1</w:t>
      </w:r>
    </w:p>
    <w:p w:rsidR="00A31B5B" w:rsidRPr="00F9110B" w:rsidRDefault="00A31B5B">
      <w:pPr>
        <w:pStyle w:val="Innehll1"/>
      </w:pPr>
      <w:r w:rsidRPr="00F9110B">
        <w:t>Innehållsförteckning</w:t>
      </w:r>
      <w:r w:rsidRPr="00F9110B">
        <w:tab/>
        <w:t>2</w:t>
      </w:r>
    </w:p>
    <w:p w:rsidR="00A31B5B" w:rsidRPr="00F9110B" w:rsidRDefault="00A31B5B">
      <w:pPr>
        <w:pStyle w:val="Innehll1"/>
      </w:pPr>
      <w:r w:rsidRPr="00F9110B">
        <w:t>Utskottets förslag till riksdagsbeslut</w:t>
      </w:r>
      <w:r w:rsidRPr="00F9110B">
        <w:tab/>
        <w:t>3</w:t>
      </w:r>
    </w:p>
    <w:p w:rsidR="00A31B5B" w:rsidRPr="00F9110B" w:rsidRDefault="00A31B5B">
      <w:pPr>
        <w:pStyle w:val="Innehll1"/>
      </w:pPr>
      <w:r w:rsidRPr="00F9110B">
        <w:t>Redogörelse för ärendet</w:t>
      </w:r>
      <w:r w:rsidRPr="00F9110B">
        <w:tab/>
        <w:t>4</w:t>
      </w:r>
    </w:p>
    <w:p w:rsidR="00A31B5B" w:rsidRPr="00F9110B" w:rsidRDefault="00A31B5B">
      <w:pPr>
        <w:pStyle w:val="Innehll2"/>
      </w:pPr>
      <w:r w:rsidRPr="00F9110B">
        <w:t>Vilande grundlagsförslag</w:t>
      </w:r>
      <w:r w:rsidRPr="00F9110B">
        <w:tab/>
        <w:t>4</w:t>
      </w:r>
    </w:p>
    <w:p w:rsidR="00A31B5B" w:rsidRPr="00F9110B" w:rsidRDefault="00A31B5B">
      <w:pPr>
        <w:pStyle w:val="Innehll2"/>
      </w:pPr>
      <w:r w:rsidRPr="00F9110B">
        <w:t>Förslag till följdlagstiftning</w:t>
      </w:r>
      <w:r w:rsidRPr="00F9110B">
        <w:tab/>
        <w:t>4</w:t>
      </w:r>
    </w:p>
    <w:p w:rsidR="00A31B5B" w:rsidRPr="00F9110B" w:rsidRDefault="00A31B5B">
      <w:pPr>
        <w:pStyle w:val="Innehll3"/>
      </w:pPr>
      <w:r w:rsidRPr="00F9110B">
        <w:t>Propositionen</w:t>
      </w:r>
      <w:r w:rsidRPr="00F9110B">
        <w:tab/>
        <w:t>4</w:t>
      </w:r>
    </w:p>
    <w:p w:rsidR="00A31B5B" w:rsidRPr="00F9110B" w:rsidRDefault="00A31B5B">
      <w:pPr>
        <w:pStyle w:val="Innehll3"/>
      </w:pPr>
      <w:r w:rsidRPr="00F9110B">
        <w:t>Motionen</w:t>
      </w:r>
      <w:r w:rsidRPr="00F9110B">
        <w:tab/>
        <w:t>4</w:t>
      </w:r>
    </w:p>
    <w:p w:rsidR="00A31B5B" w:rsidRPr="00F9110B" w:rsidRDefault="00A31B5B">
      <w:pPr>
        <w:pStyle w:val="Innehll1"/>
      </w:pPr>
      <w:r w:rsidRPr="00F9110B">
        <w:t>Utskottets överväganden</w:t>
      </w:r>
      <w:r w:rsidRPr="00F9110B">
        <w:tab/>
        <w:t>5</w:t>
      </w:r>
    </w:p>
    <w:p w:rsidR="00A31B5B" w:rsidRPr="00F9110B" w:rsidRDefault="00A31B5B">
      <w:pPr>
        <w:pStyle w:val="Innehll2"/>
      </w:pPr>
      <w:r w:rsidRPr="00F9110B">
        <w:t>Det vilande grundlagsförslaget, m.m.</w:t>
      </w:r>
      <w:r w:rsidRPr="00F9110B">
        <w:tab/>
        <w:t>5</w:t>
      </w:r>
    </w:p>
    <w:p w:rsidR="00A31B5B" w:rsidRPr="00F9110B" w:rsidRDefault="00A31B5B">
      <w:pPr>
        <w:pStyle w:val="Innehll2"/>
      </w:pPr>
      <w:r w:rsidRPr="00F9110B">
        <w:t>Det vilande grundlagsförslaget. Utskottets anmälan och yttrande</w:t>
      </w:r>
      <w:r w:rsidRPr="00F9110B">
        <w:tab/>
        <w:t>5</w:t>
      </w:r>
    </w:p>
    <w:p w:rsidR="00A31B5B" w:rsidRPr="00F9110B" w:rsidRDefault="00A31B5B">
      <w:pPr>
        <w:pStyle w:val="Innehll2"/>
      </w:pPr>
      <w:r w:rsidRPr="00F9110B">
        <w:t>Följdlagstiftningen</w:t>
      </w:r>
      <w:r w:rsidRPr="00F9110B">
        <w:tab/>
        <w:t>5</w:t>
      </w:r>
    </w:p>
    <w:p w:rsidR="00A31B5B" w:rsidRPr="00F9110B" w:rsidRDefault="00A31B5B">
      <w:pPr>
        <w:pStyle w:val="Innehll3"/>
      </w:pPr>
      <w:r w:rsidRPr="00F9110B">
        <w:t>Propositionen</w:t>
      </w:r>
      <w:r w:rsidRPr="00F9110B">
        <w:tab/>
        <w:t>5</w:t>
      </w:r>
    </w:p>
    <w:p w:rsidR="00A31B5B" w:rsidRPr="00F9110B" w:rsidRDefault="00A31B5B">
      <w:pPr>
        <w:pStyle w:val="Innehll3"/>
      </w:pPr>
      <w:r w:rsidRPr="00F9110B">
        <w:t>Motionen</w:t>
      </w:r>
      <w:r w:rsidRPr="00F9110B">
        <w:tab/>
        <w:t>7</w:t>
      </w:r>
    </w:p>
    <w:p w:rsidR="00A31B5B" w:rsidRPr="00F9110B" w:rsidRDefault="00A31B5B">
      <w:pPr>
        <w:pStyle w:val="Innehll3"/>
      </w:pPr>
      <w:r w:rsidRPr="00F9110B">
        <w:t>Utskottet</w:t>
      </w:r>
      <w:r w:rsidRPr="00F9110B">
        <w:tab/>
        <w:t>7</w:t>
      </w:r>
    </w:p>
    <w:p w:rsidR="00A31B5B" w:rsidRPr="00F9110B" w:rsidRDefault="00A31B5B">
      <w:pPr>
        <w:pStyle w:val="Innehll1"/>
      </w:pPr>
      <w:r w:rsidRPr="00F9110B">
        <w:t>Reservationer</w:t>
      </w:r>
      <w:r w:rsidRPr="00F9110B">
        <w:tab/>
        <w:t>9</w:t>
      </w:r>
    </w:p>
    <w:p w:rsidR="00A31B5B" w:rsidRPr="00F9110B" w:rsidRDefault="00A31B5B">
      <w:pPr>
        <w:pStyle w:val="Innehll2"/>
        <w:tabs>
          <w:tab w:val="left" w:pos="568"/>
        </w:tabs>
      </w:pPr>
      <w:r w:rsidRPr="00F9110B">
        <w:t>1.</w:t>
      </w:r>
      <w:r w:rsidRPr="00F9110B">
        <w:tab/>
        <w:t>Tryckfrihetsförordningen (punkt 1)</w:t>
      </w:r>
      <w:r w:rsidRPr="00F9110B">
        <w:tab/>
        <w:t>9</w:t>
      </w:r>
    </w:p>
    <w:p w:rsidR="00A31B5B" w:rsidRPr="00F9110B" w:rsidRDefault="00A31B5B">
      <w:pPr>
        <w:pStyle w:val="Innehll2"/>
        <w:tabs>
          <w:tab w:val="left" w:pos="568"/>
        </w:tabs>
      </w:pPr>
      <w:r w:rsidRPr="00F9110B">
        <w:t>2.</w:t>
      </w:r>
      <w:r w:rsidRPr="00F9110B">
        <w:tab/>
        <w:t>Tryckfrihetsförordningen (punkt 1)</w:t>
      </w:r>
      <w:r w:rsidRPr="00F9110B">
        <w:tab/>
        <w:t>10</w:t>
      </w:r>
    </w:p>
    <w:p w:rsidR="00A31B5B" w:rsidRPr="00F9110B" w:rsidRDefault="00A31B5B">
      <w:pPr>
        <w:pStyle w:val="Innehll2"/>
        <w:tabs>
          <w:tab w:val="left" w:pos="568"/>
        </w:tabs>
      </w:pPr>
      <w:r w:rsidRPr="00F9110B">
        <w:t>3.</w:t>
      </w:r>
      <w:r w:rsidRPr="00F9110B">
        <w:tab/>
        <w:t>Brottsbalken (punkt 2)</w:t>
      </w:r>
      <w:r w:rsidRPr="00F9110B">
        <w:tab/>
        <w:t>12</w:t>
      </w:r>
    </w:p>
    <w:p w:rsidR="00A31B5B" w:rsidRPr="00F9110B" w:rsidRDefault="00A31B5B">
      <w:pPr>
        <w:pStyle w:val="Innehll2"/>
        <w:tabs>
          <w:tab w:val="left" w:pos="568"/>
        </w:tabs>
      </w:pPr>
      <w:r w:rsidRPr="00F9110B">
        <w:t>4.</w:t>
      </w:r>
      <w:r w:rsidRPr="00F9110B">
        <w:tab/>
        <w:t>Brottsbalken (punkt 2)</w:t>
      </w:r>
      <w:r w:rsidRPr="00F9110B">
        <w:tab/>
        <w:t>13</w:t>
      </w:r>
    </w:p>
    <w:p w:rsidR="00A31B5B" w:rsidRPr="00F9110B" w:rsidRDefault="00A31B5B">
      <w:pPr>
        <w:pStyle w:val="Innehll1"/>
      </w:pPr>
      <w:r w:rsidRPr="00F9110B">
        <w:t>Särskilt yttrande</w:t>
      </w:r>
      <w:r w:rsidRPr="00F9110B">
        <w:tab/>
        <w:t>15</w:t>
      </w:r>
    </w:p>
    <w:p w:rsidR="00A31B5B" w:rsidRPr="00F9110B" w:rsidRDefault="00A31B5B">
      <w:pPr>
        <w:pStyle w:val="Innehll2"/>
      </w:pPr>
      <w:r w:rsidRPr="00F9110B">
        <w:t>Transpersoner, m.fl. (punkt 1 och 2)</w:t>
      </w:r>
      <w:r w:rsidRPr="00F9110B">
        <w:tab/>
        <w:t>15</w:t>
      </w:r>
    </w:p>
    <w:p w:rsidR="00A31B5B" w:rsidRPr="00F9110B" w:rsidRDefault="00A31B5B">
      <w:pPr>
        <w:pStyle w:val="Innehll1"/>
      </w:pPr>
      <w:r w:rsidRPr="00F9110B">
        <w:t>Bilaga 1 Vilande grundlagsförslag</w:t>
      </w:r>
      <w:r w:rsidRPr="00F9110B">
        <w:tab/>
        <w:t>16</w:t>
      </w:r>
    </w:p>
    <w:p w:rsidR="00A31B5B" w:rsidRPr="00F9110B" w:rsidRDefault="00A31B5B">
      <w:pPr>
        <w:pStyle w:val="Innehll2"/>
      </w:pPr>
      <w:r w:rsidRPr="00F9110B">
        <w:t>Förslag till lag om ändring i tryckfrihetsförordningen</w:t>
      </w:r>
      <w:r w:rsidRPr="00F9110B">
        <w:tab/>
        <w:t>16</w:t>
      </w:r>
    </w:p>
    <w:p w:rsidR="00A31B5B" w:rsidRPr="00F9110B" w:rsidRDefault="00A31B5B">
      <w:pPr>
        <w:pStyle w:val="Innehll1"/>
      </w:pPr>
      <w:r w:rsidRPr="00F9110B">
        <w:t>Bilaga 2 Regeringens lagförslag</w:t>
      </w:r>
      <w:r w:rsidRPr="00F9110B">
        <w:tab/>
        <w:t>17</w:t>
      </w:r>
    </w:p>
    <w:p w:rsidR="00A31B5B" w:rsidRPr="00F9110B" w:rsidRDefault="00A31B5B">
      <w:pPr>
        <w:pStyle w:val="Innehll2"/>
      </w:pPr>
      <w:r w:rsidRPr="00F9110B">
        <w:t>Förslag till lag om ändring i brottsbalken</w:t>
      </w:r>
      <w:r w:rsidRPr="00F9110B">
        <w:tab/>
        <w:t>17</w:t>
      </w:r>
    </w:p>
    <w:p w:rsidR="00A31B5B" w:rsidRPr="00F9110B" w:rsidRDefault="00A31B5B">
      <w:pPr>
        <w:pStyle w:val="Innehll1"/>
      </w:pPr>
      <w:r w:rsidRPr="00F9110B">
        <w:t>Bilaga 3 Utskottets lagförslag</w:t>
      </w:r>
      <w:r w:rsidRPr="00F9110B">
        <w:tab/>
        <w:t>19</w:t>
      </w:r>
    </w:p>
    <w:p w:rsidR="00A31B5B" w:rsidRPr="00F9110B" w:rsidRDefault="00A31B5B">
      <w:pPr>
        <w:pStyle w:val="Innehll2"/>
      </w:pPr>
      <w:r w:rsidRPr="00F9110B">
        <w:t>Förslag till lag om ändring i brottsbalken</w:t>
      </w:r>
      <w:r w:rsidRPr="00F9110B">
        <w:tab/>
        <w:t>19</w:t>
      </w:r>
    </w:p>
    <w:p w:rsidR="00A31B5B" w:rsidRPr="00F9110B" w:rsidRDefault="00A31B5B"/>
    <w:p w:rsidR="00A31B5B" w:rsidRPr="00F9110B" w:rsidRDefault="00A31B5B">
      <w:pPr>
        <w:pStyle w:val="Normaltindrag"/>
        <w:sectPr w:rsidR="00000000" w:rsidRPr="00F9110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31B5B" w:rsidRPr="00F9110B" w:rsidRDefault="00A31B5B">
      <w:pPr>
        <w:pStyle w:val="Rubrik1"/>
        <w:rPr>
          <w:noProof w:val="0"/>
        </w:rPr>
      </w:pPr>
      <w:bookmarkStart w:id="5" w:name="_Toc23564365"/>
      <w:r w:rsidRPr="00F9110B">
        <w:rPr>
          <w:noProof w:val="0"/>
        </w:rPr>
        <w:t>Utskottets förslag till riksdagsbeslut</w:t>
      </w:r>
      <w:bookmarkEnd w:id="5"/>
    </w:p>
    <w:p w:rsidR="00A31B5B" w:rsidRPr="00F9110B" w:rsidRDefault="00A31B5B"/>
    <w:p w:rsidR="00A31B5B" w:rsidRPr="00F9110B" w:rsidRDefault="00A31B5B">
      <w:pPr>
        <w:pStyle w:val="Frslagspunkt"/>
        <w:spacing w:before="0"/>
        <w:rPr>
          <w:noProof w:val="0"/>
        </w:rPr>
      </w:pPr>
      <w:r w:rsidRPr="00F9110B">
        <w:rPr>
          <w:noProof w:val="0"/>
        </w:rPr>
        <w:t>1.</w:t>
      </w:r>
      <w:r w:rsidRPr="00F9110B">
        <w:rPr>
          <w:noProof w:val="0"/>
        </w:rPr>
        <w:tab/>
        <w:t>Tryckfrihetsförordningen</w:t>
      </w:r>
    </w:p>
    <w:p w:rsidR="00A31B5B" w:rsidRPr="00F9110B" w:rsidRDefault="00A31B5B">
      <w:pPr>
        <w:pStyle w:val="Frslagstext"/>
      </w:pPr>
      <w:r w:rsidRPr="00F9110B">
        <w:t>Riksdagen antar slutligt det i bilaga 1 intagna förslaget till lag om än</w:t>
      </w:r>
      <w:r w:rsidRPr="00F9110B">
        <w:t>d</w:t>
      </w:r>
      <w:r w:rsidRPr="00F9110B">
        <w:t xml:space="preserve">ring i tryckfrihetsförordningen.         </w:t>
      </w:r>
    </w:p>
    <w:p w:rsidR="00A31B5B" w:rsidRPr="00F9110B" w:rsidRDefault="00A31B5B">
      <w:pPr>
        <w:pStyle w:val="Reservationshnvisning"/>
        <w:outlineLvl w:val="0"/>
      </w:pPr>
      <w:r w:rsidRPr="00F9110B">
        <w:t>Reservation 1 (m)</w:t>
      </w:r>
    </w:p>
    <w:p w:rsidR="00A31B5B" w:rsidRPr="00F9110B" w:rsidRDefault="00A31B5B">
      <w:pPr>
        <w:pStyle w:val="Reservationshnvisning"/>
        <w:outlineLvl w:val="0"/>
      </w:pPr>
      <w:r w:rsidRPr="00F9110B">
        <w:t>Reservation 2 (kd)</w:t>
      </w:r>
      <w:bookmarkStart w:id="6" w:name="RESPARTI001"/>
      <w:bookmarkEnd w:id="6"/>
    </w:p>
    <w:p w:rsidR="00A31B5B" w:rsidRPr="00F9110B" w:rsidRDefault="00A31B5B">
      <w:pPr>
        <w:pStyle w:val="Frslagspunkt"/>
        <w:rPr>
          <w:noProof w:val="0"/>
        </w:rPr>
      </w:pPr>
      <w:r w:rsidRPr="00F9110B">
        <w:rPr>
          <w:noProof w:val="0"/>
        </w:rPr>
        <w:t>2.</w:t>
      </w:r>
      <w:r w:rsidRPr="00F9110B">
        <w:rPr>
          <w:noProof w:val="0"/>
        </w:rPr>
        <w:tab/>
        <w:t>Brottsbalken</w:t>
      </w:r>
    </w:p>
    <w:p w:rsidR="00A31B5B" w:rsidRPr="00F9110B" w:rsidRDefault="00A31B5B">
      <w:pPr>
        <w:pStyle w:val="Frslagstext"/>
      </w:pPr>
      <w:r w:rsidRPr="00F9110B">
        <w:t xml:space="preserve">Riksdagen antar utskottets i bilaga 3 intagna förslag till lag om ändring i brottsbalken. Därmed avslår riksdagen motion 2001/02:K29 yrkande 1.        </w:t>
      </w:r>
    </w:p>
    <w:p w:rsidR="00A31B5B" w:rsidRPr="00F9110B" w:rsidRDefault="00A31B5B">
      <w:pPr>
        <w:pStyle w:val="Reservationshnvisning"/>
        <w:outlineLvl w:val="0"/>
      </w:pPr>
      <w:r w:rsidRPr="00F9110B">
        <w:t>Reservation 3 (m)</w:t>
      </w:r>
    </w:p>
    <w:p w:rsidR="00A31B5B" w:rsidRPr="00F9110B" w:rsidRDefault="00A31B5B">
      <w:pPr>
        <w:pStyle w:val="Reservationshnvisning"/>
        <w:tabs>
          <w:tab w:val="left" w:pos="3119"/>
        </w:tabs>
        <w:outlineLvl w:val="0"/>
      </w:pPr>
      <w:r w:rsidRPr="00F9110B">
        <w:t>Reservation 4 (kd)</w:t>
      </w:r>
      <w:bookmarkStart w:id="7" w:name="RESPARTI002"/>
      <w:bookmarkEnd w:id="7"/>
    </w:p>
    <w:p w:rsidR="00A31B5B" w:rsidRPr="00F9110B" w:rsidRDefault="00A31B5B">
      <w:pPr>
        <w:pStyle w:val="Frslagstext"/>
      </w:pPr>
      <w:bookmarkStart w:id="8" w:name="Nästa_Hpunkt"/>
      <w:bookmarkEnd w:id="8"/>
    </w:p>
    <w:p w:rsidR="00A31B5B" w:rsidRPr="00F9110B" w:rsidRDefault="00A31B5B">
      <w:pPr>
        <w:pStyle w:val="Frslagstext"/>
      </w:pPr>
    </w:p>
    <w:p w:rsidR="00A31B5B" w:rsidRPr="00F9110B" w:rsidRDefault="00A31B5B">
      <w:pPr>
        <w:pStyle w:val="Normaltindrag"/>
      </w:pPr>
    </w:p>
    <w:p w:rsidR="00A31B5B" w:rsidRPr="00F9110B" w:rsidRDefault="00A31B5B">
      <w:pPr>
        <w:pStyle w:val="Utskriftsdatum"/>
        <w:outlineLvl w:val="0"/>
      </w:pPr>
      <w:r w:rsidRPr="00F9110B">
        <w:t>Stockholm den 24 oktober 2002</w:t>
      </w:r>
    </w:p>
    <w:p w:rsidR="00A31B5B" w:rsidRPr="00F9110B" w:rsidRDefault="00A31B5B">
      <w:r w:rsidRPr="00F9110B">
        <w:t>På konstitutionsutskottets vägnar</w:t>
      </w:r>
    </w:p>
    <w:p w:rsidR="00A31B5B" w:rsidRPr="00F9110B" w:rsidRDefault="00A31B5B">
      <w:pPr>
        <w:pStyle w:val="Ordfranden"/>
        <w:rPr>
          <w:noProof w:val="0"/>
        </w:rPr>
      </w:pPr>
      <w:bookmarkStart w:id="9" w:name="Ordförande"/>
      <w:bookmarkEnd w:id="9"/>
      <w:r w:rsidRPr="00F9110B">
        <w:rPr>
          <w:noProof w:val="0"/>
        </w:rPr>
        <w:t xml:space="preserve">Per Unckel </w:t>
      </w:r>
    </w:p>
    <w:p w:rsidR="00A31B5B" w:rsidRPr="00F9110B" w:rsidRDefault="00A31B5B">
      <w:pPr>
        <w:pStyle w:val="Deltagare"/>
        <w:rPr>
          <w:noProof w:val="0"/>
        </w:rPr>
      </w:pPr>
      <w:bookmarkStart w:id="10" w:name="Deltagare"/>
      <w:bookmarkEnd w:id="10"/>
      <w:r w:rsidRPr="00F9110B">
        <w:rPr>
          <w:noProof w:val="0"/>
        </w:rPr>
        <w:t>Följande ledamöter har deltagit i beslutet: Per Unckel (m), Göran Magnusson (s), Barbro Hietala Nordlund (s), Pär Axel Sahlberg (s), Kenth Högström (s), Ingvar Svensson (kd), Mats Einarsson (v), Mats Berglind (s), Henrik S Järrel (m), Anders Bengtsson (s), Tobias Krantz (fp), Kerstin Lundgren (c), Helene Petersson (s), Billy Gustafsson (s), Gustav Fridolin (mp), Hillevi Engström (m) och Liselott Hagberg (fp).</w:t>
      </w:r>
    </w:p>
    <w:p w:rsidR="00A31B5B" w:rsidRPr="00F9110B" w:rsidRDefault="00A31B5B">
      <w:pPr>
        <w:pStyle w:val="Normaltindrag"/>
      </w:pPr>
    </w:p>
    <w:p w:rsidR="00A31B5B" w:rsidRPr="00F9110B" w:rsidRDefault="00A31B5B">
      <w:pPr>
        <w:pStyle w:val="Normaltindrag"/>
        <w:sectPr w:rsidR="00000000" w:rsidRPr="00F9110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31B5B" w:rsidRPr="00F9110B" w:rsidRDefault="00A31B5B">
      <w:pPr>
        <w:pStyle w:val="Rubrik1"/>
        <w:rPr>
          <w:noProof w:val="0"/>
        </w:rPr>
      </w:pPr>
      <w:bookmarkStart w:id="11" w:name="_Toc23564366"/>
      <w:r w:rsidRPr="00F9110B">
        <w:rPr>
          <w:noProof w:val="0"/>
        </w:rPr>
        <w:t>Redogörelse för ärendet</w:t>
      </w:r>
      <w:bookmarkEnd w:id="11"/>
    </w:p>
    <w:p w:rsidR="00A31B5B" w:rsidRPr="00F9110B" w:rsidRDefault="00A31B5B"/>
    <w:p w:rsidR="00A31B5B" w:rsidRPr="00F9110B" w:rsidRDefault="00A31B5B">
      <w:pPr>
        <w:pStyle w:val="Rubrik2"/>
        <w:spacing w:before="0"/>
      </w:pPr>
      <w:bookmarkStart w:id="12" w:name="_Toc23564367"/>
      <w:r w:rsidRPr="00F9110B">
        <w:t>Vilande grundlagsförslag</w:t>
      </w:r>
      <w:bookmarkEnd w:id="12"/>
    </w:p>
    <w:p w:rsidR="00A31B5B" w:rsidRPr="00F9110B" w:rsidRDefault="00A31B5B">
      <w:r w:rsidRPr="00F9110B">
        <w:t>Riksdagen beslutade den 15 maj 2002 (bet. 2001/02:KU23, rskr. 2001/02:234) att som vilande anta utskottets förslag till lag om ändring i tryckfrihetsförordningen (se bilaga 1).</w:t>
      </w:r>
    </w:p>
    <w:p w:rsidR="00A31B5B" w:rsidRPr="00F9110B" w:rsidRDefault="00A31B5B">
      <w:pPr>
        <w:pStyle w:val="Rubrik2"/>
      </w:pPr>
      <w:bookmarkStart w:id="13" w:name="_Toc23564368"/>
      <w:r w:rsidRPr="00F9110B">
        <w:t>Förslag till följdlagstiftning</w:t>
      </w:r>
      <w:bookmarkEnd w:id="13"/>
    </w:p>
    <w:p w:rsidR="00A31B5B" w:rsidRPr="00F9110B" w:rsidRDefault="00A31B5B">
      <w:pPr>
        <w:pStyle w:val="Rubrik3"/>
        <w:rPr>
          <w:noProof w:val="0"/>
        </w:rPr>
      </w:pPr>
      <w:bookmarkStart w:id="14" w:name="_Toc23564369"/>
      <w:r w:rsidRPr="00F9110B">
        <w:rPr>
          <w:noProof w:val="0"/>
        </w:rPr>
        <w:t>Propositionen</w:t>
      </w:r>
      <w:bookmarkEnd w:id="14"/>
    </w:p>
    <w:p w:rsidR="00A31B5B" w:rsidRPr="00F9110B" w:rsidRDefault="00A31B5B">
      <w:r w:rsidRPr="00F9110B">
        <w:t>I proposition 2001/02:59 föreslås att riksdagen antar det i propositionen framlagda förslaget till</w:t>
      </w:r>
    </w:p>
    <w:p w:rsidR="00A31B5B" w:rsidRPr="00F9110B" w:rsidRDefault="00A31B5B">
      <w:pPr>
        <w:pStyle w:val="Normaltindrag"/>
      </w:pPr>
      <w:r w:rsidRPr="00F9110B">
        <w:t>2. lag om ändring i brottsbalken.</w:t>
      </w:r>
    </w:p>
    <w:p w:rsidR="00A31B5B" w:rsidRPr="00F9110B" w:rsidRDefault="00A31B5B">
      <w:pPr>
        <w:pStyle w:val="Normaltindrag"/>
      </w:pPr>
      <w:r w:rsidRPr="00F9110B">
        <w:t xml:space="preserve">Lagförslaget återfinns i bilaga 2. </w:t>
      </w:r>
    </w:p>
    <w:p w:rsidR="00A31B5B" w:rsidRPr="00F9110B" w:rsidRDefault="00A31B5B">
      <w:pPr>
        <w:pStyle w:val="Rubrik3"/>
        <w:rPr>
          <w:noProof w:val="0"/>
        </w:rPr>
      </w:pPr>
      <w:bookmarkStart w:id="15" w:name="_Toc23564370"/>
      <w:r w:rsidRPr="00F9110B">
        <w:rPr>
          <w:noProof w:val="0"/>
        </w:rPr>
        <w:t>Motionen</w:t>
      </w:r>
      <w:bookmarkEnd w:id="15"/>
    </w:p>
    <w:p w:rsidR="00A31B5B" w:rsidRPr="00F9110B" w:rsidRDefault="00A31B5B">
      <w:r w:rsidRPr="00F9110B">
        <w:t>2001/02:K29 av av Per Unckel m.fl. (m) vari föreslås att riksdagen fattar följande beslut</w:t>
      </w:r>
    </w:p>
    <w:p w:rsidR="00A31B5B" w:rsidRPr="00F9110B" w:rsidRDefault="00A31B5B">
      <w:pPr>
        <w:pStyle w:val="Normaltindrag"/>
      </w:pPr>
      <w:r w:rsidRPr="00F9110B">
        <w:t>1. Riksdagen beslutar att avslå regeringens förslag om att utvidga tilläm</w:t>
      </w:r>
      <w:r w:rsidRPr="00F9110B">
        <w:t>p</w:t>
      </w:r>
      <w:r w:rsidRPr="00F9110B">
        <w:t>ningsområdet för bestämmelsen om hets mot folkgrupp i 16 kap. 8 § brott</w:t>
      </w:r>
      <w:r w:rsidRPr="00F9110B">
        <w:t>s</w:t>
      </w:r>
      <w:r w:rsidRPr="00F9110B">
        <w:t xml:space="preserve">balken i enlighet med vad som anförs i motionen. </w:t>
      </w:r>
    </w:p>
    <w:p w:rsidR="00A31B5B" w:rsidRPr="00F9110B" w:rsidRDefault="00A31B5B"/>
    <w:p w:rsidR="00A31B5B" w:rsidRPr="00F9110B" w:rsidRDefault="00A31B5B"/>
    <w:p w:rsidR="00A31B5B" w:rsidRPr="00F9110B" w:rsidRDefault="00A31B5B">
      <w:pPr>
        <w:pStyle w:val="Normaltindrag"/>
        <w:sectPr w:rsidR="00000000" w:rsidRPr="00F9110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31B5B" w:rsidRPr="00F9110B" w:rsidRDefault="00A31B5B">
      <w:pPr>
        <w:pStyle w:val="Rubrik1"/>
        <w:rPr>
          <w:noProof w:val="0"/>
        </w:rPr>
      </w:pPr>
      <w:bookmarkStart w:id="16" w:name="_Toc23564371"/>
      <w:r w:rsidRPr="00F9110B">
        <w:rPr>
          <w:noProof w:val="0"/>
        </w:rPr>
        <w:t>Utskottets överväganden</w:t>
      </w:r>
      <w:bookmarkEnd w:id="16"/>
    </w:p>
    <w:p w:rsidR="00A31B5B" w:rsidRPr="00F9110B" w:rsidRDefault="00A31B5B">
      <w:pPr>
        <w:pStyle w:val="Utskottetsvervganden-RubrikFrslagspunkt"/>
        <w:spacing w:before="0"/>
        <w:outlineLvl w:val="0"/>
      </w:pPr>
      <w:bookmarkStart w:id="17" w:name="_Toc23564372"/>
      <w:r w:rsidRPr="00F9110B">
        <w:t>Det vilande grundlagsförslaget, m.m.</w:t>
      </w:r>
      <w:bookmarkEnd w:id="17"/>
    </w:p>
    <w:p w:rsidR="00A31B5B" w:rsidRPr="00F9110B" w:rsidRDefault="00A31B5B">
      <w:pPr>
        <w:pStyle w:val="Utskottsfrslagikorthet-Rubrik"/>
        <w:outlineLvl w:val="0"/>
        <w:rPr>
          <w:noProof w:val="0"/>
        </w:rPr>
      </w:pPr>
      <w:r w:rsidRPr="00F9110B">
        <w:rPr>
          <w:noProof w:val="0"/>
        </w:rPr>
        <w:t>Utskottets förslag i korthet</w:t>
      </w:r>
    </w:p>
    <w:p w:rsidR="00A31B5B" w:rsidRPr="00F9110B" w:rsidRDefault="00A31B5B">
      <w:pPr>
        <w:pStyle w:val="Utskottsfrslagikorthet-Text"/>
      </w:pPr>
      <w:r w:rsidRPr="00F9110B">
        <w:t>Utskottet föreslår att riksdagen slutligt antar det vilande förslaget till lag om ändring i tryckfrihetsförordningen (se bilaga 1).</w:t>
      </w:r>
    </w:p>
    <w:p w:rsidR="00A31B5B" w:rsidRPr="00F9110B" w:rsidRDefault="00A31B5B">
      <w:pPr>
        <w:pStyle w:val="Utskottsfrslagikorthet-Text"/>
      </w:pPr>
      <w:r w:rsidRPr="00F9110B">
        <w:t>Ut</w:t>
      </w:r>
      <w:r w:rsidRPr="00F9110B">
        <w:softHyphen/>
        <w:t>skottet föreslår att riksdagen antar utskottets förslag till lag om ändring i brottsbalken (se bilaga 3). Utskottet föreslår att riksdagen avslår motion 2001/02:K29 yrkande 1.</w:t>
      </w:r>
    </w:p>
    <w:p w:rsidR="00A31B5B" w:rsidRPr="00F9110B" w:rsidRDefault="00A31B5B">
      <w:pPr>
        <w:pStyle w:val="Rubrik2"/>
      </w:pPr>
      <w:bookmarkStart w:id="18" w:name="_Toc23564373"/>
      <w:r w:rsidRPr="00F9110B">
        <w:t>Det vilande grundlagsförslaget. Utskottets anmälan och yttrande</w:t>
      </w:r>
      <w:bookmarkEnd w:id="18"/>
    </w:p>
    <w:p w:rsidR="00A31B5B" w:rsidRPr="00F9110B" w:rsidRDefault="00A31B5B">
      <w:r w:rsidRPr="00F9110B">
        <w:t>Det vilande förslaget till lag om ändring i tryckfrihetsförordningen innebär att tillämpningsområdet för bestämmelsen om brottet hets mot folkgrupp utvi</w:t>
      </w:r>
      <w:r w:rsidRPr="00F9110B">
        <w:t>d</w:t>
      </w:r>
      <w:r w:rsidRPr="00F9110B">
        <w:t>gas så att också hets med anspelning på sexuell läggning omfattas. Ändringen föreslås träda i kraft den 1 januari 2003.</w:t>
      </w:r>
    </w:p>
    <w:p w:rsidR="00A31B5B" w:rsidRPr="00F9110B" w:rsidRDefault="00A31B5B">
      <w:pPr>
        <w:pStyle w:val="Normaltindrag"/>
      </w:pPr>
      <w:r w:rsidRPr="00F9110B">
        <w:t>Genom detta betänkande anmäler utskottet det vilande förslaget till lag om ändring i tryckfrihetsförordningen till kammaren för slutligt beslut.</w:t>
      </w:r>
    </w:p>
    <w:p w:rsidR="00A31B5B" w:rsidRPr="00F9110B" w:rsidRDefault="00A31B5B">
      <w:pPr>
        <w:pStyle w:val="Normaltindrag"/>
      </w:pPr>
      <w:r w:rsidRPr="00F9110B">
        <w:t>Med hänvisning till vad utskottet anförde vid ärendets första behandling tillstyrker utskottet att riksdagen slutligt antar förslaget.</w:t>
      </w:r>
    </w:p>
    <w:p w:rsidR="00A31B5B" w:rsidRPr="00F9110B" w:rsidRDefault="00A31B5B">
      <w:pPr>
        <w:pStyle w:val="Rubrik2"/>
      </w:pPr>
      <w:bookmarkStart w:id="19" w:name="_Toc23564374"/>
      <w:r w:rsidRPr="00F9110B">
        <w:t>Följdlagstiftningen</w:t>
      </w:r>
      <w:bookmarkEnd w:id="19"/>
    </w:p>
    <w:p w:rsidR="00A31B5B" w:rsidRPr="00F9110B" w:rsidRDefault="00A31B5B">
      <w:pPr>
        <w:pStyle w:val="Rubrik3"/>
        <w:rPr>
          <w:noProof w:val="0"/>
        </w:rPr>
      </w:pPr>
      <w:bookmarkStart w:id="20" w:name="_Toc23564375"/>
      <w:r w:rsidRPr="00F9110B">
        <w:rPr>
          <w:noProof w:val="0"/>
        </w:rPr>
        <w:t>Propositionen</w:t>
      </w:r>
      <w:bookmarkEnd w:id="20"/>
    </w:p>
    <w:p w:rsidR="00A31B5B" w:rsidRPr="00F9110B" w:rsidRDefault="00A31B5B">
      <w:r w:rsidRPr="00F9110B">
        <w:t>Proposition 2001/02:59 hänvisades till konstitutionsutskottet. Utskottet b</w:t>
      </w:r>
      <w:r w:rsidRPr="00F9110B">
        <w:t>e</w:t>
      </w:r>
      <w:r w:rsidRPr="00F9110B">
        <w:t>slutade den 12 december 2001 att till justitieutskottet överlämna propositi</w:t>
      </w:r>
      <w:r w:rsidRPr="00F9110B">
        <w:t>o</w:t>
      </w:r>
      <w:r w:rsidRPr="00F9110B">
        <w:t>nens lagförslag 2.2 Förslag till lag om ändring i brottsbalken såvitt avsåg förslaget till ändring i 17 kap. 10 § om övergrepp i rättssak. Justitieutskottet behandlade förslaget i betänkande 2001/02:JuU12, riksdagen följde justitieu</w:t>
      </w:r>
      <w:r w:rsidRPr="00F9110B">
        <w:t>t</w:t>
      </w:r>
      <w:r w:rsidRPr="00F9110B">
        <w:t>skottets förslag (rskr. 2001/02:164, SFS 2002:117).</w:t>
      </w:r>
    </w:p>
    <w:p w:rsidR="00A31B5B" w:rsidRPr="00F9110B" w:rsidRDefault="00A31B5B">
      <w:pPr>
        <w:pStyle w:val="Normaltindrag"/>
      </w:pPr>
      <w:r w:rsidRPr="00F9110B">
        <w:t xml:space="preserve">Konstitutionsutskottet behandlade i betänkande 2001/02:KU23 regeringens förslag till ändringar i bl.a. brottsbalken. Utskottet föreslog i betänkandet </w:t>
      </w:r>
      <w:r w:rsidRPr="00F9110B">
        <w:t xml:space="preserve">att riksdagen skulle skjuta upp behandlingen av regeringens förslag till lag om ändring i brottsbalken såvitt avsåg 16 kap. 8 § samt motion 2001/02:K29 yrkande 1 till 2002/03 års riksmöte. Riksdagen följde utskottets förslag. </w:t>
      </w:r>
    </w:p>
    <w:p w:rsidR="00A31B5B" w:rsidRPr="00F9110B" w:rsidRDefault="00A31B5B">
      <w:pPr>
        <w:pStyle w:val="Normaltindrag"/>
      </w:pPr>
      <w:r w:rsidRPr="00F9110B">
        <w:t>Konstitutionsutskottet behandlar i detta betänkande propositionens förslag till lag om ändring i brottsbalken såvitt avser 16 kap. 8 §.</w:t>
      </w:r>
    </w:p>
    <w:p w:rsidR="00A31B5B" w:rsidRPr="00F9110B" w:rsidRDefault="00A31B5B">
      <w:pPr>
        <w:rPr>
          <w:vertAlign w:val="superscript"/>
        </w:rPr>
      </w:pPr>
      <w:r w:rsidRPr="00F9110B">
        <w:t>Regeringen föreslår i propositionen att brottsbalkens bestämmelse om hets mot folkgrupp utvidgas så att den omfattar även hot och uttryck för missak</w:t>
      </w:r>
      <w:r w:rsidRPr="00F9110B">
        <w:t>t</w:t>
      </w:r>
      <w:r w:rsidRPr="00F9110B">
        <w:t>ning mot folkgrupp eller annan sådan grupp av personer med anspelning på sexuell läggning. Kriminaliseringen bör, enligt regeringen, ske genom en utvidgning av de gällande bestämmel</w:t>
      </w:r>
      <w:r w:rsidRPr="00F9110B">
        <w:softHyphen/>
        <w:t>serna om hets mot fol</w:t>
      </w:r>
      <w:r w:rsidRPr="00F9110B">
        <w:t>k</w:t>
      </w:r>
      <w:r w:rsidRPr="00F9110B">
        <w:t>grupp.</w:t>
      </w:r>
    </w:p>
    <w:p w:rsidR="00A31B5B" w:rsidRPr="00F9110B" w:rsidRDefault="00A31B5B">
      <w:pPr>
        <w:pStyle w:val="Normaltindrag"/>
      </w:pPr>
      <w:r w:rsidRPr="00F9110B">
        <w:t>Den valda lagtekniska lösningen syftar, enligt regeringen, till att mar</w:t>
      </w:r>
      <w:r w:rsidRPr="00F9110B">
        <w:softHyphen/>
        <w:t>kera att samma principiella överväganden skall göras vid bedömningen av en sådan gärning som avser exempelvis homosexuella som vid be</w:t>
      </w:r>
      <w:r w:rsidRPr="00F9110B">
        <w:softHyphen/>
        <w:t>dömningen av en gärning som avser någon av de andra grupper som skyddas av bestämme</w:t>
      </w:r>
      <w:r w:rsidRPr="00F9110B">
        <w:t>l</w:t>
      </w:r>
      <w:r w:rsidRPr="00F9110B">
        <w:t>serna om hets mot folkgrupp. Reger</w:t>
      </w:r>
      <w:r w:rsidRPr="00F9110B">
        <w:softHyphen/>
        <w:t>ingen vill framhålla att förslaget till en kriminalisering av hets med anspelning på sexuell läggning, lika lite som den motsvarande i dag gäl</w:t>
      </w:r>
      <w:r w:rsidRPr="00F9110B">
        <w:softHyphen/>
        <w:t>lande kriminaliseringen av hets mot folkgrupp, är avsett att hindra en fri och saklig debatt. Meningen är alltså in</w:t>
      </w:r>
      <w:r w:rsidRPr="00F9110B">
        <w:t>te att hindra reson</w:t>
      </w:r>
      <w:r w:rsidRPr="00F9110B">
        <w:t>e</w:t>
      </w:r>
      <w:r w:rsidRPr="00F9110B">
        <w:t>mang och dis</w:t>
      </w:r>
      <w:r w:rsidRPr="00F9110B">
        <w:softHyphen/>
        <w:t>kussioner om homosexualitet, bisexualitet eller heterosexualitet vare sig inom kyrkor eller på andra håll i samhället. Det måste också vara möjligt för homosexuella och andra att i en fri och öppen debatt bemöta och till</w:t>
      </w:r>
      <w:r w:rsidRPr="00F9110B">
        <w:softHyphen/>
        <w:t xml:space="preserve">rättalägga felaktiga uppfattningar och på så sätt motverka fördomar som annars riskerar att konserveras och leva kvar i det fördolda. </w:t>
      </w:r>
    </w:p>
    <w:p w:rsidR="00A31B5B" w:rsidRPr="00F9110B" w:rsidRDefault="00A31B5B">
      <w:pPr>
        <w:pStyle w:val="Normaltindrag"/>
      </w:pPr>
      <w:r w:rsidRPr="00F9110B">
        <w:t>Den nuvarande lagstiftningen om hets mot folkgrupp innehåller också b</w:t>
      </w:r>
      <w:r w:rsidRPr="00F9110B">
        <w:t>e</w:t>
      </w:r>
      <w:r w:rsidRPr="00F9110B">
        <w:t>gränsningar så att inte varje yttrande som innehåller omdömen om en viss grupp eller varje uttryck för missaktning är straffbelagt. Således sägs i föra</w:t>
      </w:r>
      <w:r w:rsidRPr="00F9110B">
        <w:t>r</w:t>
      </w:r>
      <w:r w:rsidRPr="00F9110B">
        <w:t>betena bl.a. att det för straffbarhet bör krävas att det är fullt klart att uttalandet överskrider gränsen för en saklig och vederhäftig diskus</w:t>
      </w:r>
      <w:r w:rsidRPr="00F9110B">
        <w:softHyphen/>
        <w:t>sion rörande gruppen i fråga. Vid prövningen av om en gärning utgör straffbar hets mot exempelvis homosexuella, måste också uttalandet eller meddelandet – liksom annars när det gäller prövningen av om en gärning utg</w:t>
      </w:r>
      <w:r w:rsidRPr="00F9110B">
        <w:t>ör hets mot folkgrupp – alltid bedömas i sitt sammanhang. M</w:t>
      </w:r>
      <w:r w:rsidRPr="00F9110B">
        <w:t>o</w:t>
      </w:r>
      <w:r w:rsidRPr="00F9110B">
        <w:t xml:space="preserve">tiven för gärningen måste därvid beaktas. </w:t>
      </w:r>
    </w:p>
    <w:p w:rsidR="00A31B5B" w:rsidRPr="00F9110B" w:rsidRDefault="00A31B5B">
      <w:pPr>
        <w:pStyle w:val="Normaltindrag"/>
      </w:pPr>
      <w:r w:rsidRPr="00F9110B">
        <w:t>Ett visst utrymme för straffria kritiska eller liknande uttalanden måste självfallet finnas. Avgörande blir hur meddelandet framstår vid en ob</w:t>
      </w:r>
      <w:r w:rsidRPr="00F9110B">
        <w:softHyphen/>
        <w:t>jektiv bedömning. Vidare måste det med hänsyn till sammanhanget stå klart att gärningsmannens uppsåt med meddelandet varit att sprida ett sådant medd</w:t>
      </w:r>
      <w:r w:rsidRPr="00F9110B">
        <w:t>e</w:t>
      </w:r>
      <w:r w:rsidRPr="00F9110B">
        <w:t xml:space="preserve">lande som innefattar hot mot eller missaktning för gruppen i fråga. </w:t>
      </w:r>
    </w:p>
    <w:p w:rsidR="00A31B5B" w:rsidRPr="00F9110B" w:rsidRDefault="00A31B5B">
      <w:pPr>
        <w:pStyle w:val="Normaltindrag"/>
      </w:pPr>
      <w:r w:rsidRPr="00F9110B">
        <w:t>Det som nu föreslås kriminaliseras är hets mot kollektivt bestämda grupper med anspelning på sexuell läggning. Det rör sig alltså om sådana kränkande omdömen och hotfulla uttalanden om främst homosexuella som grupp som tar sin utgångspunkt i att gruppen har den läggning den har. Att endast c</w:t>
      </w:r>
      <w:r w:rsidRPr="00F9110B">
        <w:t>itera och diskutera exempelvis religiösa urkunder faller inte inom det straffbara omr</w:t>
      </w:r>
      <w:r w:rsidRPr="00F9110B">
        <w:t>å</w:t>
      </w:r>
      <w:r w:rsidRPr="00F9110B">
        <w:t>det enligt förslaget. Det bör däremot inte – lika lite som det i dag är tillåtet att utifrån religiösa texter hota eller ut</w:t>
      </w:r>
      <w:r w:rsidRPr="00F9110B">
        <w:softHyphen/>
        <w:t>trycka missaktning för muslimer eller kristna – vara tillåtet att använda sådant material för att hota eller uttrycka missaktning för homosexuella som grupp. Det är här viktigt att skilja uttala</w:t>
      </w:r>
      <w:r w:rsidRPr="00F9110B">
        <w:t>n</w:t>
      </w:r>
      <w:r w:rsidRPr="00F9110B">
        <w:t>den och meddelanden som anspelar på läggningen som sådan och uttrycker hot eller missaktning mot kollektive</w:t>
      </w:r>
      <w:r w:rsidRPr="00F9110B">
        <w:t>t på grund av denna läggning från sådana uttalanden eller andra meddelanden som anspelar på beteenden eller sådana uttryck som läggningen kan ta sig, men som inte kan tänkas syfta till att krä</w:t>
      </w:r>
      <w:r w:rsidRPr="00F9110B">
        <w:t>n</w:t>
      </w:r>
      <w:r w:rsidRPr="00F9110B">
        <w:t xml:space="preserve">ka eller hota hela den grupp av människor som har denna läggning. Det måste t.ex. – på motsvarande sätt som i dag gäller i fråga om exempelvis uttalanden med anspelning på trosbekännelser – vara möjligt att diskutera olika livsstilar och livsåskådningar. </w:t>
      </w:r>
    </w:p>
    <w:p w:rsidR="00A31B5B" w:rsidRPr="00F9110B" w:rsidRDefault="00A31B5B">
      <w:pPr>
        <w:pStyle w:val="Rubrik3"/>
        <w:rPr>
          <w:noProof w:val="0"/>
        </w:rPr>
      </w:pPr>
      <w:bookmarkStart w:id="21" w:name="_Toc23564376"/>
      <w:r w:rsidRPr="00F9110B">
        <w:rPr>
          <w:noProof w:val="0"/>
        </w:rPr>
        <w:t>Motionen</w:t>
      </w:r>
      <w:bookmarkEnd w:id="21"/>
    </w:p>
    <w:p w:rsidR="00A31B5B" w:rsidRPr="00F9110B" w:rsidRDefault="00A31B5B">
      <w:r w:rsidRPr="00F9110B">
        <w:t>I motion 2001/02:K29 av Per Unckel m.fl. (m) föreslås att riksdagen beslutar att avslå regeringens förslag om att utvidga tillämpningsområdet för bestä</w:t>
      </w:r>
      <w:r w:rsidRPr="00F9110B">
        <w:t>m</w:t>
      </w:r>
      <w:r w:rsidRPr="00F9110B">
        <w:t>melsen om hets mot folkgrupp i 16 kap. 8 § brottsbalken (yrkande 1) i enli</w:t>
      </w:r>
      <w:r w:rsidRPr="00F9110B">
        <w:t>g</w:t>
      </w:r>
      <w:r w:rsidRPr="00F9110B">
        <w:t>het med vad som anförs i motionen. Enligt motionärerna skall alla människor i ett demokratiskt samhälle ha lika rätt, oavsett hudfärg, kön eller sexuell läggning. Tyvärr förekommer det att människor trakasseras och utsätts för brott bl.a. på grund av sin sexuella läggning. Det är oacceptabelt att någon utsätts för hot eller våld på grund av sin sexuella läggning. Motionärerna anser att det finns all anledning att agera kraftfullt mo</w:t>
      </w:r>
      <w:r w:rsidRPr="00F9110B">
        <w:t>t sådana brottsliga handlingar. För Moderata samlingspartiet är bestämmelsen i 2 kap. 1 § r</w:t>
      </w:r>
      <w:r w:rsidRPr="00F9110B">
        <w:t>e</w:t>
      </w:r>
      <w:r w:rsidRPr="00F9110B">
        <w:t>geringsformen (RF) om varje medborgares rätt till yttrandefrihet en av de mest fundamentala principerna för ett fritt och demokratiskt samhälle. Vä</w:t>
      </w:r>
      <w:r w:rsidRPr="00F9110B">
        <w:t>r</w:t>
      </w:r>
      <w:r w:rsidRPr="00F9110B">
        <w:t xml:space="preserve">nandet om det fria meningsutbytet som en grundpelare i det fria samhället innebär att även moraliskt förkastliga åsikter ges utrymme. Priset för den egna yttrandefriheten är att också acceptera andra människors rätt att uttrycka sin uppfattning. Motionärerna ifrågasätter </w:t>
      </w:r>
      <w:r w:rsidRPr="00F9110B">
        <w:t>om hets med anspelning på sexuell läggning skall kriminaliseras på det sätt som nu föreslagits. I stället för att rikta in sig på skydd av olika grupper menar motionärerna att en lämpligare lösning skulle vara att ta sikte på brott som begås mot enskilda individer. Regeringens förslag innebär att en ny straffsanktion införs. Frågan är, enligt motionärerna, om regeringens förslag innebär en förbättring av skyddet för t.ex. homosexuella. Genom brottsbalkens bestämmelser om förtal, olaga hot, misshandel och up</w:t>
      </w:r>
      <w:r w:rsidRPr="00F9110B">
        <w:t>pvigling m.m. skyddas alla människor mot dylika angrepp på sin person – oavsett sexuell läggning. Motionärerna anser att förutsättnin</w:t>
      </w:r>
      <w:r w:rsidRPr="00F9110B">
        <w:t>g</w:t>
      </w:r>
      <w:r w:rsidRPr="00F9110B">
        <w:t xml:space="preserve">arna att ytterligare förbättra möjligheterna att komma åt kriminella handlingar i form av hets, hot o.d. genom denna lagstiftning bör utredas. Det finns en risk med att i lag ange grupper som anses särskilt skyddsvärda. En översyn av hela lagstiftningen om hets mot folkgrupp är därför påkallad. Möjligheterna att göra lagstiftningen mer generell bör utredas. </w:t>
      </w:r>
    </w:p>
    <w:p w:rsidR="00A31B5B" w:rsidRPr="00F9110B" w:rsidRDefault="00A31B5B">
      <w:pPr>
        <w:pStyle w:val="Rubrik3"/>
        <w:rPr>
          <w:noProof w:val="0"/>
        </w:rPr>
      </w:pPr>
      <w:bookmarkStart w:id="22" w:name="_Toc23564377"/>
      <w:r w:rsidRPr="00F9110B">
        <w:rPr>
          <w:noProof w:val="0"/>
        </w:rPr>
        <w:t>Utskottet</w:t>
      </w:r>
      <w:bookmarkEnd w:id="22"/>
    </w:p>
    <w:p w:rsidR="00A31B5B" w:rsidRPr="00F9110B" w:rsidRDefault="00A31B5B">
      <w:r w:rsidRPr="00F9110B">
        <w:t>Utskottet gjorde i betänkande 2001/02:KU23 bl.a. följande ställningstagande.</w:t>
      </w:r>
    </w:p>
    <w:p w:rsidR="00A31B5B" w:rsidRPr="00F9110B" w:rsidRDefault="00A31B5B">
      <w:pPr>
        <w:pStyle w:val="Citat"/>
        <w:spacing w:before="62"/>
      </w:pPr>
      <w:r w:rsidRPr="00F9110B">
        <w:t>Utskottet delar regeringens bedömning att hets mot homosexuella la</w:t>
      </w:r>
      <w:r w:rsidRPr="00F9110B">
        <w:t>g</w:t>
      </w:r>
      <w:r w:rsidRPr="00F9110B">
        <w:t>stiftningstekniskt bör behandlas på samma sätt som hets mot andra gru</w:t>
      </w:r>
      <w:r w:rsidRPr="00F9110B">
        <w:t>p</w:t>
      </w:r>
      <w:r w:rsidRPr="00F9110B">
        <w:t>per som sky</w:t>
      </w:r>
      <w:r w:rsidRPr="00F9110B">
        <w:t>d</w:t>
      </w:r>
      <w:r w:rsidRPr="00F9110B">
        <w:t xml:space="preserve">das av den nu gällande bestämmelsen. </w:t>
      </w:r>
    </w:p>
    <w:p w:rsidR="00A31B5B" w:rsidRPr="00F9110B" w:rsidRDefault="00A31B5B">
      <w:pPr>
        <w:pStyle w:val="CitatIndrag"/>
      </w:pPr>
      <w:r w:rsidRPr="00F9110B">
        <w:t>När det gäller frågan om skyddet enligt den föreslagna utvidgade kr</w:t>
      </w:r>
      <w:r w:rsidRPr="00F9110B">
        <w:t>i</w:t>
      </w:r>
      <w:r w:rsidRPr="00F9110B">
        <w:t>minaliseringen bör begränsas till att avse endast homosexuell läggning anser regeringen att även om det är just de homosexuellas utsatta situ</w:t>
      </w:r>
      <w:r w:rsidRPr="00F9110B">
        <w:t>a</w:t>
      </w:r>
      <w:r w:rsidRPr="00F9110B">
        <w:t>tion som motiverar att tillämpningsområdet för bestämmelsen om hets mot folkgrupp utvidgas bör den lagtekniska utformningen av denna u</w:t>
      </w:r>
      <w:r w:rsidRPr="00F9110B">
        <w:t>t</w:t>
      </w:r>
      <w:r w:rsidRPr="00F9110B">
        <w:t>vidgning ske på ett sätt som stämmer överens med utformningen av b</w:t>
      </w:r>
      <w:r w:rsidRPr="00F9110B">
        <w:t>e</w:t>
      </w:r>
      <w:r w:rsidRPr="00F9110B">
        <w:t>stämmelsen i övrigt. Regeringen anser att brottsbeskrivningen generellt bör avse straffbara anspelningar på sexuell läggning samt att begreppet sexuell läggning bör, n</w:t>
      </w:r>
      <w:r w:rsidRPr="00F9110B">
        <w:t>är det förekommer i lagtext, avse homo-, bi- och heterosexuell läggning. Utskottet delar regeringens bedömning när det gäller förslaget till 16 kap. 8 § första stycket brottsbalken och 7 kap. 4 § 11 tryckfrihetsföror</w:t>
      </w:r>
      <w:r w:rsidRPr="00F9110B">
        <w:t>d</w:t>
      </w:r>
      <w:r w:rsidRPr="00F9110B">
        <w:t xml:space="preserve">ningen. </w:t>
      </w:r>
    </w:p>
    <w:p w:rsidR="00A31B5B" w:rsidRPr="00F9110B" w:rsidRDefault="00A31B5B">
      <w:r w:rsidRPr="00F9110B">
        <w:t>Utskottet vidhåller sin bedömning och tillstyrker att 16 kap. 8 § brottsbalken ändras. Till följd av en redaktionell rättelse bör förslaget till ändring i 16 kap. 8 § brottsbalken få den lydelse som framgår av utskottets framlagda förslag till lag om ändring i brottsbalken, se bilaga 3</w:t>
      </w:r>
      <w:r w:rsidRPr="00F9110B">
        <w:t xml:space="preserve">. Utskottet avstyrker bifall till motion 2001/02:K29 yrkande 1. </w:t>
      </w:r>
    </w:p>
    <w:p w:rsidR="00A31B5B" w:rsidRPr="00F9110B" w:rsidRDefault="00A31B5B"/>
    <w:p w:rsidR="00A31B5B" w:rsidRPr="00F9110B" w:rsidRDefault="00A31B5B">
      <w:pPr>
        <w:pStyle w:val="Normaltindrag"/>
        <w:sectPr w:rsidR="00000000" w:rsidRPr="00F9110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31B5B" w:rsidRPr="00F9110B" w:rsidRDefault="00A31B5B">
      <w:pPr>
        <w:pStyle w:val="Rubrik1"/>
        <w:rPr>
          <w:noProof w:val="0"/>
        </w:rPr>
      </w:pPr>
      <w:bookmarkStart w:id="23" w:name="_Toc23564378"/>
      <w:r w:rsidRPr="00F9110B">
        <w:rPr>
          <w:noProof w:val="0"/>
        </w:rPr>
        <w:t>Reservationer</w:t>
      </w:r>
      <w:bookmarkEnd w:id="23"/>
    </w:p>
    <w:p w:rsidR="00A31B5B" w:rsidRPr="00F9110B" w:rsidRDefault="00A31B5B">
      <w:r w:rsidRPr="00F9110B">
        <w:t>Utskottets förslag till riksdagsbeslut och ställningstaganden har föranlett följande reservationer. I rubriken anges inom parentes vilken punkt i utsko</w:t>
      </w:r>
      <w:r w:rsidRPr="00F9110B">
        <w:t>t</w:t>
      </w:r>
      <w:r w:rsidRPr="00F9110B">
        <w:t>tets förslag till riksdagsbeslut som behandlas i avsnittet.</w:t>
      </w:r>
    </w:p>
    <w:p w:rsidR="00A31B5B" w:rsidRPr="00F9110B" w:rsidRDefault="00A31B5B">
      <w:pPr>
        <w:pStyle w:val="Normaltindrag"/>
      </w:pPr>
    </w:p>
    <w:p w:rsidR="00A31B5B" w:rsidRPr="00F9110B" w:rsidRDefault="00A31B5B">
      <w:pPr>
        <w:pStyle w:val="Reservationspunkt"/>
        <w:rPr>
          <w:noProof w:val="0"/>
        </w:rPr>
      </w:pPr>
      <w:bookmarkStart w:id="24" w:name="_Toc23564379"/>
      <w:r w:rsidRPr="00F9110B">
        <w:rPr>
          <w:noProof w:val="0"/>
        </w:rPr>
        <w:t>1.</w:t>
      </w:r>
      <w:r w:rsidRPr="00F9110B">
        <w:rPr>
          <w:noProof w:val="0"/>
        </w:rPr>
        <w:tab/>
        <w:t>Tryckfrihetsförordningen (punkt 1)</w:t>
      </w:r>
      <w:bookmarkEnd w:id="24"/>
    </w:p>
    <w:p w:rsidR="00A31B5B" w:rsidRPr="00F9110B" w:rsidRDefault="00A31B5B">
      <w:pPr>
        <w:pStyle w:val="Reservanter"/>
      </w:pPr>
      <w:r w:rsidRPr="00F9110B">
        <w:t>av Per Unckel (m), Henrik S Järrel (m) och Hillevi Engström (m).</w:t>
      </w:r>
    </w:p>
    <w:p w:rsidR="00A31B5B" w:rsidRPr="00F9110B" w:rsidRDefault="00A31B5B">
      <w:pPr>
        <w:pStyle w:val="R4"/>
        <w:outlineLvl w:val="0"/>
      </w:pPr>
      <w:r w:rsidRPr="00F9110B">
        <w:t>Förslag till riksdagsbeslut</w:t>
      </w:r>
    </w:p>
    <w:p w:rsidR="00A31B5B" w:rsidRPr="00F9110B" w:rsidRDefault="00A31B5B">
      <w:r w:rsidRPr="00F9110B">
        <w:t>Vi anser att utskottets förslag under punkt 1 borde ha följande lydelse:</w:t>
      </w:r>
    </w:p>
    <w:p w:rsidR="00A31B5B" w:rsidRPr="00F9110B" w:rsidRDefault="00A31B5B">
      <w:pPr>
        <w:pStyle w:val="Reservantfrslag"/>
      </w:pPr>
      <w:r w:rsidRPr="00F9110B">
        <w:t>Riksdagen förkastar det i bilaga 1 intagna förslaget till lag om ändring i tryc</w:t>
      </w:r>
      <w:r w:rsidRPr="00F9110B">
        <w:t>k</w:t>
      </w:r>
      <w:r w:rsidRPr="00F9110B">
        <w:t xml:space="preserve">frihetsförordningen och tillkännager för regeringen som sin mening vad som framförs i reservation 1. </w:t>
      </w:r>
    </w:p>
    <w:p w:rsidR="00A31B5B" w:rsidRPr="00F9110B" w:rsidRDefault="00A31B5B">
      <w:pPr>
        <w:pStyle w:val="R4"/>
        <w:outlineLvl w:val="0"/>
      </w:pPr>
      <w:r w:rsidRPr="00F9110B">
        <w:t>Ställningstagande</w:t>
      </w:r>
    </w:p>
    <w:p w:rsidR="00A31B5B" w:rsidRPr="00F9110B" w:rsidRDefault="00A31B5B">
      <w:r w:rsidRPr="00F9110B">
        <w:t>Alla människor i ett demokratiskt samhälle skall ha lika rätt, oavsett hudfärg, kön eller sexuell läggning. Tyvärr förekommer det att människor trakasseras och utsätts för brott bl.a. på grund av sin sexuella läggning. Vi anser att det finns all anledning att agera kraftfullt mot sådana brottsliga handlingar. B</w:t>
      </w:r>
      <w:r w:rsidRPr="00F9110B">
        <w:t>e</w:t>
      </w:r>
      <w:r w:rsidRPr="00F9110B">
        <w:t>stämmelsen i 2 kap. 1 § regeringsformen (RF) om varje medborgares rätt till yttrandefrihet är en av de mest fundamentala principerna för ett fritt och d</w:t>
      </w:r>
      <w:r w:rsidRPr="00F9110B">
        <w:t>e</w:t>
      </w:r>
      <w:r w:rsidRPr="00F9110B">
        <w:t>mokratiskt samhälle. Värnandet om det fria meningsutbytet som en grundp</w:t>
      </w:r>
      <w:r w:rsidRPr="00F9110B">
        <w:t>e</w:t>
      </w:r>
      <w:r w:rsidRPr="00F9110B">
        <w:t>lare i det fria samhället innebär att även moraliskt förkastliga åsikter skall ges utrymme. Priset för den egna yttrandefriheten är att också acceptera andra människors rätt att uttrycka sin uppfattning. Trots vårt starka avståndstagande gentemot alla former av trakasserier riktade mot</w:t>
      </w:r>
      <w:r w:rsidRPr="00F9110B">
        <w:t xml:space="preserve"> homosexuella ifrågasätter vi om hets med anspelning på sexuell läggning skall kriminaliseras på det sätt som regeringen föreslagit. </w:t>
      </w:r>
    </w:p>
    <w:p w:rsidR="00A31B5B" w:rsidRPr="00F9110B" w:rsidRDefault="00A31B5B">
      <w:pPr>
        <w:pStyle w:val="Normaltindrag"/>
      </w:pPr>
      <w:r w:rsidRPr="00F9110B">
        <w:t>I stället för att rikta in sig på skydd av olika grupper anser vi att en lämpl</w:t>
      </w:r>
      <w:r w:rsidRPr="00F9110B">
        <w:t>i</w:t>
      </w:r>
      <w:r w:rsidRPr="00F9110B">
        <w:t>gare lösning skulle vara att ta sikte på brott som begås mot enskilda individer. Vi ifrågasätter om förslagen innebär en förbättring av skyddet för t.ex. hom</w:t>
      </w:r>
      <w:r w:rsidRPr="00F9110B">
        <w:t>o</w:t>
      </w:r>
      <w:r w:rsidRPr="00F9110B">
        <w:t>sexuella. Genom brottsbalkens bestämmelser om förtal, olaga hot, misshandel och uppvigling m.m. skyddas alla människor mot dylika angrepp på sin pe</w:t>
      </w:r>
      <w:r w:rsidRPr="00F9110B">
        <w:t>r</w:t>
      </w:r>
      <w:r w:rsidRPr="00F9110B">
        <w:t>son – oavsett sexuell läggning. Det finns också en risk med att i lag ange grupper som anses särskilt skyddsvärda. Att ange att hets mot vissa grupper är brottsligt kan t.o.m. sända signaler om att hets mo</w:t>
      </w:r>
      <w:r w:rsidRPr="00F9110B">
        <w:t>t andra, icke angivna gru</w:t>
      </w:r>
      <w:r w:rsidRPr="00F9110B">
        <w:t>p</w:t>
      </w:r>
      <w:r w:rsidRPr="00F9110B">
        <w:t xml:space="preserve">per är lagligt. Vi menar att en översyn av hela lagstiftningen om hets mot folkgrupp är påkallad. </w:t>
      </w:r>
    </w:p>
    <w:p w:rsidR="00A31B5B" w:rsidRPr="00F9110B" w:rsidRDefault="00A31B5B">
      <w:pPr>
        <w:pStyle w:val="Normaltindrag"/>
      </w:pPr>
      <w:r w:rsidRPr="00F9110B">
        <w:t>Förslagen är att bestämmelserna i TF om tryckfrihetsbrottet hets mot fol</w:t>
      </w:r>
      <w:r w:rsidRPr="00F9110B">
        <w:t>k</w:t>
      </w:r>
      <w:r w:rsidRPr="00F9110B">
        <w:t xml:space="preserve">grupp och i brottsbalken om brottet hets mot folkgrupp skall utvidgas till att omfatta även hets med anspelning på sexuell läggning. Inskränkningar i tryck- och yttrandefriheten måste alltid utgöra de exceptionella undantagen från huvudregeln om öppenhet. Möjligheterna till inskränkning skall alltså tillämpas restriktivt eftersom det är fråga om att inskränka grundlagsstadgade rättigheter. </w:t>
      </w:r>
    </w:p>
    <w:p w:rsidR="00A31B5B" w:rsidRPr="00F9110B" w:rsidRDefault="00A31B5B">
      <w:pPr>
        <w:pStyle w:val="Normaltindrag"/>
        <w:rPr>
          <w:sz w:val="20"/>
        </w:rPr>
      </w:pPr>
      <w:r w:rsidRPr="00F9110B">
        <w:t>Vi instämmer i att hets med anspelning på en persons sexuella läggning är oacceptabel och måste förhindras. Bestämmel</w:t>
      </w:r>
      <w:r w:rsidRPr="00F9110B">
        <w:t>sen om hets mot folkgrupp i TF är ett ingrepp i tryck- och yttrandefriheten och införandet av en ny straffsan</w:t>
      </w:r>
      <w:r w:rsidRPr="00F9110B">
        <w:t>k</w:t>
      </w:r>
      <w:r w:rsidRPr="00F9110B">
        <w:t xml:space="preserve">tion måste medföra att det oönskade beteendet kan motverkas mer effektivt. Av material som bl.a. Kommittén om straffansvar för organiserad brottslighet m.m. presenterade framkommer inte något som tyder på att så är fallet. Vi </w:t>
      </w:r>
      <w:r w:rsidRPr="00F9110B">
        <w:rPr>
          <w:sz w:val="20"/>
        </w:rPr>
        <w:t xml:space="preserve">ifrågasätter därför effektiviteten i den grundlagsändring som antagits som vilande och förslaget till ändring i brottsbalken. </w:t>
      </w:r>
    </w:p>
    <w:p w:rsidR="00A31B5B" w:rsidRPr="00F9110B" w:rsidRDefault="00A31B5B">
      <w:pPr>
        <w:pStyle w:val="Reservationspunkt"/>
        <w:rPr>
          <w:noProof w:val="0"/>
        </w:rPr>
      </w:pPr>
      <w:bookmarkStart w:id="25" w:name="_Toc23564380"/>
      <w:r w:rsidRPr="00F9110B">
        <w:rPr>
          <w:noProof w:val="0"/>
        </w:rPr>
        <w:t>2.</w:t>
      </w:r>
      <w:r w:rsidRPr="00F9110B">
        <w:rPr>
          <w:noProof w:val="0"/>
        </w:rPr>
        <w:tab/>
        <w:t>Tryckfrihetsförordningen (punkt 1)</w:t>
      </w:r>
      <w:bookmarkEnd w:id="25"/>
    </w:p>
    <w:p w:rsidR="00A31B5B" w:rsidRPr="00F9110B" w:rsidRDefault="00A31B5B">
      <w:pPr>
        <w:pStyle w:val="Reservanter"/>
      </w:pPr>
      <w:r w:rsidRPr="00F9110B">
        <w:t>av Ingvar Svensson (kd).</w:t>
      </w:r>
    </w:p>
    <w:p w:rsidR="00A31B5B" w:rsidRPr="00F9110B" w:rsidRDefault="00A31B5B">
      <w:pPr>
        <w:pStyle w:val="R4"/>
        <w:outlineLvl w:val="0"/>
      </w:pPr>
      <w:r w:rsidRPr="00F9110B">
        <w:t>Förslag till riksdagsbeslut</w:t>
      </w:r>
    </w:p>
    <w:p w:rsidR="00A31B5B" w:rsidRPr="00F9110B" w:rsidRDefault="00A31B5B">
      <w:r w:rsidRPr="00F9110B">
        <w:t>Jag anser att utskottets förslag under punkt 1 borde ha följande lydelse:</w:t>
      </w:r>
    </w:p>
    <w:p w:rsidR="00A31B5B" w:rsidRPr="00F9110B" w:rsidRDefault="00A31B5B">
      <w:pPr>
        <w:pStyle w:val="Reservantfrslag"/>
      </w:pPr>
      <w:r w:rsidRPr="00F9110B">
        <w:t>Riksdagen förkastar det i bilaga 1 intagna förslaget till lag om ändring i tryc</w:t>
      </w:r>
      <w:r w:rsidRPr="00F9110B">
        <w:t>k</w:t>
      </w:r>
      <w:r w:rsidRPr="00F9110B">
        <w:t xml:space="preserve">frihetsförordningen. </w:t>
      </w:r>
    </w:p>
    <w:p w:rsidR="00A31B5B" w:rsidRPr="00F9110B" w:rsidRDefault="00A31B5B">
      <w:pPr>
        <w:pStyle w:val="R4"/>
        <w:outlineLvl w:val="0"/>
      </w:pPr>
      <w:r w:rsidRPr="00F9110B">
        <w:t>Ställningstagande</w:t>
      </w:r>
    </w:p>
    <w:p w:rsidR="00A31B5B" w:rsidRPr="00F9110B" w:rsidRDefault="00A31B5B">
      <w:r w:rsidRPr="00F9110B">
        <w:t>I artikel 9 i Europakonventionen sägs om tanke-, samvets- och religionsfr</w:t>
      </w:r>
      <w:r w:rsidRPr="00F9110B">
        <w:t>i</w:t>
      </w:r>
      <w:r w:rsidRPr="00F9110B">
        <w:t>heten att var och en har rätt till tankefrihet, samvetsfrihet och religionsfrihet; denna rätt innefattar frihet att byta religion eller tro och frihet att ensam eller i gemenskap med andra, offentligt eller enskilt, utöva sin religion eller tro genom gudstjänst, undervisning, sedvänjor och ritualer.  Friheten att utöva sin religion eller tro får endast underkastas sådana inskränkningar som är för</w:t>
      </w:r>
      <w:r w:rsidRPr="00F9110B">
        <w:t>e</w:t>
      </w:r>
      <w:r w:rsidRPr="00F9110B">
        <w:t>skrivna i lag och som i ett demokratiskt samhälle är nödvändiga med hänsyn till den allmänna säkerheten eller t</w:t>
      </w:r>
      <w:r w:rsidRPr="00F9110B">
        <w:t>ill skydd för allmän ordning, hälsa eller moral eller till skydd för andra personers fri- och rättigheter.</w:t>
      </w:r>
    </w:p>
    <w:p w:rsidR="00A31B5B" w:rsidRPr="00F9110B" w:rsidRDefault="00A31B5B">
      <w:pPr>
        <w:pStyle w:val="Normaltindrag"/>
      </w:pPr>
      <w:r w:rsidRPr="00F9110B">
        <w:t>Religionsfriheten är också garanterad i 2 kap. 1 § 6 regeringsformen. N</w:t>
      </w:r>
      <w:r w:rsidRPr="00F9110B">
        <w:t>o</w:t>
      </w:r>
      <w:r w:rsidRPr="00F9110B">
        <w:t>terbart är att religionsfriheten inte är inskränkbar enligt 12 § i kapitlet. Där hänvisas för de friheter som är inskränkbara till 13–16 §§. I 13 §, som medger inskränkningar i yttrandefriheten och informationsfriheten, omtalas vikten av vidast möjliga yttrandefrihet och informationsfrihet i politiska, religiösa och andra upprä</w:t>
      </w:r>
      <w:r w:rsidRPr="00F9110B">
        <w:t>k</w:t>
      </w:r>
      <w:r w:rsidRPr="00F9110B">
        <w:t>nade angelägenheter.</w:t>
      </w:r>
    </w:p>
    <w:p w:rsidR="00A31B5B" w:rsidRPr="00F9110B" w:rsidRDefault="00A31B5B">
      <w:pPr>
        <w:pStyle w:val="Normaltindrag"/>
      </w:pPr>
      <w:r w:rsidRPr="00F9110B">
        <w:t>Möjligen föreligger här en tolkningskonflikt mellan den oinskränkta rel</w:t>
      </w:r>
      <w:r w:rsidRPr="00F9110B">
        <w:t>i</w:t>
      </w:r>
      <w:r w:rsidRPr="00F9110B">
        <w:t>gionsfriheten enligt 2 kap. 1 § 6 RF och meningen om yttrandefrihet och informationsfr</w:t>
      </w:r>
      <w:r w:rsidRPr="00F9110B">
        <w:t>i</w:t>
      </w:r>
      <w:r w:rsidRPr="00F9110B">
        <w:t>het i religiösa angelägenheter enligt 13 §.</w:t>
      </w:r>
    </w:p>
    <w:p w:rsidR="00A31B5B" w:rsidRPr="00F9110B" w:rsidRDefault="00A31B5B">
      <w:pPr>
        <w:pStyle w:val="Normaltindrag"/>
      </w:pPr>
      <w:r w:rsidRPr="00F9110B">
        <w:t xml:space="preserve">Religionsfriheten har alltså ett starkt, till synes oinskränkbart, skydd i den svenska fri- och rättighetslagstiftningen. </w:t>
      </w:r>
    </w:p>
    <w:p w:rsidR="00A31B5B" w:rsidRPr="00F9110B" w:rsidRDefault="00A31B5B">
      <w:pPr>
        <w:pStyle w:val="Normaltindrag"/>
      </w:pPr>
      <w:r w:rsidRPr="00F9110B">
        <w:t xml:space="preserve">Regeringen diskuterade detta i proposition 2001/02:59 på följande sätt. </w:t>
      </w:r>
      <w:r w:rsidRPr="00F9110B">
        <w:rPr>
          <w:snapToGrid w:val="0"/>
        </w:rPr>
        <w:t>Regeringen framhåller att förslaget till en kriminalisering av hets med anspe</w:t>
      </w:r>
      <w:r w:rsidRPr="00F9110B">
        <w:rPr>
          <w:snapToGrid w:val="0"/>
        </w:rPr>
        <w:t>l</w:t>
      </w:r>
      <w:r w:rsidRPr="00F9110B">
        <w:rPr>
          <w:snapToGrid w:val="0"/>
        </w:rPr>
        <w:t>ning på sexuell läggning lika lite som den motsvarande i dag gällande krim</w:t>
      </w:r>
      <w:r w:rsidRPr="00F9110B">
        <w:rPr>
          <w:snapToGrid w:val="0"/>
        </w:rPr>
        <w:t>i</w:t>
      </w:r>
      <w:r w:rsidRPr="00F9110B">
        <w:rPr>
          <w:snapToGrid w:val="0"/>
        </w:rPr>
        <w:t>naliseringen av hets mot folkgrupp är avsett att hindra en fri och saklig debatt. Meningen är alltså inte att hindra resonemang och diskussioner om homose</w:t>
      </w:r>
      <w:r w:rsidRPr="00F9110B">
        <w:rPr>
          <w:snapToGrid w:val="0"/>
        </w:rPr>
        <w:t>x</w:t>
      </w:r>
      <w:r w:rsidRPr="00F9110B">
        <w:rPr>
          <w:snapToGrid w:val="0"/>
        </w:rPr>
        <w:t>ualitet, bisexualitet eller heterosexualitet vare sig inom kyrkor eller på andra håll i samhället.</w:t>
      </w:r>
    </w:p>
    <w:p w:rsidR="00A31B5B" w:rsidRPr="00F9110B" w:rsidRDefault="00A31B5B">
      <w:pPr>
        <w:pStyle w:val="Normaltindrag"/>
        <w:rPr>
          <w:snapToGrid w:val="0"/>
        </w:rPr>
      </w:pPr>
      <w:r w:rsidRPr="00F9110B">
        <w:rPr>
          <w:snapToGrid w:val="0"/>
        </w:rPr>
        <w:t>Det som föreslås kriminaliseras är hets mot kollektivt bestämda grupper med anspelning på sexuell läggnin</w:t>
      </w:r>
      <w:r w:rsidRPr="00F9110B">
        <w:rPr>
          <w:snapToGrid w:val="0"/>
        </w:rPr>
        <w:t>g. Det rör sig alltså om sådana kränkande omdömen och hotfulla uttalanden om främst homosexuella som grupp som tar sin utgångspunkt i att gruppen har den läggning den har. Att endast citera och diskutera exempelvis religiösa urkunder faller inte inom det straffbara omr</w:t>
      </w:r>
      <w:r w:rsidRPr="00F9110B">
        <w:rPr>
          <w:snapToGrid w:val="0"/>
        </w:rPr>
        <w:t>å</w:t>
      </w:r>
      <w:r w:rsidRPr="00F9110B">
        <w:rPr>
          <w:snapToGrid w:val="0"/>
        </w:rPr>
        <w:t xml:space="preserve">det enligt förslaget. Det bör däremot inte – lika litet som det i dag är tillåtet att utifrån religiösa texter hota eller uttrycka missaktning för muslimer eller kristna – vara tillåtet att använda sådant material för att hota eller uttrycka </w:t>
      </w:r>
      <w:r w:rsidRPr="00F9110B">
        <w:rPr>
          <w:snapToGrid w:val="0"/>
        </w:rPr>
        <w:t>missaktning för homosexuella som grupp. Det är här viktigt att skilja uttala</w:t>
      </w:r>
      <w:r w:rsidRPr="00F9110B">
        <w:rPr>
          <w:snapToGrid w:val="0"/>
        </w:rPr>
        <w:t>n</w:t>
      </w:r>
      <w:r w:rsidRPr="00F9110B">
        <w:rPr>
          <w:snapToGrid w:val="0"/>
        </w:rPr>
        <w:t>den och meddelanden som anspelar på läggningen som sådan och uttrycker hot eller missaktning mot kollektivet på grund av denna läggning från sådana uttalanden eller andra meddelanden som anspelar på beteenden eller sådana uttryck som läggningen kan ta sig, men som inte kan tänkas syfta till att krä</w:t>
      </w:r>
      <w:r w:rsidRPr="00F9110B">
        <w:rPr>
          <w:snapToGrid w:val="0"/>
        </w:rPr>
        <w:t>n</w:t>
      </w:r>
      <w:r w:rsidRPr="00F9110B">
        <w:rPr>
          <w:snapToGrid w:val="0"/>
        </w:rPr>
        <w:t>ka eller hota hela den grupp av människor som har denna läggning. Det måste t.ex. – på motsvarande sätt som i dag gäller i fråga om exe</w:t>
      </w:r>
      <w:r w:rsidRPr="00F9110B">
        <w:rPr>
          <w:snapToGrid w:val="0"/>
        </w:rPr>
        <w:t>mpelvis uttalanden med anspelning på trosbekännelser – vara möjligt att diskutera olika livsstilar och livsåskådningar, hävdade regeringen i pr</w:t>
      </w:r>
      <w:r w:rsidRPr="00F9110B">
        <w:rPr>
          <w:snapToGrid w:val="0"/>
        </w:rPr>
        <w:t>o</w:t>
      </w:r>
      <w:r w:rsidRPr="00F9110B">
        <w:rPr>
          <w:snapToGrid w:val="0"/>
        </w:rPr>
        <w:t>positionen.</w:t>
      </w:r>
    </w:p>
    <w:p w:rsidR="00A31B5B" w:rsidRPr="00F9110B" w:rsidRDefault="00A31B5B">
      <w:pPr>
        <w:pStyle w:val="Normaltindrag"/>
        <w:rPr>
          <w:snapToGrid w:val="0"/>
        </w:rPr>
      </w:pPr>
      <w:r w:rsidRPr="00F9110B">
        <w:rPr>
          <w:snapToGrid w:val="0"/>
        </w:rPr>
        <w:t>Det kan möjligen förefalla något oklart vad regeringen avser med begre</w:t>
      </w:r>
      <w:r w:rsidRPr="00F9110B">
        <w:rPr>
          <w:snapToGrid w:val="0"/>
        </w:rPr>
        <w:t>p</w:t>
      </w:r>
      <w:r w:rsidRPr="00F9110B">
        <w:rPr>
          <w:snapToGrid w:val="0"/>
        </w:rPr>
        <w:t xml:space="preserve">pet </w:t>
      </w:r>
      <w:r w:rsidRPr="00F9110B">
        <w:rPr>
          <w:i/>
          <w:snapToGrid w:val="0"/>
        </w:rPr>
        <w:t>diskutera</w:t>
      </w:r>
      <w:r w:rsidRPr="00F9110B">
        <w:rPr>
          <w:snapToGrid w:val="0"/>
        </w:rPr>
        <w:t xml:space="preserve"> ställt i relation till t.ex. </w:t>
      </w:r>
      <w:r w:rsidRPr="00F9110B">
        <w:rPr>
          <w:i/>
          <w:snapToGrid w:val="0"/>
        </w:rPr>
        <w:t xml:space="preserve">predikosituationer. </w:t>
      </w:r>
      <w:r w:rsidRPr="00F9110B">
        <w:rPr>
          <w:snapToGrid w:val="0"/>
        </w:rPr>
        <w:t xml:space="preserve">Predikosituationer eller med andra ord en förkunnelse är i sig normerande till sin karaktär och kan alltså innehålla uppmaningar till ett visst beteende eller en viss livsstil. Det är diskutabelt om den typen av företeelser faller in under begreppet </w:t>
      </w:r>
      <w:r w:rsidRPr="00F9110B">
        <w:rPr>
          <w:i/>
          <w:snapToGrid w:val="0"/>
        </w:rPr>
        <w:t>di</w:t>
      </w:r>
      <w:r w:rsidRPr="00F9110B">
        <w:rPr>
          <w:i/>
          <w:snapToGrid w:val="0"/>
        </w:rPr>
        <w:t>s</w:t>
      </w:r>
      <w:r w:rsidRPr="00F9110B">
        <w:rPr>
          <w:i/>
          <w:snapToGrid w:val="0"/>
        </w:rPr>
        <w:t>kutera</w:t>
      </w:r>
      <w:r w:rsidRPr="00F9110B">
        <w:rPr>
          <w:snapToGrid w:val="0"/>
        </w:rPr>
        <w:t>, enligt regeringens definition. Enligt mitt förmenande måste opinion</w:t>
      </w:r>
      <w:r w:rsidRPr="00F9110B">
        <w:rPr>
          <w:snapToGrid w:val="0"/>
        </w:rPr>
        <w:t>s</w:t>
      </w:r>
      <w:r w:rsidRPr="00F9110B">
        <w:rPr>
          <w:snapToGrid w:val="0"/>
        </w:rPr>
        <w:t>bildning avseende ett visst beteende eller en företeelse kunna ha ett norm</w:t>
      </w:r>
      <w:r w:rsidRPr="00F9110B">
        <w:rPr>
          <w:snapToGrid w:val="0"/>
        </w:rPr>
        <w:t>e</w:t>
      </w:r>
      <w:r w:rsidRPr="00F9110B">
        <w:rPr>
          <w:snapToGrid w:val="0"/>
        </w:rPr>
        <w:t xml:space="preserve">rande inslag utan att därmed falla inom det </w:t>
      </w:r>
      <w:r w:rsidRPr="00F9110B">
        <w:rPr>
          <w:snapToGrid w:val="0"/>
        </w:rPr>
        <w:t>straffbara området. Självfallet måste en företeelse kunna ifrågasättas som sådan utan att för den skull krä</w:t>
      </w:r>
      <w:r w:rsidRPr="00F9110B">
        <w:rPr>
          <w:snapToGrid w:val="0"/>
        </w:rPr>
        <w:t>n</w:t>
      </w:r>
      <w:r w:rsidRPr="00F9110B">
        <w:rPr>
          <w:snapToGrid w:val="0"/>
        </w:rPr>
        <w:t xml:space="preserve">kande uttalanden om gruppen som utövar en sådan företeelse görs. </w:t>
      </w:r>
    </w:p>
    <w:p w:rsidR="00A31B5B" w:rsidRPr="00F9110B" w:rsidRDefault="00A31B5B">
      <w:pPr>
        <w:pStyle w:val="Normaltindrag"/>
      </w:pPr>
      <w:r w:rsidRPr="00F9110B">
        <w:rPr>
          <w:snapToGrid w:val="0"/>
        </w:rPr>
        <w:t>Enligt regeringen är det tillåtet att citera religiösa urkunder avseende sex</w:t>
      </w:r>
      <w:r w:rsidRPr="00F9110B">
        <w:rPr>
          <w:snapToGrid w:val="0"/>
        </w:rPr>
        <w:t>u</w:t>
      </w:r>
      <w:r w:rsidRPr="00F9110B">
        <w:rPr>
          <w:snapToGrid w:val="0"/>
        </w:rPr>
        <w:t>ell läggning. Utskottet har emellertid försvagat citaträtten och begränsat pr</w:t>
      </w:r>
      <w:r w:rsidRPr="00F9110B">
        <w:rPr>
          <w:snapToGrid w:val="0"/>
        </w:rPr>
        <w:t>e</w:t>
      </w:r>
      <w:r w:rsidRPr="00F9110B">
        <w:rPr>
          <w:snapToGrid w:val="0"/>
        </w:rPr>
        <w:t xml:space="preserve">dikosituationer genom sin motivskrivning med uttrycken </w:t>
      </w:r>
      <w:r w:rsidRPr="00F9110B">
        <w:rPr>
          <w:i/>
          <w:snapToGrid w:val="0"/>
        </w:rPr>
        <w:t>torde</w:t>
      </w:r>
      <w:r w:rsidRPr="00F9110B">
        <w:rPr>
          <w:snapToGrid w:val="0"/>
        </w:rPr>
        <w:t xml:space="preserve">, </w:t>
      </w:r>
      <w:r w:rsidRPr="00F9110B">
        <w:rPr>
          <w:i/>
          <w:snapToGrid w:val="0"/>
        </w:rPr>
        <w:t>normalt</w:t>
      </w:r>
      <w:r w:rsidRPr="00F9110B">
        <w:rPr>
          <w:snapToGrid w:val="0"/>
        </w:rPr>
        <w:t xml:space="preserve"> och </w:t>
      </w:r>
      <w:r w:rsidRPr="00F9110B">
        <w:rPr>
          <w:i/>
          <w:snapToGrid w:val="0"/>
        </w:rPr>
        <w:t>endast</w:t>
      </w:r>
      <w:r w:rsidRPr="00F9110B">
        <w:rPr>
          <w:snapToGrid w:val="0"/>
        </w:rPr>
        <w:t xml:space="preserve">. Utskottets skrivning lyder: </w:t>
      </w:r>
      <w:r w:rsidRPr="00F9110B">
        <w:rPr>
          <w:i/>
          <w:snapToGrid w:val="0"/>
        </w:rPr>
        <w:t>”När det gäller predikosituationer torde det, enligt utskottets mening, normalt komma att ligga utanför det straffbara området att citera religiösa urkunder och endast uppmana åhörarna till att följa urkundernas inriktning.”</w:t>
      </w:r>
      <w:r w:rsidRPr="00F9110B">
        <w:rPr>
          <w:snapToGrid w:val="0"/>
        </w:rPr>
        <w:t xml:space="preserve"> Utskottet har alltså inte på ett tillfredsställande sätt klarlagt rätten till en förkunnelse i ans</w:t>
      </w:r>
      <w:r w:rsidRPr="00F9110B">
        <w:rPr>
          <w:snapToGrid w:val="0"/>
        </w:rPr>
        <w:t>lutning till sådana citat. Jag anser därför att den oinskränkbara religionsfriheten har trätts för när genom denna oklarhet. I det läget återstår för min del att yrka avslag på den utökade krim</w:t>
      </w:r>
      <w:r w:rsidRPr="00F9110B">
        <w:rPr>
          <w:snapToGrid w:val="0"/>
        </w:rPr>
        <w:t>i</w:t>
      </w:r>
      <w:r w:rsidRPr="00F9110B">
        <w:rPr>
          <w:snapToGrid w:val="0"/>
        </w:rPr>
        <w:t>naliseringen i 7 kap. 4 § 11 tryckfrihetsförordningen.</w:t>
      </w:r>
    </w:p>
    <w:p w:rsidR="00A31B5B" w:rsidRPr="00F9110B" w:rsidRDefault="00A31B5B">
      <w:pPr>
        <w:pStyle w:val="Reservationspunkt"/>
        <w:outlineLvl w:val="0"/>
        <w:rPr>
          <w:noProof w:val="0"/>
        </w:rPr>
      </w:pPr>
      <w:bookmarkStart w:id="26" w:name="_Toc23564381"/>
      <w:r w:rsidRPr="00F9110B">
        <w:rPr>
          <w:noProof w:val="0"/>
        </w:rPr>
        <w:t>3.</w:t>
      </w:r>
      <w:r w:rsidRPr="00F9110B">
        <w:rPr>
          <w:noProof w:val="0"/>
        </w:rPr>
        <w:tab/>
        <w:t>Brottsbalken (punkt 2)</w:t>
      </w:r>
      <w:bookmarkEnd w:id="26"/>
    </w:p>
    <w:p w:rsidR="00A31B5B" w:rsidRPr="00F9110B" w:rsidRDefault="00A31B5B">
      <w:pPr>
        <w:pStyle w:val="Reservanter"/>
      </w:pPr>
      <w:r w:rsidRPr="00F9110B">
        <w:t>av Per Unckel (m), Henrik S Järrel (m) och Hillevi Engström (m).</w:t>
      </w:r>
    </w:p>
    <w:p w:rsidR="00A31B5B" w:rsidRPr="00F9110B" w:rsidRDefault="00A31B5B">
      <w:pPr>
        <w:pStyle w:val="R4"/>
      </w:pPr>
      <w:r w:rsidRPr="00F9110B">
        <w:t>Förslag till riksdagsbeslut</w:t>
      </w:r>
    </w:p>
    <w:p w:rsidR="00A31B5B" w:rsidRPr="00F9110B" w:rsidRDefault="00A31B5B">
      <w:r w:rsidRPr="00F9110B">
        <w:t>Vi anser att utskottets förslag under punkt 2 borde ha följande lydelse:</w:t>
      </w:r>
    </w:p>
    <w:p w:rsidR="00A31B5B" w:rsidRPr="00F9110B" w:rsidRDefault="00A31B5B">
      <w:pPr>
        <w:pStyle w:val="Reservantfrslag"/>
      </w:pPr>
      <w:r w:rsidRPr="00F9110B">
        <w:t>Riksdagen avslår förslaget till lag om ändring i brottsbalken och tillkännager för regeringen som sin mening vad som framförs i reservation 3. Därmed bifaller riksd</w:t>
      </w:r>
      <w:r w:rsidRPr="00F9110B">
        <w:t>a</w:t>
      </w:r>
      <w:r w:rsidRPr="00F9110B">
        <w:t xml:space="preserve">gen motion 2001/02:K29 yrkande 1. </w:t>
      </w:r>
    </w:p>
    <w:p w:rsidR="00A31B5B" w:rsidRPr="00F9110B" w:rsidRDefault="00A31B5B">
      <w:pPr>
        <w:pStyle w:val="R4"/>
      </w:pPr>
      <w:r w:rsidRPr="00F9110B">
        <w:t>Ställningstagande</w:t>
      </w:r>
    </w:p>
    <w:p w:rsidR="00A31B5B" w:rsidRPr="00F9110B" w:rsidRDefault="00A31B5B">
      <w:r w:rsidRPr="00F9110B">
        <w:t>Alla människor i ett demokratiskt samhälle skall ha lika rätt, oavsett hudfärg, kön eller sexuell läggning. Tyvärr förekommer det att människor trakasseras och utsätts för brott bl.a. på grund av sin sexuella läggning. Vi anser att det finns all anledning att agera kraftfullt mot sådana brottsliga handlingar. B</w:t>
      </w:r>
      <w:r w:rsidRPr="00F9110B">
        <w:t>e</w:t>
      </w:r>
      <w:r w:rsidRPr="00F9110B">
        <w:t>stämmelsen i 2 kap. 1 § regeringsformen (RF) om varje medborgares rätt till yttrandefrihet är en av de mest fundamentala principerna för ett fritt och d</w:t>
      </w:r>
      <w:r w:rsidRPr="00F9110B">
        <w:t>e</w:t>
      </w:r>
      <w:r w:rsidRPr="00F9110B">
        <w:t>mokratiskt samhälle. Värnandet om det fria meningsutbytet som en grundp</w:t>
      </w:r>
      <w:r w:rsidRPr="00F9110B">
        <w:t>e</w:t>
      </w:r>
      <w:r w:rsidRPr="00F9110B">
        <w:t>lare i det fria samhället innebär att även moraliskt förkastliga åsikter skall ges utrymme. Priset för den egna yttrandefriheten är att också acceptera andra människors rätt att uttrycka sin uppfattning. Trots vårt starka avståndstagande gentemot alla former av trakasserier riktade mot</w:t>
      </w:r>
      <w:r w:rsidRPr="00F9110B">
        <w:t xml:space="preserve"> homosexuella ifrågasätter vi om hets med anspelning på sexuell läggning skall kriminaliseras på det sätt som regeringen föreslagit. </w:t>
      </w:r>
    </w:p>
    <w:p w:rsidR="00A31B5B" w:rsidRPr="00F9110B" w:rsidRDefault="00A31B5B">
      <w:pPr>
        <w:pStyle w:val="Normaltindrag"/>
      </w:pPr>
      <w:r w:rsidRPr="00F9110B">
        <w:t>I stället för att rikta in sig på skydd av olika grupper anser vi att en lämpl</w:t>
      </w:r>
      <w:r w:rsidRPr="00F9110B">
        <w:t>i</w:t>
      </w:r>
      <w:r w:rsidRPr="00F9110B">
        <w:t>gare lösning skulle vara att ta sikte på brott som begås mot enskilda individer. Vi ifrågasätter om förslagen innebär en förbättring av skyddet för t.ex. hom</w:t>
      </w:r>
      <w:r w:rsidRPr="00F9110B">
        <w:t>o</w:t>
      </w:r>
      <w:r w:rsidRPr="00F9110B">
        <w:t>sexuella. Genom brottsbalkens bestämmelser om förtal, olaga hot, misshandel och uppvigling m.m. skyddas alla människor mot dylika angrepp på sin pe</w:t>
      </w:r>
      <w:r w:rsidRPr="00F9110B">
        <w:t>r</w:t>
      </w:r>
      <w:r w:rsidRPr="00F9110B">
        <w:t>son – oavsett sexuell läggning. Det finns också en risk med att i lag ange grupper som anses särskilt skyddsvärda. Att ange att hets mot vissa grupper är brottsligt kan t.o.m. sända signaler om att hets mo</w:t>
      </w:r>
      <w:r w:rsidRPr="00F9110B">
        <w:t>t andra, icke angivna gru</w:t>
      </w:r>
      <w:r w:rsidRPr="00F9110B">
        <w:t>p</w:t>
      </w:r>
      <w:r w:rsidRPr="00F9110B">
        <w:t xml:space="preserve">per är lagligt. Vi menar att en översyn av hela lagstiftningen om hets mot folkgrupp är påkallad. </w:t>
      </w:r>
    </w:p>
    <w:p w:rsidR="00A31B5B" w:rsidRPr="00F9110B" w:rsidRDefault="00A31B5B">
      <w:pPr>
        <w:pStyle w:val="Normaltindrag"/>
      </w:pPr>
      <w:r w:rsidRPr="00F9110B">
        <w:t>Förslagen är att bestämmelserna i TF om tryckfrihetsbrottet hets mot fol</w:t>
      </w:r>
      <w:r w:rsidRPr="00F9110B">
        <w:t>k</w:t>
      </w:r>
      <w:r w:rsidRPr="00F9110B">
        <w:t xml:space="preserve">grupp och i brottsbalken om brottet hets mot folkgrupp skall utvidgas till att omfatta även hets med anspelning på sexuell läggning. Inskränkningar i tryck- och yttrandefriheten måste alltid utgöra de exceptionella undantagen från huvudregeln om öppenhet. Möjligheterna till inskränkning skall alltså tillämpas restriktivt eftersom det är fråga om att inskränka grundlagsstadgade rättigheter. </w:t>
      </w:r>
    </w:p>
    <w:p w:rsidR="00A31B5B" w:rsidRPr="00F9110B" w:rsidRDefault="00A31B5B">
      <w:pPr>
        <w:pStyle w:val="Normaltindrag"/>
      </w:pPr>
      <w:r w:rsidRPr="00F9110B">
        <w:t>Vi instämmer i att hets med anspelning på en persons sexuella läggning är oacceptabel och måste förhindras. Bestämmel</w:t>
      </w:r>
      <w:r w:rsidRPr="00F9110B">
        <w:t>sen om hets mot folkgrupp i TF är ett ingrepp i tryck- och yttrandefriheten och införandet av en ny straffsan</w:t>
      </w:r>
      <w:r w:rsidRPr="00F9110B">
        <w:t>k</w:t>
      </w:r>
      <w:r w:rsidRPr="00F9110B">
        <w:t xml:space="preserve">tion måste medföra att det oönskade beteendet kan motverkas mer effektivt. Av material som bl.a. Kommittén om straffansvar för organiserad brottslighet m.m. presenterade framkommer inte något som tyder på att så är fallet. Vi </w:t>
      </w:r>
      <w:r w:rsidRPr="00F9110B">
        <w:rPr>
          <w:sz w:val="20"/>
        </w:rPr>
        <w:t>ifrågasätter därför effektiviteten i den grundlagsändring som antagits som vilande och förslaget till ändring i brottsbalken.</w:t>
      </w:r>
    </w:p>
    <w:p w:rsidR="00A31B5B" w:rsidRPr="00F9110B" w:rsidRDefault="00A31B5B">
      <w:pPr>
        <w:pStyle w:val="Reservationspunkt"/>
        <w:outlineLvl w:val="0"/>
        <w:rPr>
          <w:noProof w:val="0"/>
        </w:rPr>
      </w:pPr>
      <w:bookmarkStart w:id="27" w:name="_Toc23564382"/>
      <w:r w:rsidRPr="00F9110B">
        <w:rPr>
          <w:noProof w:val="0"/>
        </w:rPr>
        <w:t>4.</w:t>
      </w:r>
      <w:r w:rsidRPr="00F9110B">
        <w:rPr>
          <w:noProof w:val="0"/>
        </w:rPr>
        <w:tab/>
        <w:t>Brottsbalken (punkt 2)</w:t>
      </w:r>
      <w:bookmarkEnd w:id="27"/>
    </w:p>
    <w:p w:rsidR="00A31B5B" w:rsidRPr="00F9110B" w:rsidRDefault="00A31B5B">
      <w:pPr>
        <w:pStyle w:val="Reservanter"/>
      </w:pPr>
      <w:r w:rsidRPr="00F9110B">
        <w:t>av Ingvar Svensson (kd).</w:t>
      </w:r>
    </w:p>
    <w:p w:rsidR="00A31B5B" w:rsidRPr="00F9110B" w:rsidRDefault="00A31B5B">
      <w:pPr>
        <w:pStyle w:val="R4"/>
        <w:outlineLvl w:val="0"/>
      </w:pPr>
      <w:r w:rsidRPr="00F9110B">
        <w:t>Förslag till riksdagsbeslut</w:t>
      </w:r>
    </w:p>
    <w:p w:rsidR="00A31B5B" w:rsidRPr="00F9110B" w:rsidRDefault="00A31B5B">
      <w:r w:rsidRPr="00F9110B">
        <w:t>Jag anser att utskottets förslag under punkt 2 borde ha följande lydelse:</w:t>
      </w:r>
    </w:p>
    <w:p w:rsidR="00A31B5B" w:rsidRPr="00F9110B" w:rsidRDefault="00A31B5B">
      <w:pPr>
        <w:pStyle w:val="Reservantfrslag"/>
      </w:pPr>
      <w:r w:rsidRPr="00F9110B">
        <w:t>Riksdagen avslår förslaget till lag om ändring i brottsbalken. Därmed bifaller riksd</w:t>
      </w:r>
      <w:r w:rsidRPr="00F9110B">
        <w:t>a</w:t>
      </w:r>
      <w:r w:rsidRPr="00F9110B">
        <w:t xml:space="preserve">gen motion 2001/02:K29 yrkande 1. </w:t>
      </w:r>
    </w:p>
    <w:p w:rsidR="00A31B5B" w:rsidRPr="00F9110B" w:rsidRDefault="00A31B5B">
      <w:pPr>
        <w:pStyle w:val="R4"/>
        <w:outlineLvl w:val="0"/>
      </w:pPr>
      <w:r w:rsidRPr="00F9110B">
        <w:t>Ställningstagande</w:t>
      </w:r>
    </w:p>
    <w:p w:rsidR="00A31B5B" w:rsidRPr="00F9110B" w:rsidRDefault="00A31B5B">
      <w:r w:rsidRPr="00F9110B">
        <w:t>I artikel 9 i Europakonventionen sägs om tanke-, samvets- och religionsfr</w:t>
      </w:r>
      <w:r w:rsidRPr="00F9110B">
        <w:t>i</w:t>
      </w:r>
      <w:r w:rsidRPr="00F9110B">
        <w:t>heten att var och en har rätt till tankefrihet, samvetsfrihet och religionsfrihet; denna rätt innefattar frihet att byta religion eller tro och frihet att ensam eller i gemenskap med andra, offentligt eller enskilt, utöva sin religion eller tro genom gudstjänst, undervisning, sedvänjor och ritualer.  Friheten att utöva sin religion eller tro får endast underkastas sådana inskränkningar som är för</w:t>
      </w:r>
      <w:r w:rsidRPr="00F9110B">
        <w:t>e</w:t>
      </w:r>
      <w:r w:rsidRPr="00F9110B">
        <w:t>skrivna i lag och som i ett demokratiskt samhälle är nödvändiga med hänsyn till den allmänna säkerheten eller t</w:t>
      </w:r>
      <w:r w:rsidRPr="00F9110B">
        <w:t>ill skydd för allmän ordning, hälsa eller moral eller till skydd för andra personers fri- och rättigheter.</w:t>
      </w:r>
    </w:p>
    <w:p w:rsidR="00A31B5B" w:rsidRPr="00F9110B" w:rsidRDefault="00A31B5B">
      <w:pPr>
        <w:pStyle w:val="Normaltindrag"/>
      </w:pPr>
      <w:r w:rsidRPr="00F9110B">
        <w:t>Religionsfriheten är också garanterad i 2 kap. 1 § 6 regeringsformen. N</w:t>
      </w:r>
      <w:r w:rsidRPr="00F9110B">
        <w:t>o</w:t>
      </w:r>
      <w:r w:rsidRPr="00F9110B">
        <w:t>terbart är att religionsfriheten inte är inskränkbar enligt 12 § i kapitlet. Där hänvisas för de friheter som är inskränkbara till 13–16 §§. I 13 §, som medger inskränkningar i yttrandefriheten och informationsfriheten, omtalas vikten av vidast möjliga yttrandefrihet och informationsfrihet i politiska, religiösa och andra upprä</w:t>
      </w:r>
      <w:r w:rsidRPr="00F9110B">
        <w:t>k</w:t>
      </w:r>
      <w:r w:rsidRPr="00F9110B">
        <w:t>nade angelägenheter.</w:t>
      </w:r>
    </w:p>
    <w:p w:rsidR="00A31B5B" w:rsidRPr="00F9110B" w:rsidRDefault="00A31B5B">
      <w:pPr>
        <w:pStyle w:val="Normaltindrag"/>
      </w:pPr>
      <w:r w:rsidRPr="00F9110B">
        <w:t>Möjligen föreligger här en tolkningskonflikt mellan den oinskränkta rel</w:t>
      </w:r>
      <w:r w:rsidRPr="00F9110B">
        <w:t>i</w:t>
      </w:r>
      <w:r w:rsidRPr="00F9110B">
        <w:t>gionsfriheten enligt 2 kap. 1 § 6 RF och meningen om yttrandefrihet och informationsfr</w:t>
      </w:r>
      <w:r w:rsidRPr="00F9110B">
        <w:t>i</w:t>
      </w:r>
      <w:r w:rsidRPr="00F9110B">
        <w:t>het i religiösa angelägenheter enligt 13 §.</w:t>
      </w:r>
    </w:p>
    <w:p w:rsidR="00A31B5B" w:rsidRPr="00F9110B" w:rsidRDefault="00A31B5B">
      <w:pPr>
        <w:pStyle w:val="Normaltindrag"/>
      </w:pPr>
      <w:r w:rsidRPr="00F9110B">
        <w:t xml:space="preserve">Religionsfriheten har alltså ett starkt, till synes oinskränkbart, skydd i den svenska fri- och rättighetslagstiftningen. </w:t>
      </w:r>
    </w:p>
    <w:p w:rsidR="00A31B5B" w:rsidRPr="00F9110B" w:rsidRDefault="00A31B5B">
      <w:pPr>
        <w:pStyle w:val="Normaltindrag"/>
      </w:pPr>
      <w:r w:rsidRPr="00F9110B">
        <w:t xml:space="preserve">Regeringen diskuterade detta i proposition 2001/02:59 på följande sätt. </w:t>
      </w:r>
      <w:r w:rsidRPr="00F9110B">
        <w:rPr>
          <w:snapToGrid w:val="0"/>
        </w:rPr>
        <w:t>Regeringen framhåller att förslaget till en kriminalisering av hets med anspe</w:t>
      </w:r>
      <w:r w:rsidRPr="00F9110B">
        <w:rPr>
          <w:snapToGrid w:val="0"/>
        </w:rPr>
        <w:t>l</w:t>
      </w:r>
      <w:r w:rsidRPr="00F9110B">
        <w:rPr>
          <w:snapToGrid w:val="0"/>
        </w:rPr>
        <w:t>ning på sexuell läggning lika lite som den motsvarande i dag gällande krim</w:t>
      </w:r>
      <w:r w:rsidRPr="00F9110B">
        <w:rPr>
          <w:snapToGrid w:val="0"/>
        </w:rPr>
        <w:t>i</w:t>
      </w:r>
      <w:r w:rsidRPr="00F9110B">
        <w:rPr>
          <w:snapToGrid w:val="0"/>
        </w:rPr>
        <w:t>naliseringen av hets mot folkgrupp är avsett att hindra en fri och saklig debatt. Meningen är alltså inte att hindra resonemang och diskussioner om homose</w:t>
      </w:r>
      <w:r w:rsidRPr="00F9110B">
        <w:rPr>
          <w:snapToGrid w:val="0"/>
        </w:rPr>
        <w:t>x</w:t>
      </w:r>
      <w:r w:rsidRPr="00F9110B">
        <w:rPr>
          <w:snapToGrid w:val="0"/>
        </w:rPr>
        <w:t>ualitet, bisexualitet eller heterosexualitet vare sig inom kyrkor eller på andra håll i samhället.</w:t>
      </w:r>
    </w:p>
    <w:p w:rsidR="00A31B5B" w:rsidRPr="00F9110B" w:rsidRDefault="00A31B5B">
      <w:pPr>
        <w:pStyle w:val="Normaltindrag"/>
        <w:rPr>
          <w:snapToGrid w:val="0"/>
        </w:rPr>
      </w:pPr>
      <w:r w:rsidRPr="00F9110B">
        <w:rPr>
          <w:snapToGrid w:val="0"/>
        </w:rPr>
        <w:t>Det som föreslås kriminaliseras är hets mot kollektivt bestämda grupper med anspelning på sexuell läggnin</w:t>
      </w:r>
      <w:r w:rsidRPr="00F9110B">
        <w:rPr>
          <w:snapToGrid w:val="0"/>
        </w:rPr>
        <w:t>g. Det rör sig alltså om sådana kränkande omdömen och hotfulla uttalanden om främst homosexuella som grupp som tar sin utgångspunkt i att gruppen har den läggning den har. Att endast citera och diskutera exempelvis religiösa urkunder faller inte inom det straffbara omr</w:t>
      </w:r>
      <w:r w:rsidRPr="00F9110B">
        <w:rPr>
          <w:snapToGrid w:val="0"/>
        </w:rPr>
        <w:t>å</w:t>
      </w:r>
      <w:r w:rsidRPr="00F9110B">
        <w:rPr>
          <w:snapToGrid w:val="0"/>
        </w:rPr>
        <w:t>det enligt förslaget. Det bör däremot inte – lika lite som det i dag är tillåtet att utifrån religiösa texter hota eller uttrycka missaktning för muslimer eller kristna – vara tillåtet att använda sådant material för att hota eller uttrycka m</w:t>
      </w:r>
      <w:r w:rsidRPr="00F9110B">
        <w:rPr>
          <w:snapToGrid w:val="0"/>
        </w:rPr>
        <w:t>issaktning för homosexuella som grupp. Det är här viktigt att skilja uttala</w:t>
      </w:r>
      <w:r w:rsidRPr="00F9110B">
        <w:rPr>
          <w:snapToGrid w:val="0"/>
        </w:rPr>
        <w:t>n</w:t>
      </w:r>
      <w:r w:rsidRPr="00F9110B">
        <w:rPr>
          <w:snapToGrid w:val="0"/>
        </w:rPr>
        <w:t>den och meddelanden som anspelar på läggningen som sådan och uttrycker hot eller missaktning mot kollektivet på grund av denna läggning från sådana uttalanden eller andra meddelanden som anspelar på beteenden eller sådana uttryck som läggningen kan ta sig, men som inte kan tänkas syfta till att krä</w:t>
      </w:r>
      <w:r w:rsidRPr="00F9110B">
        <w:rPr>
          <w:snapToGrid w:val="0"/>
        </w:rPr>
        <w:t>n</w:t>
      </w:r>
      <w:r w:rsidRPr="00F9110B">
        <w:rPr>
          <w:snapToGrid w:val="0"/>
        </w:rPr>
        <w:t>ka eller hota hela den grupp av människor som har denna läggning. Det måste t.ex. – på motsvarande sätt som i dag gäller i fråga om exem</w:t>
      </w:r>
      <w:r w:rsidRPr="00F9110B">
        <w:rPr>
          <w:snapToGrid w:val="0"/>
        </w:rPr>
        <w:t>pelvis uttalanden med anspelning på trosbekännelser – vara möjligt att diskutera olika livsstilar och livsåskådningar, hävdade regeringen i pr</w:t>
      </w:r>
      <w:r w:rsidRPr="00F9110B">
        <w:rPr>
          <w:snapToGrid w:val="0"/>
        </w:rPr>
        <w:t>o</w:t>
      </w:r>
      <w:r w:rsidRPr="00F9110B">
        <w:rPr>
          <w:snapToGrid w:val="0"/>
        </w:rPr>
        <w:t>positionen.</w:t>
      </w:r>
    </w:p>
    <w:p w:rsidR="00A31B5B" w:rsidRPr="00F9110B" w:rsidRDefault="00A31B5B">
      <w:pPr>
        <w:pStyle w:val="Normaltindrag"/>
        <w:rPr>
          <w:snapToGrid w:val="0"/>
        </w:rPr>
      </w:pPr>
      <w:r w:rsidRPr="00F9110B">
        <w:rPr>
          <w:snapToGrid w:val="0"/>
        </w:rPr>
        <w:t>Det kan möjligen förefalla något oklart vad regeringen avser med begre</w:t>
      </w:r>
      <w:r w:rsidRPr="00F9110B">
        <w:rPr>
          <w:snapToGrid w:val="0"/>
        </w:rPr>
        <w:t>p</w:t>
      </w:r>
      <w:r w:rsidRPr="00F9110B">
        <w:rPr>
          <w:snapToGrid w:val="0"/>
        </w:rPr>
        <w:t xml:space="preserve">pet </w:t>
      </w:r>
      <w:r w:rsidRPr="00F9110B">
        <w:rPr>
          <w:i/>
          <w:snapToGrid w:val="0"/>
        </w:rPr>
        <w:t>diskutera</w:t>
      </w:r>
      <w:r w:rsidRPr="00F9110B">
        <w:rPr>
          <w:snapToGrid w:val="0"/>
        </w:rPr>
        <w:t xml:space="preserve"> ställt i relation till t.ex. </w:t>
      </w:r>
      <w:r w:rsidRPr="00F9110B">
        <w:rPr>
          <w:i/>
          <w:snapToGrid w:val="0"/>
        </w:rPr>
        <w:t xml:space="preserve">predikosituationer. </w:t>
      </w:r>
      <w:r w:rsidRPr="00F9110B">
        <w:rPr>
          <w:snapToGrid w:val="0"/>
        </w:rPr>
        <w:t xml:space="preserve">Predikosituationer eller med andra ord en förkunnelse är i sig normerande till sin karaktär och kan alltså innehålla uppmaningar till ett visst beteende eller en viss livsstil. Det är diskutabelt om den typen av företeelser faller in under begreppet </w:t>
      </w:r>
      <w:r w:rsidRPr="00F9110B">
        <w:rPr>
          <w:i/>
          <w:snapToGrid w:val="0"/>
        </w:rPr>
        <w:t>di</w:t>
      </w:r>
      <w:r w:rsidRPr="00F9110B">
        <w:rPr>
          <w:i/>
          <w:snapToGrid w:val="0"/>
        </w:rPr>
        <w:t>s</w:t>
      </w:r>
      <w:r w:rsidRPr="00F9110B">
        <w:rPr>
          <w:i/>
          <w:snapToGrid w:val="0"/>
        </w:rPr>
        <w:t>kutera</w:t>
      </w:r>
      <w:r w:rsidRPr="00F9110B">
        <w:rPr>
          <w:snapToGrid w:val="0"/>
        </w:rPr>
        <w:t>, enligt regeringens definition. Enligt mitt förmenande måste opinion</w:t>
      </w:r>
      <w:r w:rsidRPr="00F9110B">
        <w:rPr>
          <w:snapToGrid w:val="0"/>
        </w:rPr>
        <w:t>s</w:t>
      </w:r>
      <w:r w:rsidRPr="00F9110B">
        <w:rPr>
          <w:snapToGrid w:val="0"/>
        </w:rPr>
        <w:t>bildning avseende ett visst beteende eller en företeelse kunna ha ett norm</w:t>
      </w:r>
      <w:r w:rsidRPr="00F9110B">
        <w:rPr>
          <w:snapToGrid w:val="0"/>
        </w:rPr>
        <w:t>e</w:t>
      </w:r>
      <w:r w:rsidRPr="00F9110B">
        <w:rPr>
          <w:snapToGrid w:val="0"/>
        </w:rPr>
        <w:t xml:space="preserve">rande inslag utan att därmed falla inom det </w:t>
      </w:r>
      <w:r w:rsidRPr="00F9110B">
        <w:rPr>
          <w:snapToGrid w:val="0"/>
        </w:rPr>
        <w:t>straffbara området. Självfallet måste en företeelse kunna ifrågasättas som sådan utan att för den skull krä</w:t>
      </w:r>
      <w:r w:rsidRPr="00F9110B">
        <w:rPr>
          <w:snapToGrid w:val="0"/>
        </w:rPr>
        <w:t>n</w:t>
      </w:r>
      <w:r w:rsidRPr="00F9110B">
        <w:rPr>
          <w:snapToGrid w:val="0"/>
        </w:rPr>
        <w:t xml:space="preserve">kande uttalanden om gruppen som utövar en sådan företeelse görs. </w:t>
      </w:r>
    </w:p>
    <w:p w:rsidR="00A31B5B" w:rsidRPr="00F9110B" w:rsidRDefault="00A31B5B">
      <w:pPr>
        <w:pStyle w:val="Normaltindrag"/>
      </w:pPr>
      <w:r w:rsidRPr="00F9110B">
        <w:rPr>
          <w:snapToGrid w:val="0"/>
        </w:rPr>
        <w:t>Enligt regeringen är det tillåtet att citera religiösa urkunder avseende sex</w:t>
      </w:r>
      <w:r w:rsidRPr="00F9110B">
        <w:rPr>
          <w:snapToGrid w:val="0"/>
        </w:rPr>
        <w:t>u</w:t>
      </w:r>
      <w:r w:rsidRPr="00F9110B">
        <w:rPr>
          <w:snapToGrid w:val="0"/>
        </w:rPr>
        <w:t>ell läggning. Utskottet har emellertid försvagat citaträtten och begränsat pr</w:t>
      </w:r>
      <w:r w:rsidRPr="00F9110B">
        <w:rPr>
          <w:snapToGrid w:val="0"/>
        </w:rPr>
        <w:t>e</w:t>
      </w:r>
      <w:r w:rsidRPr="00F9110B">
        <w:rPr>
          <w:snapToGrid w:val="0"/>
        </w:rPr>
        <w:t xml:space="preserve">dikosituationer genom sin motivskrivning med uttrycken </w:t>
      </w:r>
      <w:r w:rsidRPr="00F9110B">
        <w:rPr>
          <w:i/>
          <w:snapToGrid w:val="0"/>
        </w:rPr>
        <w:t>torde</w:t>
      </w:r>
      <w:r w:rsidRPr="00F9110B">
        <w:rPr>
          <w:snapToGrid w:val="0"/>
        </w:rPr>
        <w:t xml:space="preserve">, </w:t>
      </w:r>
      <w:r w:rsidRPr="00F9110B">
        <w:rPr>
          <w:i/>
          <w:snapToGrid w:val="0"/>
        </w:rPr>
        <w:t>normalt</w:t>
      </w:r>
      <w:r w:rsidRPr="00F9110B">
        <w:rPr>
          <w:snapToGrid w:val="0"/>
        </w:rPr>
        <w:t xml:space="preserve"> och </w:t>
      </w:r>
      <w:r w:rsidRPr="00F9110B">
        <w:rPr>
          <w:i/>
          <w:snapToGrid w:val="0"/>
        </w:rPr>
        <w:t>endast</w:t>
      </w:r>
      <w:r w:rsidRPr="00F9110B">
        <w:rPr>
          <w:snapToGrid w:val="0"/>
        </w:rPr>
        <w:t xml:space="preserve">. Utskottets skrivning lyder: </w:t>
      </w:r>
      <w:r w:rsidRPr="00F9110B">
        <w:rPr>
          <w:i/>
          <w:snapToGrid w:val="0"/>
        </w:rPr>
        <w:t>”När det gäller predikosituationer torde det, enligt utskottets mening, normalt komma att ligga utanför det straffbara området att citera religiösa urkunder och endast uppmana åhörarna till att följa urkundernas inriktning.”</w:t>
      </w:r>
      <w:r w:rsidRPr="00F9110B">
        <w:rPr>
          <w:snapToGrid w:val="0"/>
        </w:rPr>
        <w:t xml:space="preserve"> Utskottet har alltså inte på ett tillfredsställande sätt klarlagt rätten till en förkunnelse i ans</w:t>
      </w:r>
      <w:r w:rsidRPr="00F9110B">
        <w:rPr>
          <w:snapToGrid w:val="0"/>
        </w:rPr>
        <w:t>lutning till sådana citat. Jag anser därför att den oinskränkbara religionsfriheten har trätts för när genom denna oklarhet. I det läget återstår för min del att yrka avslag på den utökade krim</w:t>
      </w:r>
      <w:r w:rsidRPr="00F9110B">
        <w:rPr>
          <w:snapToGrid w:val="0"/>
        </w:rPr>
        <w:t>i</w:t>
      </w:r>
      <w:r w:rsidRPr="00F9110B">
        <w:rPr>
          <w:snapToGrid w:val="0"/>
        </w:rPr>
        <w:t>naliseringen i 16 kap. 8 § brott</w:t>
      </w:r>
      <w:r w:rsidRPr="00F9110B">
        <w:rPr>
          <w:snapToGrid w:val="0"/>
        </w:rPr>
        <w:t>s</w:t>
      </w:r>
      <w:r w:rsidRPr="00F9110B">
        <w:rPr>
          <w:snapToGrid w:val="0"/>
        </w:rPr>
        <w:t>balken.</w:t>
      </w:r>
      <w:r w:rsidRPr="00F9110B">
        <w:t xml:space="preserve"> </w:t>
      </w:r>
    </w:p>
    <w:p w:rsidR="00A31B5B" w:rsidRPr="00F9110B" w:rsidRDefault="00A31B5B">
      <w:pPr>
        <w:pStyle w:val="Reservantfrslag"/>
      </w:pPr>
    </w:p>
    <w:p w:rsidR="00A31B5B" w:rsidRPr="00F9110B" w:rsidRDefault="00A31B5B">
      <w:pPr>
        <w:pStyle w:val="Normaltindrag"/>
        <w:sectPr w:rsidR="00000000" w:rsidRPr="00F9110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31B5B" w:rsidRPr="00F9110B" w:rsidRDefault="00A31B5B">
      <w:pPr>
        <w:pStyle w:val="Rubrik1"/>
        <w:rPr>
          <w:noProof w:val="0"/>
        </w:rPr>
      </w:pPr>
      <w:bookmarkStart w:id="28" w:name="_Toc23564383"/>
      <w:r w:rsidRPr="00F9110B">
        <w:rPr>
          <w:noProof w:val="0"/>
        </w:rPr>
        <w:t>Särskilt yttrande</w:t>
      </w:r>
      <w:bookmarkEnd w:id="28"/>
    </w:p>
    <w:p w:rsidR="00A31B5B" w:rsidRPr="00F9110B" w:rsidRDefault="00A31B5B">
      <w:r w:rsidRPr="00F9110B">
        <w:t>Utskottets beredning av ärendet har föranlett följande särskilda yttranden. I rubriken anges inom parentes vilken punkt i utskottets förslag till riksdagsb</w:t>
      </w:r>
      <w:r w:rsidRPr="00F9110B">
        <w:t>e</w:t>
      </w:r>
      <w:r w:rsidRPr="00F9110B">
        <w:t>slut som behandlas i avsnittet.</w:t>
      </w:r>
    </w:p>
    <w:p w:rsidR="00A31B5B" w:rsidRPr="00F9110B" w:rsidRDefault="00A31B5B">
      <w:pPr>
        <w:pStyle w:val="Yttrandepunkt"/>
        <w:outlineLvl w:val="0"/>
        <w:rPr>
          <w:noProof w:val="0"/>
        </w:rPr>
      </w:pPr>
      <w:bookmarkStart w:id="29" w:name="_Toc23564384"/>
      <w:r w:rsidRPr="00F9110B">
        <w:rPr>
          <w:noProof w:val="0"/>
        </w:rPr>
        <w:t>Transpersoner, m.fl. (punkt 1 och 2)</w:t>
      </w:r>
      <w:bookmarkEnd w:id="29"/>
    </w:p>
    <w:p w:rsidR="00A31B5B" w:rsidRPr="00F9110B" w:rsidRDefault="00A31B5B">
      <w:pPr>
        <w:pStyle w:val="Reservanter"/>
      </w:pPr>
      <w:r w:rsidRPr="00F9110B">
        <w:t xml:space="preserve">av Tobias Krantz (fp), Gustav Fridolin (mp) och Liselott Hagberg (fp). </w:t>
      </w:r>
    </w:p>
    <w:p w:rsidR="00A31B5B" w:rsidRPr="00F9110B" w:rsidRDefault="00A31B5B">
      <w:r w:rsidRPr="00F9110B">
        <w:t>Trots att allt fler inte anser homosexualitet vara något onormalt har andelen som utsätts för hot och våld beroende på sin sexuella läggning ökat. Enligt förslagen kommer bestämmelsen att utökas till att även omfatta anspelning på sexuell läggning, vilket vi välkomnar. Vi anser emellertid att också transv</w:t>
      </w:r>
      <w:r w:rsidRPr="00F9110B">
        <w:t>e</w:t>
      </w:r>
      <w:r w:rsidRPr="00F9110B">
        <w:t>stiter, transsexuella och transpersoner bör omfattas. Vi anser att regeringen bör ta initiativ till att lägga fram lagförslag som förbjuder hets inte enbart mot homo- eller bisexuella utan även mot transsexuella, transvestiter och transpe</w:t>
      </w:r>
      <w:r w:rsidRPr="00F9110B">
        <w:t>r</w:t>
      </w:r>
      <w:r w:rsidRPr="00F9110B">
        <w:t>soner.</w:t>
      </w:r>
    </w:p>
    <w:p w:rsidR="00A31B5B" w:rsidRPr="00F9110B" w:rsidRDefault="00A31B5B"/>
    <w:p w:rsidR="00A31B5B" w:rsidRPr="00F9110B" w:rsidRDefault="00A31B5B">
      <w:pPr>
        <w:pStyle w:val="Normaltindrag"/>
        <w:sectPr w:rsidR="00000000" w:rsidRPr="00F9110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31B5B" w:rsidRPr="00F9110B" w:rsidRDefault="00A31B5B">
      <w:pPr>
        <w:pStyle w:val="Bilaga"/>
        <w:outlineLvl w:val="0"/>
      </w:pPr>
      <w:r w:rsidRPr="00F9110B">
        <w:t>Bilaga 1</w:t>
      </w:r>
    </w:p>
    <w:p w:rsidR="00A31B5B" w:rsidRPr="00F9110B" w:rsidRDefault="00A31B5B">
      <w:pPr>
        <w:pStyle w:val="Rubrik1"/>
        <w:rPr>
          <w:noProof w:val="0"/>
        </w:rPr>
      </w:pPr>
      <w:bookmarkStart w:id="30" w:name="_Toc23564385"/>
      <w:r w:rsidRPr="00F9110B">
        <w:rPr>
          <w:noProof w:val="0"/>
        </w:rPr>
        <w:t>Vilande grundlagsförslag</w:t>
      </w:r>
      <w:bookmarkEnd w:id="30"/>
    </w:p>
    <w:p w:rsidR="00A31B5B" w:rsidRPr="00F9110B" w:rsidRDefault="00A31B5B">
      <w:pPr>
        <w:pStyle w:val="Rubrik2"/>
        <w:spacing w:before="0"/>
      </w:pPr>
      <w:bookmarkStart w:id="31" w:name="_Toc7492563"/>
      <w:bookmarkStart w:id="32" w:name="_Toc23564386"/>
      <w:r w:rsidRPr="00F9110B">
        <w:t>Förslag till lag om ändring i tryckfrihetsförordningen</w:t>
      </w:r>
      <w:bookmarkEnd w:id="31"/>
      <w:bookmarkEnd w:id="32"/>
    </w:p>
    <w:p w:rsidR="00A31B5B" w:rsidRPr="00F9110B" w:rsidRDefault="00A31B5B">
      <w:pPr>
        <w:pStyle w:val="Normaltindrag"/>
      </w:pPr>
      <w:r w:rsidRPr="00F9110B">
        <w:t>Härigenom föreskrivs att 7 kap. 4 § tryckfrihetsförordningen</w:t>
      </w:r>
      <w:r w:rsidRPr="00F9110B">
        <w:rPr>
          <w:rStyle w:val="Fotnotsreferens"/>
        </w:rPr>
        <w:footnoteReference w:id="1"/>
      </w:r>
      <w:r w:rsidRPr="00F9110B">
        <w:t xml:space="preserve"> skall ha fö</w:t>
      </w:r>
      <w:r w:rsidRPr="00F9110B">
        <w:t>l</w:t>
      </w:r>
      <w:r w:rsidRPr="00F9110B">
        <w:t>ja</w:t>
      </w:r>
      <w:r w:rsidRPr="00F9110B">
        <w:t>n</w:t>
      </w:r>
      <w:r w:rsidRPr="00F9110B">
        <w:t>de lydelse.</w:t>
      </w:r>
    </w:p>
    <w:p w:rsidR="00A31B5B" w:rsidRPr="00F9110B" w:rsidRDefault="00A31B5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9110B">
        <w:tblPrEx>
          <w:tblCellMar>
            <w:top w:w="0" w:type="dxa"/>
            <w:bottom w:w="0" w:type="dxa"/>
          </w:tblCellMar>
        </w:tblPrEx>
        <w:tc>
          <w:tcPr>
            <w:tcW w:w="3090" w:type="dxa"/>
          </w:tcPr>
          <w:p w:rsidR="00A31B5B" w:rsidRPr="00F9110B" w:rsidRDefault="00A31B5B">
            <w:r w:rsidRPr="00F9110B">
              <w:rPr>
                <w:i/>
              </w:rPr>
              <w:t xml:space="preserve">Nuvarande lydelse </w:t>
            </w:r>
          </w:p>
        </w:tc>
        <w:tc>
          <w:tcPr>
            <w:tcW w:w="3090" w:type="dxa"/>
          </w:tcPr>
          <w:p w:rsidR="00A31B5B" w:rsidRPr="00F9110B" w:rsidRDefault="00A31B5B">
            <w:r w:rsidRPr="00F9110B">
              <w:rPr>
                <w:i/>
              </w:rPr>
              <w:t>Föreslagen lydelse</w:t>
            </w:r>
          </w:p>
        </w:tc>
      </w:tr>
    </w:tbl>
    <w:p w:rsidR="00A31B5B" w:rsidRPr="00F9110B" w:rsidRDefault="00A31B5B">
      <w:pPr>
        <w:pStyle w:val="Normaltindrag"/>
      </w:pPr>
    </w:p>
    <w:p w:rsidR="00A31B5B" w:rsidRPr="00F9110B" w:rsidRDefault="00A31B5B">
      <w:pPr>
        <w:pStyle w:val="Normaltindrag"/>
        <w:jc w:val="center"/>
      </w:pPr>
      <w:r w:rsidRPr="00F9110B">
        <w:rPr>
          <w:b/>
        </w:rPr>
        <w:t>7 kap.</w:t>
      </w:r>
    </w:p>
    <w:p w:rsidR="00A31B5B" w:rsidRPr="00F9110B" w:rsidRDefault="00A31B5B">
      <w:pPr>
        <w:pStyle w:val="Normaltindrag"/>
        <w:jc w:val="center"/>
      </w:pPr>
      <w:r w:rsidRPr="00F9110B">
        <w:t>4 §</w:t>
      </w:r>
    </w:p>
    <w:p w:rsidR="00A31B5B" w:rsidRPr="00F9110B" w:rsidRDefault="00A31B5B">
      <w:pPr>
        <w:pStyle w:val="LagtextIndrag"/>
      </w:pPr>
      <w:r w:rsidRPr="00F9110B">
        <w:t>Med beaktande av det i 1 kap. angivna syftet med en allmän tryckfrihet skall såsom tryckfrihetsbrott anses följande gärningar, om de begås ge</w:t>
      </w:r>
      <w:r w:rsidRPr="00F9110B">
        <w:softHyphen/>
        <w:t xml:space="preserve">nom tryckt skrift och är straffbara enligt lag: </w:t>
      </w:r>
    </w:p>
    <w:p w:rsidR="00A31B5B" w:rsidRPr="00F9110B" w:rsidRDefault="00A31B5B">
      <w:pPr>
        <w:pStyle w:val="LagtextIndrag"/>
      </w:pPr>
      <w:r w:rsidRPr="00F9110B">
        <w:br/>
        <w:t>–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9110B">
        <w:tblPrEx>
          <w:tblCellMar>
            <w:top w:w="0" w:type="dxa"/>
            <w:bottom w:w="0" w:type="dxa"/>
          </w:tblCellMar>
        </w:tblPrEx>
        <w:tc>
          <w:tcPr>
            <w:tcW w:w="3090" w:type="dxa"/>
          </w:tcPr>
          <w:p w:rsidR="00A31B5B" w:rsidRPr="00F9110B" w:rsidRDefault="00A31B5B">
            <w:pPr>
              <w:pStyle w:val="Normaltindrag"/>
            </w:pPr>
            <w:r w:rsidRPr="00F9110B">
              <w:t>11. hets mot folkgrupp, va</w:t>
            </w:r>
            <w:r w:rsidRPr="00F9110B">
              <w:t>r</w:t>
            </w:r>
            <w:r w:rsidRPr="00F9110B">
              <w:t>ige</w:t>
            </w:r>
            <w:r w:rsidRPr="00F9110B">
              <w:softHyphen/>
              <w:t>nom någon hotar eller uttrycker missaktning för fol</w:t>
            </w:r>
            <w:r w:rsidRPr="00F9110B">
              <w:t>k</w:t>
            </w:r>
            <w:r w:rsidRPr="00F9110B">
              <w:t>grupp</w:t>
            </w:r>
            <w:r w:rsidRPr="00F9110B">
              <w:rPr>
                <w:i/>
              </w:rPr>
              <w:t xml:space="preserve"> </w:t>
            </w:r>
            <w:r w:rsidRPr="00F9110B">
              <w:t>eller an</w:t>
            </w:r>
            <w:r w:rsidRPr="00F9110B">
              <w:softHyphen/>
              <w:t>nan sådan grupp av personer med anspelning på ras, hudfärg, natio</w:t>
            </w:r>
            <w:r w:rsidRPr="00F9110B">
              <w:softHyphen/>
              <w:t xml:space="preserve">nellt eller etniskt ursprung </w:t>
            </w:r>
            <w:r w:rsidRPr="00F9110B">
              <w:rPr>
                <w:i/>
              </w:rPr>
              <w:t>eller</w:t>
            </w:r>
            <w:r w:rsidRPr="00F9110B">
              <w:t xml:space="preserve"> trosbe</w:t>
            </w:r>
            <w:r w:rsidRPr="00F9110B">
              <w:softHyphen/>
              <w:t>kännelse;</w:t>
            </w:r>
          </w:p>
          <w:p w:rsidR="00A31B5B" w:rsidRPr="00F9110B" w:rsidRDefault="00A31B5B">
            <w:pPr>
              <w:pStyle w:val="Normaltindrag"/>
            </w:pPr>
          </w:p>
        </w:tc>
        <w:tc>
          <w:tcPr>
            <w:tcW w:w="3090" w:type="dxa"/>
          </w:tcPr>
          <w:p w:rsidR="00A31B5B" w:rsidRPr="00F9110B" w:rsidRDefault="00A31B5B">
            <w:pPr>
              <w:pStyle w:val="Normaltindrag"/>
            </w:pPr>
            <w:r w:rsidRPr="00F9110B">
              <w:t>11. hets mot folkgrupp, va</w:t>
            </w:r>
            <w:r w:rsidRPr="00F9110B">
              <w:t>r</w:t>
            </w:r>
            <w:r w:rsidRPr="00F9110B">
              <w:t>ige</w:t>
            </w:r>
            <w:r w:rsidRPr="00F9110B">
              <w:softHyphen/>
              <w:t>nom någon hotar eller uttrycker missaktning för fol</w:t>
            </w:r>
            <w:r w:rsidRPr="00F9110B">
              <w:t>k</w:t>
            </w:r>
            <w:r w:rsidRPr="00F9110B">
              <w:t>grupp</w:t>
            </w:r>
            <w:r w:rsidRPr="00F9110B">
              <w:rPr>
                <w:i/>
              </w:rPr>
              <w:t xml:space="preserve"> </w:t>
            </w:r>
            <w:r w:rsidRPr="00F9110B">
              <w:t>eller an</w:t>
            </w:r>
            <w:r w:rsidRPr="00F9110B">
              <w:softHyphen/>
              <w:t>nan sådan grupp av personer med anspelning på ras, hudfärg, natio</w:t>
            </w:r>
            <w:r w:rsidRPr="00F9110B">
              <w:softHyphen/>
              <w:t>nellt eller etniskt ursprung, trosbe</w:t>
            </w:r>
            <w:r w:rsidRPr="00F9110B">
              <w:softHyphen/>
              <w:t xml:space="preserve">kännelse </w:t>
            </w:r>
            <w:r w:rsidRPr="00F9110B">
              <w:rPr>
                <w:i/>
              </w:rPr>
              <w:t>eller sexuell läg</w:t>
            </w:r>
            <w:r w:rsidRPr="00F9110B">
              <w:rPr>
                <w:i/>
              </w:rPr>
              <w:t>g</w:t>
            </w:r>
            <w:r w:rsidRPr="00F9110B">
              <w:rPr>
                <w:i/>
              </w:rPr>
              <w:t>ning;</w:t>
            </w:r>
          </w:p>
          <w:p w:rsidR="00A31B5B" w:rsidRPr="00F9110B" w:rsidRDefault="00A31B5B">
            <w:pPr>
              <w:pStyle w:val="Normaltindrag"/>
            </w:pPr>
          </w:p>
        </w:tc>
      </w:tr>
    </w:tbl>
    <w:p w:rsidR="00A31B5B" w:rsidRPr="00F9110B" w:rsidRDefault="00A31B5B">
      <w:r w:rsidRPr="00F9110B">
        <w:t>– – –</w:t>
      </w:r>
    </w:p>
    <w:p w:rsidR="00A31B5B" w:rsidRPr="00F9110B" w:rsidRDefault="00A31B5B">
      <w:r w:rsidRPr="00F9110B">
        <w:rPr>
          <w:u w:val="single"/>
        </w:rPr>
        <w:t>                                     </w:t>
      </w:r>
    </w:p>
    <w:p w:rsidR="00A31B5B" w:rsidRPr="00F9110B" w:rsidRDefault="00A31B5B"/>
    <w:p w:rsidR="00A31B5B" w:rsidRPr="00F9110B" w:rsidRDefault="00A31B5B">
      <w:pPr>
        <w:pStyle w:val="Normaltindrag"/>
        <w:outlineLvl w:val="0"/>
      </w:pPr>
      <w:r w:rsidRPr="00F9110B">
        <w:t>Denna lag träder i kraft den 1 januari 2003.</w:t>
      </w:r>
    </w:p>
    <w:p w:rsidR="00A31B5B" w:rsidRPr="00F9110B" w:rsidRDefault="00A31B5B">
      <w:pPr>
        <w:pStyle w:val="Normaltindrag"/>
      </w:pPr>
    </w:p>
    <w:p w:rsidR="00A31B5B" w:rsidRPr="00F9110B" w:rsidRDefault="00A31B5B">
      <w:pPr>
        <w:sectPr w:rsidR="00000000" w:rsidRPr="00F9110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31B5B" w:rsidRPr="00F9110B" w:rsidRDefault="00A31B5B">
      <w:pPr>
        <w:pStyle w:val="Bilaga"/>
      </w:pPr>
      <w:r w:rsidRPr="00F9110B">
        <w:t>Bilaga 2</w:t>
      </w:r>
    </w:p>
    <w:p w:rsidR="00A31B5B" w:rsidRPr="00F9110B" w:rsidRDefault="00A31B5B">
      <w:pPr>
        <w:pStyle w:val="Rubrik1"/>
        <w:rPr>
          <w:noProof w:val="0"/>
        </w:rPr>
      </w:pPr>
      <w:bookmarkStart w:id="33" w:name="_Toc23564387"/>
      <w:r w:rsidRPr="00F9110B">
        <w:rPr>
          <w:noProof w:val="0"/>
        </w:rPr>
        <w:t>Regeringens lagförslag</w:t>
      </w:r>
      <w:bookmarkEnd w:id="33"/>
    </w:p>
    <w:p w:rsidR="00A31B5B" w:rsidRPr="00F9110B" w:rsidRDefault="00A31B5B">
      <w:pPr>
        <w:pStyle w:val="Rubrik2"/>
        <w:spacing w:before="0"/>
      </w:pPr>
      <w:bookmarkStart w:id="34" w:name="_Toc23564388"/>
      <w:r w:rsidRPr="00F9110B">
        <w:t>Förslag till lag om ändring i brottsbalken</w:t>
      </w:r>
      <w:bookmarkEnd w:id="34"/>
    </w:p>
    <w:p w:rsidR="00A31B5B" w:rsidRPr="00F9110B" w:rsidRDefault="00A31B5B">
      <w:pPr>
        <w:pStyle w:val="Rubrik2"/>
        <w:spacing w:before="0"/>
      </w:pPr>
      <w:r w:rsidRPr="00F9110B">
        <w:br w:type="page"/>
      </w:r>
    </w:p>
    <w:p w:rsidR="00A31B5B" w:rsidRPr="00F9110B" w:rsidRDefault="00A31B5B">
      <w:pPr>
        <w:pStyle w:val="Normaltindrag"/>
      </w:pPr>
    </w:p>
    <w:p w:rsidR="00A31B5B" w:rsidRPr="00F9110B" w:rsidRDefault="00A31B5B">
      <w:pPr>
        <w:pStyle w:val="Normaltindrag"/>
        <w:sectPr w:rsidR="00000000" w:rsidRPr="00F9110B">
          <w:pgSz w:w="11906" w:h="16838" w:code="9"/>
          <w:pgMar w:top="907" w:right="4649" w:bottom="4508" w:left="1304" w:header="340" w:footer="227" w:gutter="0"/>
          <w:cols w:space="720"/>
          <w:titlePg/>
        </w:sectPr>
      </w:pPr>
    </w:p>
    <w:p w:rsidR="00A31B5B" w:rsidRPr="00F9110B" w:rsidRDefault="00A31B5B">
      <w:pPr>
        <w:pStyle w:val="Bilaga"/>
        <w:outlineLvl w:val="0"/>
      </w:pPr>
      <w:r w:rsidRPr="00F9110B">
        <w:t>Bilaga 3</w:t>
      </w:r>
    </w:p>
    <w:p w:rsidR="00A31B5B" w:rsidRPr="00F9110B" w:rsidRDefault="00A31B5B">
      <w:pPr>
        <w:pStyle w:val="Rubrik1"/>
        <w:rPr>
          <w:noProof w:val="0"/>
        </w:rPr>
      </w:pPr>
      <w:bookmarkStart w:id="35" w:name="_Toc23564389"/>
      <w:r w:rsidRPr="00F9110B">
        <w:rPr>
          <w:noProof w:val="0"/>
        </w:rPr>
        <w:t>Utskottets lagförslag</w:t>
      </w:r>
      <w:bookmarkEnd w:id="35"/>
    </w:p>
    <w:p w:rsidR="00A31B5B" w:rsidRPr="00F9110B" w:rsidRDefault="00A31B5B">
      <w:pPr>
        <w:pStyle w:val="Rubrik2"/>
        <w:spacing w:before="0"/>
      </w:pPr>
      <w:bookmarkStart w:id="36" w:name="_Toc526221463"/>
      <w:bookmarkStart w:id="37" w:name="_Toc527455000"/>
      <w:bookmarkStart w:id="38" w:name="_Toc527455794"/>
      <w:bookmarkStart w:id="39" w:name="_Toc527533739"/>
      <w:bookmarkStart w:id="40" w:name="_Toc527957433"/>
      <w:bookmarkStart w:id="41" w:name="_Toc530105046"/>
      <w:bookmarkStart w:id="42" w:name="_Toc530105410"/>
      <w:bookmarkStart w:id="43" w:name="_Toc530105592"/>
      <w:bookmarkStart w:id="44" w:name="_Toc530107841"/>
      <w:bookmarkStart w:id="45" w:name="_Toc530108196"/>
      <w:bookmarkStart w:id="46" w:name="_Toc530109664"/>
      <w:bookmarkStart w:id="47" w:name="_Toc530127521"/>
      <w:bookmarkStart w:id="48" w:name="_Toc530284720"/>
      <w:bookmarkStart w:id="49" w:name="_Toc530294410"/>
      <w:bookmarkStart w:id="50" w:name="_Toc531068778"/>
      <w:bookmarkStart w:id="51" w:name="_Toc23564390"/>
      <w:r w:rsidRPr="00F9110B">
        <w:t>Förslag till lag om ändring i brottsbalken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A31B5B" w:rsidRPr="00F9110B" w:rsidRDefault="00A31B5B">
      <w:pPr>
        <w:pStyle w:val="Normaltindrag"/>
        <w:outlineLvl w:val="0"/>
      </w:pPr>
      <w:r w:rsidRPr="00F9110B">
        <w:t>Härigenom föreskrivs att 16 kap. 8 § brottsbalken skall ha fö</w:t>
      </w:r>
      <w:r w:rsidRPr="00F9110B">
        <w:t>l</w:t>
      </w:r>
      <w:r w:rsidRPr="00F9110B">
        <w:t>jande lydelse.</w:t>
      </w:r>
    </w:p>
    <w:p w:rsidR="00A31B5B" w:rsidRPr="00F9110B" w:rsidRDefault="00A31B5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9110B">
        <w:tblPrEx>
          <w:tblCellMar>
            <w:top w:w="0" w:type="dxa"/>
            <w:bottom w:w="0" w:type="dxa"/>
          </w:tblCellMar>
        </w:tblPrEx>
        <w:tc>
          <w:tcPr>
            <w:tcW w:w="3090" w:type="dxa"/>
          </w:tcPr>
          <w:p w:rsidR="00A31B5B" w:rsidRPr="00F9110B" w:rsidRDefault="00A31B5B">
            <w:r w:rsidRPr="00F9110B">
              <w:rPr>
                <w:i/>
              </w:rPr>
              <w:t>Nuvarande lydelse</w:t>
            </w:r>
          </w:p>
        </w:tc>
        <w:tc>
          <w:tcPr>
            <w:tcW w:w="3090" w:type="dxa"/>
          </w:tcPr>
          <w:p w:rsidR="00A31B5B" w:rsidRPr="00F9110B" w:rsidRDefault="00A31B5B">
            <w:pPr>
              <w:pStyle w:val="Ordfranden"/>
              <w:spacing w:before="62"/>
              <w:rPr>
                <w:noProof w:val="0"/>
              </w:rPr>
            </w:pPr>
            <w:r w:rsidRPr="00F9110B">
              <w:rPr>
                <w:noProof w:val="0"/>
              </w:rPr>
              <w:t>Föreslagen lydelse</w:t>
            </w:r>
          </w:p>
        </w:tc>
      </w:tr>
    </w:tbl>
    <w:p w:rsidR="00A31B5B" w:rsidRPr="00F9110B" w:rsidRDefault="00A31B5B">
      <w:pPr>
        <w:pStyle w:val="Normaltindrag"/>
      </w:pPr>
    </w:p>
    <w:p w:rsidR="00A31B5B" w:rsidRPr="00F9110B" w:rsidRDefault="00A31B5B">
      <w:pPr>
        <w:pStyle w:val="Normaltindrag"/>
        <w:jc w:val="center"/>
      </w:pPr>
      <w:r w:rsidRPr="00F9110B">
        <w:rPr>
          <w:b/>
        </w:rPr>
        <w:t>16 kap.</w:t>
      </w:r>
    </w:p>
    <w:p w:rsidR="00A31B5B" w:rsidRPr="00F9110B" w:rsidRDefault="00A31B5B">
      <w:pPr>
        <w:pStyle w:val="Normaltindrag"/>
        <w:jc w:val="center"/>
      </w:pPr>
      <w:r w:rsidRPr="00F9110B">
        <w:t>8 §</w:t>
      </w:r>
      <w:r w:rsidRPr="00F9110B">
        <w:rPr>
          <w:rStyle w:val="Fotnotsreferens"/>
        </w:rPr>
        <w:footnoteReference w:customMarkFollows="1" w:id="2"/>
        <w:t>1</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9110B">
        <w:tblPrEx>
          <w:tblCellMar>
            <w:top w:w="0" w:type="dxa"/>
            <w:bottom w:w="0" w:type="dxa"/>
          </w:tblCellMar>
        </w:tblPrEx>
        <w:tc>
          <w:tcPr>
            <w:tcW w:w="3090" w:type="dxa"/>
          </w:tcPr>
          <w:p w:rsidR="00A31B5B" w:rsidRPr="00F9110B" w:rsidRDefault="00A31B5B">
            <w:pPr>
              <w:pStyle w:val="Normaltindrag"/>
            </w:pPr>
            <w:r w:rsidRPr="00F9110B">
              <w:t>Den som i uttalande eller i annat meddelande som sprids hotar eller uttrycker missaktning för folk</w:t>
            </w:r>
            <w:r w:rsidRPr="00F9110B">
              <w:softHyphen/>
              <w:t xml:space="preserve">grupp eller annan sådan grupp av personer med anspelning på ras, hudfärg, nationellt eller etniskt ursprung </w:t>
            </w:r>
            <w:r w:rsidRPr="00F9110B">
              <w:rPr>
                <w:i/>
              </w:rPr>
              <w:t>eller</w:t>
            </w:r>
            <w:r w:rsidRPr="00F9110B">
              <w:t xml:space="preserve"> trosbekännelse, döms för </w:t>
            </w:r>
            <w:r w:rsidRPr="00F9110B">
              <w:rPr>
                <w:i/>
                <w:u w:val="single"/>
              </w:rPr>
              <w:t>hets mot folkgrupp</w:t>
            </w:r>
            <w:r w:rsidRPr="00F9110B">
              <w:t xml:space="preserve"> till fängelse i högst två år eller om brottet är ringa, till böter.</w:t>
            </w:r>
          </w:p>
        </w:tc>
        <w:tc>
          <w:tcPr>
            <w:tcW w:w="3090" w:type="dxa"/>
          </w:tcPr>
          <w:p w:rsidR="00A31B5B" w:rsidRPr="00F9110B" w:rsidRDefault="00A31B5B">
            <w:pPr>
              <w:pStyle w:val="Normaltindrag"/>
              <w:rPr>
                <w:i/>
              </w:rPr>
            </w:pPr>
            <w:r w:rsidRPr="00F9110B">
              <w:t>Den som i uttalande eller i annat meddelande som sprids hotar eller uttrycker missaktning för folk</w:t>
            </w:r>
            <w:r w:rsidRPr="00F9110B">
              <w:softHyphen/>
              <w:t xml:space="preserve">grupp eller annan sådan grupp av personer med anspelning på ras, hudfärg, nationellt eller etniskt ursprung, trosbekännelse </w:t>
            </w:r>
            <w:r w:rsidRPr="00F9110B">
              <w:rPr>
                <w:i/>
              </w:rPr>
              <w:t>eller sexuell läg</w:t>
            </w:r>
            <w:r w:rsidRPr="00F9110B">
              <w:rPr>
                <w:i/>
              </w:rPr>
              <w:t>g</w:t>
            </w:r>
            <w:r w:rsidRPr="00F9110B">
              <w:rPr>
                <w:i/>
              </w:rPr>
              <w:t>ning</w:t>
            </w:r>
            <w:r w:rsidRPr="00F9110B">
              <w:t xml:space="preserve">, döms för </w:t>
            </w:r>
            <w:r w:rsidRPr="00F9110B">
              <w:rPr>
                <w:i/>
                <w:u w:val="single"/>
              </w:rPr>
              <w:t>hets mot folkgrupp</w:t>
            </w:r>
            <w:r w:rsidRPr="00F9110B">
              <w:t xml:space="preserve"> till fängelse i högst två år eller om bro</w:t>
            </w:r>
            <w:r w:rsidRPr="00F9110B">
              <w:t>t</w:t>
            </w:r>
            <w:r w:rsidRPr="00F9110B">
              <w:t>tet är ringa, till böter.</w:t>
            </w:r>
          </w:p>
        </w:tc>
      </w:tr>
      <w:tr w:rsidR="00000000" w:rsidRPr="00F9110B">
        <w:tblPrEx>
          <w:tblCellMar>
            <w:top w:w="0" w:type="dxa"/>
            <w:bottom w:w="0" w:type="dxa"/>
          </w:tblCellMar>
        </w:tblPrEx>
        <w:tc>
          <w:tcPr>
            <w:tcW w:w="3090" w:type="dxa"/>
          </w:tcPr>
          <w:p w:rsidR="00A31B5B" w:rsidRPr="00F9110B" w:rsidRDefault="00A31B5B">
            <w:pPr>
              <w:pStyle w:val="Normaltindrag"/>
            </w:pPr>
          </w:p>
        </w:tc>
        <w:tc>
          <w:tcPr>
            <w:tcW w:w="3090" w:type="dxa"/>
          </w:tcPr>
          <w:p w:rsidR="00A31B5B" w:rsidRPr="00F9110B" w:rsidRDefault="00A31B5B">
            <w:pPr>
              <w:pStyle w:val="Normaltindrag"/>
            </w:pPr>
            <w:r w:rsidRPr="00F9110B">
              <w:rPr>
                <w:i/>
              </w:rPr>
              <w:t>Är brottet grovt döms till fäng</w:t>
            </w:r>
            <w:r w:rsidRPr="00F9110B">
              <w:rPr>
                <w:i/>
              </w:rPr>
              <w:softHyphen/>
              <w:t>else i lägst sex månader och högst fyra år. Vid bedömande av om brottet är grovt skall särskilt be</w:t>
            </w:r>
            <w:r w:rsidRPr="00F9110B">
              <w:rPr>
                <w:i/>
              </w:rPr>
              <w:softHyphen/>
              <w:t>aktas om me</w:t>
            </w:r>
            <w:r w:rsidRPr="00F9110B">
              <w:rPr>
                <w:i/>
              </w:rPr>
              <w:t>d</w:t>
            </w:r>
            <w:r w:rsidRPr="00F9110B">
              <w:rPr>
                <w:i/>
              </w:rPr>
              <w:t>delandet haft ett sär</w:t>
            </w:r>
            <w:r w:rsidRPr="00F9110B">
              <w:rPr>
                <w:i/>
              </w:rPr>
              <w:softHyphen/>
              <w:t>skilt hotfullt eller kränkande inne</w:t>
            </w:r>
            <w:r w:rsidRPr="00F9110B">
              <w:rPr>
                <w:i/>
              </w:rPr>
              <w:softHyphen/>
              <w:t>håll och spritts till ett stort antal personer på ett sätt som varit äg</w:t>
            </w:r>
            <w:r w:rsidRPr="00F9110B">
              <w:rPr>
                <w:i/>
              </w:rPr>
              <w:softHyphen/>
              <w:t>nat att väcka betydande uppmärk</w:t>
            </w:r>
            <w:r w:rsidRPr="00F9110B">
              <w:rPr>
                <w:i/>
              </w:rPr>
              <w:softHyphen/>
              <w:t>samhet.</w:t>
            </w:r>
          </w:p>
        </w:tc>
      </w:tr>
      <w:tr w:rsidR="00000000" w:rsidRPr="00F9110B">
        <w:tblPrEx>
          <w:tblCellMar>
            <w:top w:w="0" w:type="dxa"/>
            <w:bottom w:w="0" w:type="dxa"/>
          </w:tblCellMar>
        </w:tblPrEx>
        <w:tc>
          <w:tcPr>
            <w:tcW w:w="3090" w:type="dxa"/>
          </w:tcPr>
          <w:p w:rsidR="00A31B5B" w:rsidRPr="00F9110B" w:rsidRDefault="00A31B5B">
            <w:pPr>
              <w:pStyle w:val="Proputanindrag"/>
              <w:rPr>
                <w:i/>
              </w:rPr>
            </w:pPr>
          </w:p>
        </w:tc>
        <w:tc>
          <w:tcPr>
            <w:tcW w:w="3090" w:type="dxa"/>
          </w:tcPr>
          <w:p w:rsidR="00A31B5B" w:rsidRPr="00F9110B" w:rsidRDefault="00A31B5B">
            <w:pPr>
              <w:pStyle w:val="Proputanindrag"/>
              <w:rPr>
                <w:i/>
              </w:rPr>
            </w:pPr>
          </w:p>
        </w:tc>
      </w:tr>
    </w:tbl>
    <w:p w:rsidR="00A31B5B" w:rsidRPr="00F9110B" w:rsidRDefault="00A31B5B">
      <w:r w:rsidRPr="00F9110B">
        <w:rPr>
          <w:u w:val="single"/>
        </w:rPr>
        <w:t>                                     </w:t>
      </w:r>
    </w:p>
    <w:p w:rsidR="00A31B5B" w:rsidRPr="00F9110B" w:rsidRDefault="00A31B5B"/>
    <w:p w:rsidR="00A31B5B" w:rsidRPr="00F9110B" w:rsidRDefault="00A31B5B">
      <w:pPr>
        <w:pStyle w:val="Normaltindrag"/>
        <w:outlineLvl w:val="0"/>
      </w:pPr>
      <w:r w:rsidRPr="00F9110B">
        <w:t>Denna lag träder i kraft den 1 januari 2003.</w:t>
      </w:r>
    </w:p>
    <w:p w:rsidR="00A31B5B" w:rsidRPr="00F9110B" w:rsidRDefault="00A31B5B">
      <w:pPr>
        <w:pStyle w:val="Normaltindrag"/>
      </w:pPr>
    </w:p>
    <w:p w:rsidR="00A31B5B" w:rsidRPr="00F9110B" w:rsidRDefault="00A31B5B"/>
    <w:p w:rsidR="00A31B5B" w:rsidRPr="00F9110B" w:rsidRDefault="00A31B5B">
      <w:pPr>
        <w:pStyle w:val="Tryckort"/>
        <w:framePr w:wrap="around"/>
      </w:pPr>
      <w:r w:rsidRPr="00F9110B">
        <w:t>Elanders Gotab, Stockholm  2002</w:t>
      </w:r>
    </w:p>
    <w:p w:rsidR="00A31B5B" w:rsidRPr="00F9110B" w:rsidRDefault="00A31B5B">
      <w:pPr>
        <w:pStyle w:val="Normaltindrag"/>
      </w:pPr>
    </w:p>
    <w:sectPr w:rsidR="00A31B5B" w:rsidRPr="00F9110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B5B" w:rsidRPr="00F9110B" w:rsidRDefault="00A31B5B">
      <w:pPr>
        <w:spacing w:before="0" w:line="240" w:lineRule="auto"/>
      </w:pPr>
      <w:r w:rsidRPr="00F9110B">
        <w:separator/>
      </w:r>
    </w:p>
  </w:endnote>
  <w:endnote w:type="continuationSeparator" w:id="0">
    <w:p w:rsidR="00A31B5B" w:rsidRPr="00F9110B" w:rsidRDefault="00A31B5B">
      <w:pPr>
        <w:spacing w:before="0" w:line="240" w:lineRule="auto"/>
      </w:pPr>
      <w:r w:rsidRPr="00F91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2</w:t>
    </w:r>
    <w:r w:rsidRPr="00F9110B">
      <w:fldChar w:fldCharType="end"/>
    </w:r>
  </w:p>
  <w:p w:rsidR="00A31B5B" w:rsidRPr="00F9110B" w:rsidRDefault="00A31B5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2</w:t>
    </w:r>
    <w:r w:rsidRPr="00F9110B">
      <w:fldChar w:fldCharType="end"/>
    </w:r>
  </w:p>
  <w:p w:rsidR="00A31B5B" w:rsidRPr="00F9110B" w:rsidRDefault="00A31B5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3</w:t>
    </w:r>
    <w:r w:rsidRPr="00F9110B">
      <w:fldChar w:fldCharType="end"/>
    </w:r>
  </w:p>
  <w:p w:rsidR="00A31B5B" w:rsidRPr="00F9110B" w:rsidRDefault="00A31B5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4</w:instrText>
    </w:r>
    <w:r w:rsidRPr="00F9110B">
      <w:fldChar w:fldCharType="end"/>
    </w:r>
    <w:r w:rsidRPr="00F9110B">
      <w:instrText xml:space="preserve">/2 </w:instrText>
    </w:r>
    <w:r w:rsidRPr="00F9110B">
      <w:fldChar w:fldCharType="separate"/>
    </w:r>
    <w:r w:rsidRPr="00F9110B">
      <w:instrText>2</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4</w:instrText>
    </w:r>
    <w:r w:rsidRPr="00F9110B">
      <w:fldChar w:fldCharType="end"/>
    </w:r>
    <w:r w:rsidRPr="00F9110B">
      <w:instrText xml:space="preserve">/2) </w:instrText>
    </w:r>
    <w:r w:rsidRPr="00F9110B">
      <w:fldChar w:fldCharType="separate"/>
    </w:r>
    <w:r w:rsidRPr="00F9110B">
      <w:instrText>2</w:instrText>
    </w:r>
    <w:r w:rsidRPr="00F9110B">
      <w:fldChar w:fldCharType="end"/>
    </w:r>
    <w:r w:rsidRPr="00F9110B">
      <w:fldChar w:fldCharType="separate"/>
    </w:r>
    <w:r w:rsidRPr="00F9110B">
      <w:instrText>0</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4</w:instrText>
    </w:r>
    <w:r w:rsidRPr="00F9110B">
      <w:fldChar w:fldCharType="end"/>
    </w:r>
  </w:p>
  <w:p w:rsidR="00A31B5B" w:rsidRPr="00F9110B" w:rsidRDefault="00A31B5B">
    <w:pPr>
      <w:pStyle w:val="SidfotV"/>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w:instrText>
    </w:r>
    <w:r w:rsidRPr="00F9110B">
      <w:fldChar w:fldCharType="end"/>
    </w:r>
    <w:r w:rsidRPr="00F9110B">
      <w:instrText>"</w:instrText>
    </w:r>
    <w:r w:rsidRPr="00F9110B">
      <w:fldChar w:fldCharType="separate"/>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4</w:t>
    </w:r>
    <w:r w:rsidRPr="00F9110B">
      <w:fldChar w:fldCharType="end"/>
    </w:r>
  </w:p>
  <w:p w:rsidR="00A31B5B" w:rsidRPr="00F9110B" w:rsidRDefault="00A31B5B">
    <w:pPr>
      <w:pStyle w:val="SidfotH"/>
      <w:framePr w:w="8732" w:h="284" w:hRule="exact" w:hSpace="0" w:vSpace="0" w:wrap="around" w:xAlign="inside" w:y="13042" w:anchorLock="0"/>
    </w:pPr>
    <w:r w:rsidRPr="00F9110B">
      <w:fldChar w:fldCharType="end"/>
    </w:r>
  </w:p>
  <w:p w:rsidR="00A31B5B" w:rsidRPr="00F9110B" w:rsidRDefault="00A31B5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8</w:t>
    </w:r>
    <w:r w:rsidRPr="00F9110B">
      <w:fldChar w:fldCharType="end"/>
    </w:r>
  </w:p>
  <w:p w:rsidR="00A31B5B" w:rsidRPr="00F9110B" w:rsidRDefault="00A31B5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7</w:t>
    </w:r>
    <w:r w:rsidRPr="00F9110B">
      <w:fldChar w:fldCharType="end"/>
    </w:r>
  </w:p>
  <w:p w:rsidR="00A31B5B" w:rsidRPr="00F9110B" w:rsidRDefault="00A31B5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5</w:instrText>
    </w:r>
    <w:r w:rsidRPr="00F9110B">
      <w:fldChar w:fldCharType="end"/>
    </w:r>
    <w:r w:rsidRPr="00F9110B">
      <w:instrText xml:space="preserve">/2 </w:instrText>
    </w:r>
    <w:r w:rsidRPr="00F9110B">
      <w:fldChar w:fldCharType="separate"/>
    </w:r>
    <w:r w:rsidRPr="00F9110B">
      <w:instrText>2,5</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5</w:instrText>
    </w:r>
    <w:r w:rsidRPr="00F9110B">
      <w:fldChar w:fldCharType="end"/>
    </w:r>
    <w:r w:rsidRPr="00F9110B">
      <w:instrText xml:space="preserve">/2) </w:instrText>
    </w:r>
    <w:r w:rsidRPr="00F9110B">
      <w:fldChar w:fldCharType="separate"/>
    </w:r>
    <w:r w:rsidRPr="00F9110B">
      <w:instrText>2</w:instrText>
    </w:r>
    <w:r w:rsidRPr="00F9110B">
      <w:fldChar w:fldCharType="end"/>
    </w:r>
    <w:r w:rsidRPr="00F9110B">
      <w:fldChar w:fldCharType="separate"/>
    </w:r>
    <w:r w:rsidRPr="00F9110B">
      <w:instrText>0,5</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2</w:instrText>
    </w:r>
    <w:r w:rsidRPr="00F9110B">
      <w:fldChar w:fldCharType="end"/>
    </w:r>
  </w:p>
  <w:p w:rsidR="00A31B5B" w:rsidRPr="00F9110B" w:rsidRDefault="00A31B5B">
    <w:pPr>
      <w:pStyle w:val="SidfotH"/>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5</w:instrText>
    </w:r>
    <w:r w:rsidRPr="00F9110B">
      <w:fldChar w:fldCharType="end"/>
    </w:r>
    <w:r w:rsidRPr="00F9110B">
      <w:instrText>"</w:instrText>
    </w:r>
    <w:r w:rsidRPr="00F9110B">
      <w:fldChar w:fldCharType="separate"/>
    </w:r>
    <w:r w:rsidRPr="00F9110B">
      <w:t>5</w:t>
    </w:r>
    <w:r w:rsidRPr="00F9110B">
      <w:fldChar w:fldCharType="end"/>
    </w:r>
  </w:p>
  <w:p w:rsidR="00A31B5B" w:rsidRPr="00F9110B" w:rsidRDefault="00A31B5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14</w:t>
    </w:r>
    <w:r w:rsidRPr="00F9110B">
      <w:fldChar w:fldCharType="end"/>
    </w:r>
  </w:p>
  <w:p w:rsidR="00A31B5B" w:rsidRPr="00F9110B" w:rsidRDefault="00A31B5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13</w:t>
    </w:r>
    <w:r w:rsidRPr="00F9110B">
      <w:fldChar w:fldCharType="end"/>
    </w:r>
  </w:p>
  <w:p w:rsidR="00A31B5B" w:rsidRPr="00F9110B" w:rsidRDefault="00A31B5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9</w:instrText>
    </w:r>
    <w:r w:rsidRPr="00F9110B">
      <w:fldChar w:fldCharType="end"/>
    </w:r>
    <w:r w:rsidRPr="00F9110B">
      <w:instrText xml:space="preserve">/2 </w:instrText>
    </w:r>
    <w:r w:rsidRPr="00F9110B">
      <w:fldChar w:fldCharType="separate"/>
    </w:r>
    <w:r w:rsidRPr="00F9110B">
      <w:instrText>4,5</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9</w:instrText>
    </w:r>
    <w:r w:rsidRPr="00F9110B">
      <w:fldChar w:fldCharType="end"/>
    </w:r>
    <w:r w:rsidRPr="00F9110B">
      <w:instrText xml:space="preserve">/2) </w:instrText>
    </w:r>
    <w:r w:rsidRPr="00F9110B">
      <w:fldChar w:fldCharType="separate"/>
    </w:r>
    <w:r w:rsidRPr="00F9110B">
      <w:instrText>4</w:instrText>
    </w:r>
    <w:r w:rsidRPr="00F9110B">
      <w:fldChar w:fldCharType="end"/>
    </w:r>
    <w:r w:rsidRPr="00F9110B">
      <w:fldChar w:fldCharType="separate"/>
    </w:r>
    <w:r w:rsidRPr="00F9110B">
      <w:instrText>0,5</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10</w:instrText>
    </w:r>
    <w:r w:rsidRPr="00F9110B">
      <w:fldChar w:fldCharType="end"/>
    </w:r>
  </w:p>
  <w:p w:rsidR="00A31B5B" w:rsidRPr="00F9110B" w:rsidRDefault="00A31B5B">
    <w:pPr>
      <w:pStyle w:val="SidfotH"/>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9</w:instrText>
    </w:r>
    <w:r w:rsidRPr="00F9110B">
      <w:fldChar w:fldCharType="end"/>
    </w:r>
    <w:r w:rsidRPr="00F9110B">
      <w:instrText>"</w:instrText>
    </w:r>
    <w:r w:rsidRPr="00F9110B">
      <w:fldChar w:fldCharType="separate"/>
    </w:r>
    <w:r w:rsidRPr="00F9110B">
      <w:t>9</w:t>
    </w:r>
    <w:r w:rsidRPr="00F9110B">
      <w:fldChar w:fldCharType="end"/>
    </w:r>
  </w:p>
  <w:p w:rsidR="00A31B5B" w:rsidRPr="00F9110B" w:rsidRDefault="00A31B5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14</w:t>
    </w:r>
    <w:r w:rsidRPr="00F9110B">
      <w:fldChar w:fldCharType="end"/>
    </w:r>
  </w:p>
  <w:p w:rsidR="00A31B5B" w:rsidRPr="00F9110B" w:rsidRDefault="00A31B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3</w:t>
    </w:r>
    <w:r w:rsidRPr="00F9110B">
      <w:fldChar w:fldCharType="end"/>
    </w:r>
  </w:p>
  <w:p w:rsidR="00A31B5B" w:rsidRPr="00F9110B" w:rsidRDefault="00A31B5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15</w:t>
    </w:r>
    <w:r w:rsidRPr="00F9110B">
      <w:fldChar w:fldCharType="end"/>
    </w:r>
  </w:p>
  <w:p w:rsidR="00A31B5B" w:rsidRPr="00F9110B" w:rsidRDefault="00A31B5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15</w:instrText>
    </w:r>
    <w:r w:rsidRPr="00F9110B">
      <w:fldChar w:fldCharType="end"/>
    </w:r>
    <w:r w:rsidRPr="00F9110B">
      <w:instrText xml:space="preserve">/2 </w:instrText>
    </w:r>
    <w:r w:rsidRPr="00F9110B">
      <w:fldChar w:fldCharType="separate"/>
    </w:r>
    <w:r w:rsidRPr="00F9110B">
      <w:instrText>7,5</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15</w:instrText>
    </w:r>
    <w:r w:rsidRPr="00F9110B">
      <w:fldChar w:fldCharType="end"/>
    </w:r>
    <w:r w:rsidRPr="00F9110B">
      <w:instrText xml:space="preserve">/2) </w:instrText>
    </w:r>
    <w:r w:rsidRPr="00F9110B">
      <w:fldChar w:fldCharType="separate"/>
    </w:r>
    <w:r w:rsidRPr="00F9110B">
      <w:instrText>7</w:instrText>
    </w:r>
    <w:r w:rsidRPr="00F9110B">
      <w:fldChar w:fldCharType="end"/>
    </w:r>
    <w:r w:rsidRPr="00F9110B">
      <w:fldChar w:fldCharType="separate"/>
    </w:r>
    <w:r w:rsidRPr="00F9110B">
      <w:instrText>0,5</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16</w:instrText>
    </w:r>
    <w:r w:rsidRPr="00F9110B">
      <w:fldChar w:fldCharType="end"/>
    </w:r>
  </w:p>
  <w:p w:rsidR="00A31B5B" w:rsidRPr="00F9110B" w:rsidRDefault="00A31B5B">
    <w:pPr>
      <w:pStyle w:val="SidfotH"/>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15</w:instrText>
    </w:r>
    <w:r w:rsidRPr="00F9110B">
      <w:fldChar w:fldCharType="end"/>
    </w:r>
    <w:r w:rsidRPr="00F9110B">
      <w:instrText>"</w:instrText>
    </w:r>
    <w:r w:rsidRPr="00F9110B">
      <w:fldChar w:fldCharType="separate"/>
    </w:r>
    <w:r w:rsidRPr="00F9110B">
      <w:t>15</w:t>
    </w:r>
    <w:r w:rsidRPr="00F9110B">
      <w:fldChar w:fldCharType="end"/>
    </w:r>
  </w:p>
  <w:p w:rsidR="00A31B5B" w:rsidRPr="00F9110B" w:rsidRDefault="00A31B5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18</w:t>
    </w:r>
    <w:r w:rsidRPr="00F9110B">
      <w:fldChar w:fldCharType="end"/>
    </w:r>
  </w:p>
  <w:p w:rsidR="00A31B5B" w:rsidRPr="00F9110B" w:rsidRDefault="00A31B5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19</w:t>
    </w:r>
    <w:r w:rsidRPr="00F9110B">
      <w:fldChar w:fldCharType="end"/>
    </w:r>
  </w:p>
  <w:p w:rsidR="00A31B5B" w:rsidRPr="00F9110B" w:rsidRDefault="00A31B5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17</w:instrText>
    </w:r>
    <w:r w:rsidRPr="00F9110B">
      <w:fldChar w:fldCharType="end"/>
    </w:r>
    <w:r w:rsidRPr="00F9110B">
      <w:instrText xml:space="preserve">/2 </w:instrText>
    </w:r>
    <w:r w:rsidRPr="00F9110B">
      <w:fldChar w:fldCharType="separate"/>
    </w:r>
    <w:r w:rsidRPr="00F9110B">
      <w:instrText>8,5</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17</w:instrText>
    </w:r>
    <w:r w:rsidRPr="00F9110B">
      <w:fldChar w:fldCharType="end"/>
    </w:r>
    <w:r w:rsidRPr="00F9110B">
      <w:instrText xml:space="preserve">/2) </w:instrText>
    </w:r>
    <w:r w:rsidRPr="00F9110B">
      <w:fldChar w:fldCharType="separate"/>
    </w:r>
    <w:r w:rsidRPr="00F9110B">
      <w:instrText>8</w:instrText>
    </w:r>
    <w:r w:rsidRPr="00F9110B">
      <w:fldChar w:fldCharType="end"/>
    </w:r>
    <w:r w:rsidRPr="00F9110B">
      <w:fldChar w:fldCharType="separate"/>
    </w:r>
    <w:r w:rsidRPr="00F9110B">
      <w:instrText>0,5</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16</w:instrText>
    </w:r>
    <w:r w:rsidRPr="00F9110B">
      <w:fldChar w:fldCharType="end"/>
    </w:r>
  </w:p>
  <w:p w:rsidR="00A31B5B" w:rsidRPr="00F9110B" w:rsidRDefault="00A31B5B">
    <w:pPr>
      <w:pStyle w:val="SidfotH"/>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17</w:instrText>
    </w:r>
    <w:r w:rsidRPr="00F9110B">
      <w:fldChar w:fldCharType="end"/>
    </w:r>
    <w:r w:rsidRPr="00F9110B">
      <w:instrText>"</w:instrText>
    </w:r>
    <w:r w:rsidRPr="00F9110B">
      <w:fldChar w:fldCharType="separate"/>
    </w:r>
    <w:r w:rsidRPr="00F9110B">
      <w:t>17</w:t>
    </w:r>
    <w:r w:rsidRPr="00F9110B">
      <w:fldChar w:fldCharType="end"/>
    </w:r>
  </w:p>
  <w:p w:rsidR="00A31B5B" w:rsidRPr="00F9110B" w:rsidRDefault="00A31B5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20</w:t>
    </w:r>
    <w:r w:rsidRPr="00F9110B">
      <w:fldChar w:fldCharType="end"/>
    </w:r>
  </w:p>
  <w:p w:rsidR="00A31B5B" w:rsidRPr="00F9110B" w:rsidRDefault="00A31B5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21</w:t>
    </w:r>
    <w:r w:rsidRPr="00F9110B">
      <w:fldChar w:fldCharType="end"/>
    </w:r>
  </w:p>
  <w:p w:rsidR="00A31B5B" w:rsidRPr="00F9110B" w:rsidRDefault="00A31B5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19</w:instrText>
    </w:r>
    <w:r w:rsidRPr="00F9110B">
      <w:fldChar w:fldCharType="end"/>
    </w:r>
    <w:r w:rsidRPr="00F9110B">
      <w:instrText xml:space="preserve">/2 </w:instrText>
    </w:r>
    <w:r w:rsidRPr="00F9110B">
      <w:fldChar w:fldCharType="separate"/>
    </w:r>
    <w:r w:rsidRPr="00F9110B">
      <w:instrText>9,5</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19</w:instrText>
    </w:r>
    <w:r w:rsidRPr="00F9110B">
      <w:fldChar w:fldCharType="end"/>
    </w:r>
    <w:r w:rsidRPr="00F9110B">
      <w:instrText xml:space="preserve">/2) </w:instrText>
    </w:r>
    <w:r w:rsidRPr="00F9110B">
      <w:fldChar w:fldCharType="separate"/>
    </w:r>
    <w:r w:rsidRPr="00F9110B">
      <w:instrText>9</w:instrText>
    </w:r>
    <w:r w:rsidRPr="00F9110B">
      <w:fldChar w:fldCharType="end"/>
    </w:r>
    <w:r w:rsidRPr="00F9110B">
      <w:fldChar w:fldCharType="separate"/>
    </w:r>
    <w:r w:rsidRPr="00F9110B">
      <w:instrText>0,5</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18</w:instrText>
    </w:r>
    <w:r w:rsidRPr="00F9110B">
      <w:fldChar w:fldCharType="end"/>
    </w:r>
  </w:p>
  <w:p w:rsidR="00A31B5B" w:rsidRPr="00F9110B" w:rsidRDefault="00A31B5B">
    <w:pPr>
      <w:pStyle w:val="SidfotH"/>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19</w:instrText>
    </w:r>
    <w:r w:rsidRPr="00F9110B">
      <w:fldChar w:fldCharType="end"/>
    </w:r>
    <w:r w:rsidRPr="00F9110B">
      <w:instrText>"</w:instrText>
    </w:r>
    <w:r w:rsidRPr="00F9110B">
      <w:fldChar w:fldCharType="separate"/>
    </w:r>
    <w:r w:rsidRPr="00F9110B">
      <w:t>19</w:t>
    </w:r>
    <w:r w:rsidRPr="00F9110B">
      <w:fldChar w:fldCharType="end"/>
    </w:r>
  </w:p>
  <w:p w:rsidR="00A31B5B" w:rsidRPr="00F9110B" w:rsidRDefault="00A31B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00F9110B">
      <w:rPr>
        <w:noProof/>
      </w:rPr>
      <w:instrText>1</w:instrText>
    </w:r>
    <w:r w:rsidRPr="00F9110B">
      <w:fldChar w:fldCharType="end"/>
    </w:r>
    <w:r w:rsidRPr="00F9110B">
      <w:instrText xml:space="preserve">/2 </w:instrText>
    </w:r>
    <w:r w:rsidRPr="00F9110B">
      <w:fldChar w:fldCharType="separate"/>
    </w:r>
    <w:r w:rsidR="00F9110B">
      <w:rPr>
        <w:noProof/>
      </w:rPr>
      <w:instrText>0,5</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00F9110B">
      <w:rPr>
        <w:noProof/>
      </w:rPr>
      <w:instrText>1</w:instrText>
    </w:r>
    <w:r w:rsidRPr="00F9110B">
      <w:fldChar w:fldCharType="end"/>
    </w:r>
    <w:r w:rsidRPr="00F9110B">
      <w:instrText xml:space="preserve">/2) </w:instrText>
    </w:r>
    <w:r w:rsidRPr="00F9110B">
      <w:fldChar w:fldCharType="separate"/>
    </w:r>
    <w:r w:rsidR="00F9110B">
      <w:rPr>
        <w:noProof/>
      </w:rPr>
      <w:instrText>0</w:instrText>
    </w:r>
    <w:r w:rsidRPr="00F9110B">
      <w:fldChar w:fldCharType="end"/>
    </w:r>
    <w:r w:rsidRPr="00F9110B">
      <w:fldChar w:fldCharType="separate"/>
    </w:r>
    <w:r w:rsidR="00F9110B">
      <w:rPr>
        <w:noProof/>
      </w:rPr>
      <w:instrText>0,5</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14</w:instrText>
    </w:r>
    <w:r w:rsidRPr="00F9110B">
      <w:fldChar w:fldCharType="end"/>
    </w:r>
  </w:p>
  <w:p w:rsidR="00A31B5B" w:rsidRPr="00F9110B" w:rsidRDefault="00A31B5B">
    <w:pPr>
      <w:pStyle w:val="SidfotH"/>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00F9110B">
      <w:rPr>
        <w:noProof/>
      </w:rPr>
      <w:instrText>1</w:instrText>
    </w:r>
    <w:r w:rsidRPr="00F9110B">
      <w:fldChar w:fldCharType="end"/>
    </w:r>
    <w:r w:rsidRPr="00F9110B">
      <w:instrText>"</w:instrText>
    </w:r>
    <w:r w:rsidRPr="00F9110B">
      <w:fldChar w:fldCharType="separate"/>
    </w:r>
    <w:r w:rsidR="00F9110B">
      <w:rPr>
        <w:noProof/>
      </w:rPr>
      <w:t>1</w:t>
    </w:r>
    <w:r w:rsidRPr="00F9110B">
      <w:fldChar w:fldCharType="end"/>
    </w:r>
  </w:p>
  <w:p w:rsidR="00A31B5B" w:rsidRPr="00F9110B" w:rsidRDefault="00A31B5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2</w:t>
    </w:r>
    <w:r w:rsidRPr="00F9110B">
      <w:fldChar w:fldCharType="end"/>
    </w:r>
  </w:p>
  <w:p w:rsidR="00A31B5B" w:rsidRPr="00F9110B" w:rsidRDefault="00A31B5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3</w:t>
    </w:r>
    <w:r w:rsidRPr="00F9110B">
      <w:fldChar w:fldCharType="end"/>
    </w:r>
  </w:p>
  <w:p w:rsidR="00A31B5B" w:rsidRPr="00F9110B" w:rsidRDefault="00A31B5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2</w:instrText>
    </w:r>
    <w:r w:rsidRPr="00F9110B">
      <w:fldChar w:fldCharType="end"/>
    </w:r>
    <w:r w:rsidRPr="00F9110B">
      <w:instrText xml:space="preserve">/2 </w:instrText>
    </w:r>
    <w:r w:rsidRPr="00F9110B">
      <w:fldChar w:fldCharType="separate"/>
    </w:r>
    <w:r w:rsidRPr="00F9110B">
      <w:instrText>1</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2</w:instrText>
    </w:r>
    <w:r w:rsidRPr="00F9110B">
      <w:fldChar w:fldCharType="end"/>
    </w:r>
    <w:r w:rsidRPr="00F9110B">
      <w:instrText xml:space="preserve">/2) </w:instrText>
    </w:r>
    <w:r w:rsidRPr="00F9110B">
      <w:fldChar w:fldCharType="separate"/>
    </w:r>
    <w:r w:rsidRPr="00F9110B">
      <w:instrText>1</w:instrText>
    </w:r>
    <w:r w:rsidRPr="00F9110B">
      <w:fldChar w:fldCharType="end"/>
    </w:r>
    <w:r w:rsidRPr="00F9110B">
      <w:fldChar w:fldCharType="separate"/>
    </w:r>
    <w:r w:rsidRPr="00F9110B">
      <w:instrText>0</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2</w:instrText>
    </w:r>
    <w:r w:rsidRPr="00F9110B">
      <w:fldChar w:fldCharType="end"/>
    </w:r>
  </w:p>
  <w:p w:rsidR="00A31B5B" w:rsidRPr="00F9110B" w:rsidRDefault="00A31B5B">
    <w:pPr>
      <w:pStyle w:val="SidfotV"/>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1</w:instrText>
    </w:r>
    <w:r w:rsidRPr="00F9110B">
      <w:fldChar w:fldCharType="end"/>
    </w:r>
    <w:r w:rsidRPr="00F9110B">
      <w:instrText>"</w:instrText>
    </w:r>
    <w:r w:rsidRPr="00F9110B">
      <w:fldChar w:fldCharType="separate"/>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2</w:t>
    </w:r>
    <w:r w:rsidRPr="00F9110B">
      <w:fldChar w:fldCharType="end"/>
    </w:r>
  </w:p>
  <w:p w:rsidR="00A31B5B" w:rsidRPr="00F9110B" w:rsidRDefault="00A31B5B">
    <w:pPr>
      <w:pStyle w:val="SidfotH"/>
      <w:framePr w:w="8732" w:h="284" w:hRule="exact" w:hSpace="0" w:vSpace="0" w:wrap="around" w:xAlign="inside" w:y="13042" w:anchorLock="0"/>
    </w:pPr>
    <w:r w:rsidRPr="00F9110B">
      <w:fldChar w:fldCharType="end"/>
    </w:r>
  </w:p>
  <w:p w:rsidR="00A31B5B" w:rsidRPr="00F9110B" w:rsidRDefault="00A31B5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2</w:t>
    </w:r>
    <w:r w:rsidRPr="00F9110B">
      <w:fldChar w:fldCharType="end"/>
    </w:r>
  </w:p>
  <w:p w:rsidR="00A31B5B" w:rsidRPr="00F9110B" w:rsidRDefault="00A31B5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H"/>
      <w:framePr w:w="8732" w:h="284" w:hRule="exact" w:hSpace="0" w:vSpace="0" w:wrap="around" w:xAlign="inside" w:y="13042" w:anchorLock="0"/>
    </w:pP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t>3</w:t>
    </w:r>
    <w:r w:rsidRPr="00F9110B">
      <w:fldChar w:fldCharType="end"/>
    </w:r>
  </w:p>
  <w:p w:rsidR="00A31B5B" w:rsidRPr="00F9110B" w:rsidRDefault="00A31B5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fotV"/>
      <w:framePr w:w="8732" w:h="284" w:hRule="exact" w:hSpace="0" w:vSpace="0" w:wrap="around" w:xAlign="inside" w:y="13042" w:anchorLock="0"/>
    </w:pP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3</w:instrText>
    </w:r>
    <w:r w:rsidRPr="00F9110B">
      <w:fldChar w:fldCharType="end"/>
    </w:r>
    <w:r w:rsidRPr="00F9110B">
      <w:instrText xml:space="preserve">/2 </w:instrText>
    </w:r>
    <w:r w:rsidRPr="00F9110B">
      <w:fldChar w:fldCharType="separate"/>
    </w:r>
    <w:r w:rsidRPr="00F9110B">
      <w:instrText>1,5</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3</w:instrText>
    </w:r>
    <w:r w:rsidRPr="00F9110B">
      <w:fldChar w:fldCharType="end"/>
    </w:r>
    <w:r w:rsidRPr="00F9110B">
      <w:instrText xml:space="preserve">/2) </w:instrText>
    </w:r>
    <w:r w:rsidRPr="00F9110B">
      <w:fldChar w:fldCharType="separate"/>
    </w:r>
    <w:r w:rsidRPr="00F9110B">
      <w:instrText>1</w:instrText>
    </w:r>
    <w:r w:rsidRPr="00F9110B">
      <w:fldChar w:fldCharType="end"/>
    </w:r>
    <w:r w:rsidRPr="00F9110B">
      <w:fldChar w:fldCharType="separate"/>
    </w:r>
    <w:r w:rsidRPr="00F9110B">
      <w:instrText>0,5</w:instrText>
    </w:r>
    <w:r w:rsidRPr="00F9110B">
      <w:fldChar w:fldCharType="end"/>
    </w:r>
    <w:r w:rsidRPr="00F9110B">
      <w:instrText xml:space="preserve"> = 0 "</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2</w:instrText>
    </w:r>
    <w:r w:rsidRPr="00F9110B">
      <w:fldChar w:fldCharType="end"/>
    </w:r>
  </w:p>
  <w:p w:rsidR="00A31B5B" w:rsidRPr="00F9110B" w:rsidRDefault="00A31B5B">
    <w:pPr>
      <w:pStyle w:val="SidfotH"/>
      <w:framePr w:w="8732" w:h="284" w:hRule="exact" w:hSpace="0" w:vSpace="0" w:wrap="around" w:xAlign="inside" w:y="13042" w:anchorLock="0"/>
    </w:pPr>
    <w:r w:rsidRPr="00F9110B">
      <w:instrText>""</w:instrText>
    </w:r>
    <w:r w:rsidRPr="00F9110B">
      <w:fldChar w:fldCharType="begin" w:fldLock="1"/>
    </w:r>
    <w:r w:rsidRPr="00F9110B">
      <w:instrText xml:space="preserve"> P</w:instrText>
    </w:r>
    <w:r w:rsidRPr="00F9110B">
      <w:instrText>A</w:instrText>
    </w:r>
    <w:r w:rsidRPr="00F9110B">
      <w:instrText xml:space="preserve">GE </w:instrText>
    </w:r>
    <w:r w:rsidRPr="00F9110B">
      <w:fldChar w:fldCharType="separate"/>
    </w:r>
    <w:r w:rsidRPr="00F9110B">
      <w:instrText>3</w:instrText>
    </w:r>
    <w:r w:rsidRPr="00F9110B">
      <w:fldChar w:fldCharType="end"/>
    </w:r>
    <w:r w:rsidRPr="00F9110B">
      <w:instrText>"</w:instrText>
    </w:r>
    <w:r w:rsidRPr="00F9110B">
      <w:fldChar w:fldCharType="separate"/>
    </w:r>
    <w:r w:rsidRPr="00F9110B">
      <w:t>3</w:t>
    </w:r>
    <w:r w:rsidRPr="00F9110B">
      <w:fldChar w:fldCharType="end"/>
    </w:r>
  </w:p>
  <w:p w:rsidR="00A31B5B" w:rsidRPr="00F9110B" w:rsidRDefault="00A31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B5B" w:rsidRPr="00F9110B" w:rsidRDefault="00A31B5B">
      <w:pPr>
        <w:pStyle w:val="Sidfot"/>
      </w:pPr>
    </w:p>
  </w:footnote>
  <w:footnote w:type="continuationSeparator" w:id="0">
    <w:p w:rsidR="00A31B5B" w:rsidRPr="00F9110B" w:rsidRDefault="00A31B5B">
      <w:pPr>
        <w:spacing w:before="0" w:line="240" w:lineRule="auto"/>
      </w:pPr>
      <w:r w:rsidRPr="00F9110B">
        <w:continuationSeparator/>
      </w:r>
    </w:p>
  </w:footnote>
  <w:footnote w:id="1">
    <w:p w:rsidR="00A31B5B" w:rsidRPr="00F9110B" w:rsidRDefault="00A31B5B">
      <w:pPr>
        <w:pStyle w:val="Fotnotstext"/>
      </w:pPr>
      <w:r w:rsidRPr="00F9110B">
        <w:rPr>
          <w:rStyle w:val="Fotnotsreferens"/>
        </w:rPr>
        <w:footnoteRef/>
      </w:r>
      <w:r w:rsidRPr="00F9110B">
        <w:t xml:space="preserve"> Tryckfrihetsförordningen omtryckt 1998:1438.</w:t>
      </w:r>
    </w:p>
  </w:footnote>
  <w:footnote w:id="2">
    <w:p w:rsidR="00A31B5B" w:rsidRPr="00F9110B" w:rsidRDefault="00A31B5B">
      <w:pPr>
        <w:pStyle w:val="Fotnotstext"/>
      </w:pPr>
      <w:r w:rsidRPr="00F9110B">
        <w:rPr>
          <w:rStyle w:val="Fotnotsreferens"/>
        </w:rPr>
        <w:t>1</w:t>
      </w:r>
      <w:r w:rsidRPr="00F9110B">
        <w:t xml:space="preserve"> Senaste lydelse 1988:835.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t>7</w:t>
    </w:r>
    <w:r w:rsidRPr="00F9110B">
      <w:rPr>
        <w:rStyle w:val="SidhuvudUtskott"/>
      </w:rPr>
      <w:fldChar w:fldCharType="end"/>
    </w:r>
    <w:r w:rsidRPr="00F9110B">
      <w:t xml:space="preserve">     </w:t>
    </w:r>
    <w:r w:rsidRPr="00F9110B">
      <w:rPr>
        <w:rStyle w:val="SidhuvudBilaga"/>
      </w:rPr>
      <w:t xml:space="preserve"> </w:t>
    </w: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Sammanfattning</w:t>
    </w:r>
    <w:r w:rsidRPr="00F9110B">
      <w:rPr>
        <w:rStyle w:val="SidhuvudRubrikReferens"/>
      </w:rPr>
      <w:fldChar w:fldCharType="end"/>
    </w:r>
  </w:p>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Status</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    </w:instrText>
    </w:r>
    <w:r w:rsidRPr="00F9110B">
      <w:rPr>
        <w:rStyle w:val="SidhuvudUtskott"/>
      </w:rPr>
      <w:fldChar w:fldCharType="begin" w:fldLock="1"/>
    </w:r>
    <w:r w:rsidRPr="00F9110B">
      <w:rPr>
        <w:rStyle w:val="SidhuvudUtskott"/>
      </w:rPr>
      <w:instrText xml:space="preserve"> PRINTDATE \@ "yyyy-MM-dd HH.mm"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p>
  <w:p w:rsidR="00A31B5B" w:rsidRPr="00F9110B" w:rsidRDefault="00A31B5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t>7</w:t>
    </w:r>
    <w:r w:rsidRPr="00F9110B">
      <w:rPr>
        <w:rStyle w:val="SidhuvudUtskott"/>
      </w:rPr>
      <w:fldChar w:fldCharType="end"/>
    </w:r>
    <w:r w:rsidRPr="00F9110B">
      <w:t xml:space="preserve">     </w:t>
    </w:r>
    <w:r w:rsidRPr="00F9110B">
      <w:rPr>
        <w:rStyle w:val="SidhuvudBilaga"/>
      </w:rPr>
      <w:t xml:space="preserve"> </w:t>
    </w: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Utskottets förslag till riksdagsbeslut</w:t>
    </w:r>
    <w:r w:rsidRPr="00F9110B">
      <w:rPr>
        <w:rStyle w:val="SidhuvudRubrikReferens"/>
      </w:rPr>
      <w:fldChar w:fldCharType="end"/>
    </w:r>
  </w:p>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Status</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    </w:instrText>
    </w:r>
    <w:r w:rsidRPr="00F9110B">
      <w:rPr>
        <w:rStyle w:val="SidhuvudUtskott"/>
      </w:rPr>
      <w:fldChar w:fldCharType="begin" w:fldLock="1"/>
    </w:r>
    <w:r w:rsidRPr="00F9110B">
      <w:rPr>
        <w:rStyle w:val="SidhuvudUtskott"/>
      </w:rPr>
      <w:instrText xml:space="preserve"> PRINTDATE \@ "yyyy-MM-dd HH.mm"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p>
  <w:p w:rsidR="00A31B5B" w:rsidRPr="00F9110B" w:rsidRDefault="00A31B5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Utskottets förslag till riksdagsbeslut</w:t>
    </w:r>
    <w:r w:rsidRPr="00F9110B">
      <w:rPr>
        <w:rStyle w:val="SidhuvudRubrikReferens"/>
      </w:rPr>
      <w:fldChar w:fldCharType="end"/>
    </w:r>
    <w:r w:rsidRPr="00F9110B">
      <w:rPr>
        <w:rStyle w:val="SidhuvudBilaga"/>
      </w:rPr>
      <w:t xml:space="preserve"> </w:t>
    </w:r>
    <w:r w:rsidRPr="00F9110B">
      <w:t xml:space="preserve">     </w: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w:instrText>
    </w:r>
    <w:r w:rsidRPr="00F9110B">
      <w:instrText xml:space="preserve"> </w:instrText>
    </w:r>
    <w:r w:rsidRPr="00F9110B">
      <w:rPr>
        <w:rStyle w:val="SidhuvudUtskott"/>
      </w:rPr>
      <w:instrText>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w:instrText>
    </w:r>
    <w:r w:rsidRPr="00F9110B">
      <w:rPr>
        <w:rStyle w:val="SidhuvudUtskott"/>
      </w:rPr>
      <w:instrText>n</w:instrText>
    </w:r>
    <w:r w:rsidRPr="00F9110B">
      <w:rPr>
        <w:rStyle w:val="SidhuvudUtskott"/>
      </w:rPr>
      <w:instrText>kandeNr</w:instrText>
    </w:r>
    <w:r w:rsidRPr="00F9110B">
      <w:rPr>
        <w:rStyle w:val="SidhuvudUtskott"/>
      </w:rPr>
      <w:fldChar w:fldCharType="separate"/>
    </w:r>
    <w:r w:rsidRPr="00F9110B">
      <w:rPr>
        <w:rStyle w:val="SidhuvudUtskott"/>
      </w:rPr>
      <w:t>7</w: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w:instrText>
    </w:r>
    <w:r w:rsidRPr="00F9110B">
      <w:rPr>
        <w:rStyle w:val="SidhuvudUtskott"/>
      </w:rPr>
      <w:fldChar w:fldCharType="begin" w:fldLock="1"/>
    </w:r>
    <w:r w:rsidRPr="00F9110B">
      <w:rPr>
        <w:rStyle w:val="SidhuvudUtskott"/>
      </w:rPr>
      <w:instrText xml:space="preserve"> PRINTDATE \@ "yyyy-MM-dd HH.mm    "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PERTY Status</w:instrText>
    </w:r>
    <w:r w:rsidRPr="00F9110B">
      <w:rPr>
        <w:rStyle w:val="SidhuvudUtskott"/>
      </w:rPr>
      <w:fldChar w:fldCharType="end"/>
    </w:r>
  </w:p>
  <w:p w:rsidR="00A31B5B" w:rsidRPr="00F9110B" w:rsidRDefault="00A31B5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t>2002/03:KU7</w:t>
    </w:r>
    <w:r w:rsidRPr="00F9110B">
      <w:t xml:space="preserve">    </w:t>
    </w:r>
  </w:p>
  <w:p w:rsidR="00A31B5B" w:rsidRPr="00F9110B" w:rsidRDefault="00A31B5B">
    <w:pPr>
      <w:pStyle w:val="SidhuvudKantJmn"/>
      <w:framePr w:w="8732" w:h="567" w:hRule="exact" w:vSpace="0" w:wrap="around" w:vAnchor="page" w:y="341" w:anchorLock="0"/>
    </w:pPr>
  </w:p>
  <w:p w:rsidR="00A31B5B" w:rsidRPr="00F9110B" w:rsidRDefault="00A31B5B">
    <w:pPr>
      <w:pStyle w:val="SidhuvudKantUdda"/>
      <w:framePr w:w="8732" w:h="567" w:hRule="exact" w:vSpace="0" w:wrap="around" w:vAnchor="page" w:y="341" w:anchorLock="0"/>
    </w:pPr>
    <w:r w:rsidRPr="00F9110B">
      <w:rPr>
        <w:rStyle w:val="SidhuvudRubrikReferens"/>
        <w:smallCaps w:val="0"/>
        <w:spacing w:val="0"/>
        <w:sz w:val="19"/>
      </w:rPr>
      <w:t xml:space="preserve"> </w:t>
    </w:r>
  </w:p>
  <w:p w:rsidR="00A31B5B" w:rsidRPr="00F9110B" w:rsidRDefault="00A31B5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t>2002/03:KU7</w:t>
    </w:r>
    <w:r w:rsidRPr="00F9110B">
      <w:t xml:space="preserve">     </w:t>
    </w:r>
    <w:r w:rsidRPr="00F9110B">
      <w:rPr>
        <w:rStyle w:val="SidhuvudBilaga"/>
      </w:rPr>
      <w:t xml:space="preserve"> </w:t>
    </w:r>
    <w:r w:rsidRPr="00F9110B">
      <w:rPr>
        <w:rStyle w:val="SidhuvudRubrikReferens"/>
      </w:rPr>
      <w:t>Utskottets överväganden</w:t>
    </w:r>
  </w:p>
  <w:p w:rsidR="00A31B5B" w:rsidRPr="00F9110B" w:rsidRDefault="00A31B5B">
    <w:pPr>
      <w:pStyle w:val="SidhuvudKantJmn"/>
      <w:framePr w:w="8732" w:h="567" w:hRule="exact" w:vSpace="0" w:wrap="around" w:vAnchor="page" w:y="341" w:anchorLock="0"/>
    </w:pPr>
  </w:p>
  <w:p w:rsidR="00A31B5B" w:rsidRPr="00F9110B" w:rsidRDefault="00A31B5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t>Utskottets överväganden</w:t>
    </w:r>
    <w:r w:rsidRPr="00F9110B">
      <w:rPr>
        <w:rStyle w:val="SidhuvudBilaga"/>
      </w:rPr>
      <w:t xml:space="preserve"> </w:t>
    </w:r>
    <w:r w:rsidRPr="00F9110B">
      <w:t xml:space="preserve">     </w:t>
    </w:r>
    <w:r w:rsidRPr="00F9110B">
      <w:rPr>
        <w:rStyle w:val="SidhuvudUtskott"/>
      </w:rPr>
      <w:t>2002/03:KU7</w:t>
    </w:r>
  </w:p>
  <w:p w:rsidR="00A31B5B" w:rsidRPr="00F9110B" w:rsidRDefault="00A31B5B">
    <w:pPr>
      <w:pStyle w:val="SidhuvudKantUdda"/>
      <w:framePr w:w="8732" w:h="567" w:hRule="exact" w:vSpace="0" w:wrap="around" w:vAnchor="page" w:y="341" w:anchorLock="0"/>
    </w:pPr>
  </w:p>
  <w:p w:rsidR="00A31B5B" w:rsidRPr="00F9110B" w:rsidRDefault="00A31B5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t xml:space="preserve">  </w:t>
    </w:r>
    <w:r w:rsidRPr="00F9110B">
      <w:rPr>
        <w:rStyle w:val="SidhuvudUtskott"/>
      </w:rPr>
      <w:t>2002/03:KU7</w:t>
    </w:r>
  </w:p>
  <w:p w:rsidR="00A31B5B" w:rsidRPr="00F9110B" w:rsidRDefault="00A31B5B">
    <w:pPr>
      <w:pStyle w:val="SidhuvudKantUdda"/>
      <w:framePr w:w="8732" w:h="567" w:hRule="exact" w:vSpace="0" w:wrap="around" w:vAnchor="page" w:y="341" w:anchorLock="0"/>
    </w:pPr>
  </w:p>
  <w:p w:rsidR="00A31B5B" w:rsidRPr="00F9110B" w:rsidRDefault="00A31B5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t>2002/03:KU7</w:t>
    </w:r>
    <w:r w:rsidRPr="00F9110B">
      <w:t xml:space="preserve">     </w:t>
    </w:r>
    <w:r w:rsidRPr="00F9110B">
      <w:rPr>
        <w:rStyle w:val="SidhuvudBilaga"/>
      </w:rPr>
      <w:t xml:space="preserve"> </w:t>
    </w:r>
    <w:r w:rsidRPr="00F9110B">
      <w:rPr>
        <w:rStyle w:val="SidhuvudRubrikReferens"/>
      </w:rPr>
      <w:t>Reservationer</w:t>
    </w:r>
  </w:p>
  <w:p w:rsidR="00A31B5B" w:rsidRPr="00F9110B" w:rsidRDefault="00A31B5B">
    <w:pPr>
      <w:pStyle w:val="SidhuvudKantJmn"/>
      <w:framePr w:w="8732" w:h="567" w:hRule="exact" w:vSpace="0" w:wrap="around" w:vAnchor="page" w:y="341" w:anchorLock="0"/>
    </w:pPr>
  </w:p>
  <w:p w:rsidR="00A31B5B" w:rsidRPr="00F9110B" w:rsidRDefault="00A31B5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t>Reservationer</w:t>
    </w:r>
    <w:r w:rsidRPr="00F9110B">
      <w:rPr>
        <w:rStyle w:val="SidhuvudBilaga"/>
      </w:rPr>
      <w:t xml:space="preserve"> </w:t>
    </w:r>
    <w:r w:rsidRPr="00F9110B">
      <w:t xml:space="preserve">     </w:t>
    </w:r>
    <w:r w:rsidRPr="00F9110B">
      <w:rPr>
        <w:rStyle w:val="SidhuvudUtskott"/>
      </w:rPr>
      <w:t>2002/03:KU7</w:t>
    </w:r>
  </w:p>
  <w:p w:rsidR="00A31B5B" w:rsidRPr="00F9110B" w:rsidRDefault="00A31B5B">
    <w:pPr>
      <w:pStyle w:val="SidhuvudKantUdda"/>
      <w:framePr w:w="8732" w:h="567" w:hRule="exact" w:vSpace="0" w:wrap="around" w:vAnchor="page" w:y="341" w:anchorLock="0"/>
    </w:pPr>
  </w:p>
  <w:p w:rsidR="00A31B5B" w:rsidRPr="00F9110B" w:rsidRDefault="00A31B5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t xml:space="preserve">  </w:t>
    </w:r>
    <w:r w:rsidRPr="00F9110B">
      <w:rPr>
        <w:rStyle w:val="SidhuvudUtskott"/>
      </w:rPr>
      <w:t>2002/03:KU7</w:t>
    </w:r>
  </w:p>
  <w:p w:rsidR="00A31B5B" w:rsidRPr="00F9110B" w:rsidRDefault="00A31B5B">
    <w:pPr>
      <w:pStyle w:val="SidhuvudKantUdda"/>
      <w:framePr w:w="8732" w:h="567" w:hRule="exact" w:vSpace="0" w:wrap="around" w:vAnchor="page" w:y="341" w:anchorLock="0"/>
    </w:pPr>
  </w:p>
  <w:p w:rsidR="00A31B5B" w:rsidRPr="00F9110B" w:rsidRDefault="00A31B5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t>7</w:t>
    </w:r>
    <w:r w:rsidRPr="00F9110B">
      <w:rPr>
        <w:rStyle w:val="SidhuvudUtskott"/>
      </w:rPr>
      <w:fldChar w:fldCharType="end"/>
    </w:r>
    <w:r w:rsidRPr="00F9110B">
      <w:t xml:space="preserve">     </w:t>
    </w:r>
    <w:r w:rsidRPr="00F9110B">
      <w:rPr>
        <w:rStyle w:val="SidhuvudBilaga"/>
      </w:rPr>
      <w:t xml:space="preserve"> </w:t>
    </w: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Reservationer</w:t>
    </w:r>
    <w:r w:rsidRPr="00F9110B">
      <w:rPr>
        <w:rStyle w:val="SidhuvudRubrikReferens"/>
      </w:rPr>
      <w:fldChar w:fldCharType="end"/>
    </w:r>
  </w:p>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Status</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    </w:instrText>
    </w:r>
    <w:r w:rsidRPr="00F9110B">
      <w:rPr>
        <w:rStyle w:val="SidhuvudUtskott"/>
      </w:rPr>
      <w:fldChar w:fldCharType="begin" w:fldLock="1"/>
    </w:r>
    <w:r w:rsidRPr="00F9110B">
      <w:rPr>
        <w:rStyle w:val="SidhuvudUtskott"/>
      </w:rPr>
      <w:instrText xml:space="preserve"> PRINTDATE \@ "yyyy-MM-dd HH.mm"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p>
  <w:p w:rsidR="00A31B5B" w:rsidRPr="00F9110B" w:rsidRDefault="00A31B5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Sammanfattning</w:t>
    </w:r>
    <w:r w:rsidRPr="00F9110B">
      <w:rPr>
        <w:rStyle w:val="SidhuvudRubrikReferens"/>
      </w:rPr>
      <w:fldChar w:fldCharType="end"/>
    </w:r>
    <w:r w:rsidRPr="00F9110B">
      <w:rPr>
        <w:rStyle w:val="SidhuvudBilaga"/>
      </w:rPr>
      <w:t xml:space="preserve"> </w:t>
    </w:r>
    <w:r w:rsidRPr="00F9110B">
      <w:t xml:space="preserve">     </w: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w:instrText>
    </w:r>
    <w:r w:rsidRPr="00F9110B">
      <w:instrText xml:space="preserve"> </w:instrText>
    </w:r>
    <w:r w:rsidRPr="00F9110B">
      <w:rPr>
        <w:rStyle w:val="SidhuvudUtskott"/>
      </w:rPr>
      <w:instrText>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w:instrText>
    </w:r>
    <w:r w:rsidRPr="00F9110B">
      <w:rPr>
        <w:rStyle w:val="SidhuvudUtskott"/>
      </w:rPr>
      <w:instrText>n</w:instrText>
    </w:r>
    <w:r w:rsidRPr="00F9110B">
      <w:rPr>
        <w:rStyle w:val="SidhuvudUtskott"/>
      </w:rPr>
      <w:instrText>kandeNr</w:instrText>
    </w:r>
    <w:r w:rsidRPr="00F9110B">
      <w:rPr>
        <w:rStyle w:val="SidhuvudUtskott"/>
      </w:rPr>
      <w:fldChar w:fldCharType="separate"/>
    </w:r>
    <w:r w:rsidRPr="00F9110B">
      <w:rPr>
        <w:rStyle w:val="SidhuvudUtskott"/>
      </w:rPr>
      <w:t>7</w: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w:instrText>
    </w:r>
    <w:r w:rsidRPr="00F9110B">
      <w:rPr>
        <w:rStyle w:val="SidhuvudUtskott"/>
      </w:rPr>
      <w:fldChar w:fldCharType="begin" w:fldLock="1"/>
    </w:r>
    <w:r w:rsidRPr="00F9110B">
      <w:rPr>
        <w:rStyle w:val="SidhuvudUtskott"/>
      </w:rPr>
      <w:instrText xml:space="preserve"> PRINTDATE \@ "yyyy-MM-dd HH.mm    "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PERTY Status</w:instrText>
    </w:r>
    <w:r w:rsidRPr="00F9110B">
      <w:rPr>
        <w:rStyle w:val="SidhuvudUtskott"/>
      </w:rPr>
      <w:fldChar w:fldCharType="end"/>
    </w:r>
  </w:p>
  <w:p w:rsidR="00A31B5B" w:rsidRPr="00F9110B" w:rsidRDefault="00A31B5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Reservationer</w:t>
    </w:r>
    <w:r w:rsidRPr="00F9110B">
      <w:rPr>
        <w:rStyle w:val="SidhuvudRubrikReferens"/>
      </w:rPr>
      <w:fldChar w:fldCharType="end"/>
    </w:r>
    <w:r w:rsidRPr="00F9110B">
      <w:rPr>
        <w:rStyle w:val="SidhuvudBilaga"/>
      </w:rPr>
      <w:t xml:space="preserve"> </w:t>
    </w:r>
    <w:r w:rsidRPr="00F9110B">
      <w:t xml:space="preserve">     </w: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w:instrText>
    </w:r>
    <w:r w:rsidRPr="00F9110B">
      <w:instrText xml:space="preserve"> </w:instrText>
    </w:r>
    <w:r w:rsidRPr="00F9110B">
      <w:rPr>
        <w:rStyle w:val="SidhuvudUtskott"/>
      </w:rPr>
      <w:instrText>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w:instrText>
    </w:r>
    <w:r w:rsidRPr="00F9110B">
      <w:rPr>
        <w:rStyle w:val="SidhuvudUtskott"/>
      </w:rPr>
      <w:instrText>n</w:instrText>
    </w:r>
    <w:r w:rsidRPr="00F9110B">
      <w:rPr>
        <w:rStyle w:val="SidhuvudUtskott"/>
      </w:rPr>
      <w:instrText>kandeNr</w:instrText>
    </w:r>
    <w:r w:rsidRPr="00F9110B">
      <w:rPr>
        <w:rStyle w:val="SidhuvudUtskott"/>
      </w:rPr>
      <w:fldChar w:fldCharType="separate"/>
    </w:r>
    <w:r w:rsidRPr="00F9110B">
      <w:rPr>
        <w:rStyle w:val="SidhuvudUtskott"/>
      </w:rPr>
      <w:t>7</w: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w:instrText>
    </w:r>
    <w:r w:rsidRPr="00F9110B">
      <w:rPr>
        <w:rStyle w:val="SidhuvudUtskott"/>
      </w:rPr>
      <w:fldChar w:fldCharType="begin" w:fldLock="1"/>
    </w:r>
    <w:r w:rsidRPr="00F9110B">
      <w:rPr>
        <w:rStyle w:val="SidhuvudUtskott"/>
      </w:rPr>
      <w:instrText xml:space="preserve"> PRINTDATE \@ "yyyy-MM-dd HH.mm    "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PERTY Status</w:instrText>
    </w:r>
    <w:r w:rsidRPr="00F9110B">
      <w:rPr>
        <w:rStyle w:val="SidhuvudUtskott"/>
      </w:rPr>
      <w:fldChar w:fldCharType="end"/>
    </w:r>
  </w:p>
  <w:p w:rsidR="00A31B5B" w:rsidRPr="00F9110B" w:rsidRDefault="00A31B5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t xml:space="preserve">  </w:t>
    </w:r>
    <w:r w:rsidRPr="00F9110B">
      <w:rPr>
        <w:rStyle w:val="SidhuvudUtskott"/>
      </w:rPr>
      <w:t>2002/03:KU7</w:t>
    </w:r>
  </w:p>
  <w:p w:rsidR="00A31B5B" w:rsidRPr="00F9110B" w:rsidRDefault="00A31B5B">
    <w:pPr>
      <w:pStyle w:val="SidhuvudKantUdda"/>
      <w:framePr w:w="8732" w:h="567" w:hRule="exact" w:vSpace="0" w:wrap="around" w:vAnchor="page" w:y="341" w:anchorLock="0"/>
    </w:pPr>
  </w:p>
  <w:p w:rsidR="00A31B5B" w:rsidRPr="00F9110B" w:rsidRDefault="00A31B5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t>7</w:t>
    </w:r>
    <w:r w:rsidRPr="00F9110B">
      <w:rPr>
        <w:rStyle w:val="SidhuvudUtskott"/>
      </w:rPr>
      <w:fldChar w:fldCharType="end"/>
    </w:r>
    <w:r w:rsidRPr="00F9110B">
      <w:t xml:space="preserve">     </w:t>
    </w:r>
    <w:r w:rsidRPr="00F9110B">
      <w:rPr>
        <w:rStyle w:val="SidhuvudBilaga"/>
      </w:rPr>
      <w:t xml:space="preserve"> Bilaga 2   </w:t>
    </w: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Regeringens lagförslag</w:t>
    </w:r>
    <w:r w:rsidRPr="00F9110B">
      <w:rPr>
        <w:rStyle w:val="SidhuvudRubrikReferens"/>
      </w:rPr>
      <w:fldChar w:fldCharType="end"/>
    </w:r>
  </w:p>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Status</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    </w:instrText>
    </w:r>
    <w:r w:rsidRPr="00F9110B">
      <w:rPr>
        <w:rStyle w:val="SidhuvudUtskott"/>
      </w:rPr>
      <w:fldChar w:fldCharType="begin" w:fldLock="1"/>
    </w:r>
    <w:r w:rsidRPr="00F9110B">
      <w:rPr>
        <w:rStyle w:val="SidhuvudUtskott"/>
      </w:rPr>
      <w:instrText xml:space="preserve"> PRINTDATE \@ "yyyy-MM-dd HH.mm"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p>
  <w:p w:rsidR="00A31B5B" w:rsidRPr="00F9110B" w:rsidRDefault="00A31B5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Särskilt yttrande</w:t>
    </w:r>
    <w:r w:rsidRPr="00F9110B">
      <w:rPr>
        <w:rStyle w:val="SidhuvudRubrikReferens"/>
      </w:rPr>
      <w:fldChar w:fldCharType="end"/>
    </w:r>
    <w:r w:rsidRPr="00F9110B">
      <w:rPr>
        <w:rStyle w:val="SidhuvudBilaga"/>
      </w:rPr>
      <w:t xml:space="preserve">   Bilaga 2 </w:t>
    </w:r>
    <w:r w:rsidRPr="00F9110B">
      <w:t xml:space="preserve">     </w: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w:instrText>
    </w:r>
    <w:r w:rsidRPr="00F9110B">
      <w:instrText xml:space="preserve"> </w:instrText>
    </w:r>
    <w:r w:rsidRPr="00F9110B">
      <w:rPr>
        <w:rStyle w:val="SidhuvudUtskott"/>
      </w:rPr>
      <w:instrText>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w:instrText>
    </w:r>
    <w:r w:rsidRPr="00F9110B">
      <w:rPr>
        <w:rStyle w:val="SidhuvudUtskott"/>
      </w:rPr>
      <w:instrText>C</w:instrText>
    </w:r>
    <w:r w:rsidRPr="00F9110B">
      <w:rPr>
        <w:rStyle w:val="SidhuvudUtskott"/>
      </w:rPr>
      <w:instrText>PROPERTY Betä</w:instrText>
    </w:r>
    <w:r w:rsidRPr="00F9110B">
      <w:rPr>
        <w:rStyle w:val="SidhuvudUtskott"/>
      </w:rPr>
      <w:instrText>n</w:instrText>
    </w:r>
    <w:r w:rsidRPr="00F9110B">
      <w:rPr>
        <w:rStyle w:val="SidhuvudUtskott"/>
      </w:rPr>
      <w:instrText>kandeNr</w:instrText>
    </w:r>
    <w:r w:rsidRPr="00F9110B">
      <w:rPr>
        <w:rStyle w:val="SidhuvudUtskott"/>
      </w:rPr>
      <w:fldChar w:fldCharType="separate"/>
    </w:r>
    <w:r w:rsidRPr="00F9110B">
      <w:rPr>
        <w:rStyle w:val="SidhuvudUtskott"/>
      </w:rPr>
      <w:t>7</w: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w:instrText>
    </w:r>
    <w:r w:rsidRPr="00F9110B">
      <w:rPr>
        <w:rStyle w:val="SidhuvudUtskott"/>
      </w:rPr>
      <w:fldChar w:fldCharType="begin" w:fldLock="1"/>
    </w:r>
    <w:r w:rsidRPr="00F9110B">
      <w:rPr>
        <w:rStyle w:val="SidhuvudUtskott"/>
      </w:rPr>
      <w:instrText xml:space="preserve"> PRINTDATE \@ "yyyy-MM-dd HH.mm    "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PERTY Status</w:instrText>
    </w:r>
    <w:r w:rsidRPr="00F9110B">
      <w:rPr>
        <w:rStyle w:val="SidhuvudUtskott"/>
      </w:rPr>
      <w:fldChar w:fldCharType="end"/>
    </w:r>
  </w:p>
  <w:p w:rsidR="00A31B5B" w:rsidRPr="00F9110B" w:rsidRDefault="00A31B5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t>2002/03:KU7</w:t>
    </w:r>
    <w:r w:rsidRPr="00F9110B">
      <w:t xml:space="preserve">    </w:t>
    </w:r>
  </w:p>
  <w:p w:rsidR="00A31B5B" w:rsidRPr="00F9110B" w:rsidRDefault="00A31B5B">
    <w:pPr>
      <w:pStyle w:val="SidhuvudKantJmn"/>
      <w:framePr w:w="8732" w:h="567" w:hRule="exact" w:vSpace="0" w:wrap="around" w:vAnchor="page" w:y="341" w:anchorLock="0"/>
    </w:pPr>
  </w:p>
  <w:p w:rsidR="00A31B5B" w:rsidRPr="00F9110B" w:rsidRDefault="00A31B5B">
    <w:pPr>
      <w:pStyle w:val="SidhuvudKantUdda"/>
      <w:framePr w:w="8732" w:h="567" w:hRule="exact" w:vSpace="0" w:wrap="around" w:vAnchor="page" w:y="341" w:anchorLock="0"/>
    </w:pPr>
    <w:r w:rsidRPr="00F9110B">
      <w:rPr>
        <w:rStyle w:val="SidhuvudRubrikReferens"/>
        <w:smallCaps w:val="0"/>
        <w:spacing w:val="0"/>
        <w:sz w:val="19"/>
      </w:rPr>
      <w:t xml:space="preserve"> </w:t>
    </w:r>
  </w:p>
  <w:p w:rsidR="00A31B5B" w:rsidRPr="00F9110B" w:rsidRDefault="00A31B5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t>7</w:t>
    </w:r>
    <w:r w:rsidRPr="00F9110B">
      <w:rPr>
        <w:rStyle w:val="SidhuvudUtskott"/>
      </w:rPr>
      <w:fldChar w:fldCharType="end"/>
    </w:r>
    <w:r w:rsidRPr="00F9110B">
      <w:t xml:space="preserve">     </w:t>
    </w:r>
    <w:r w:rsidRPr="00F9110B">
      <w:rPr>
        <w:rStyle w:val="SidhuvudBilaga"/>
      </w:rPr>
      <w:t xml:space="preserve"> Bilaga 3   </w:t>
    </w: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Regeringens lagförslag</w:t>
    </w:r>
    <w:r w:rsidRPr="00F9110B">
      <w:rPr>
        <w:rStyle w:val="SidhuvudRubrikReferens"/>
      </w:rPr>
      <w:fldChar w:fldCharType="end"/>
    </w:r>
  </w:p>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Status</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    </w:instrText>
    </w:r>
    <w:r w:rsidRPr="00F9110B">
      <w:rPr>
        <w:rStyle w:val="SidhuvudUtskott"/>
      </w:rPr>
      <w:fldChar w:fldCharType="begin" w:fldLock="1"/>
    </w:r>
    <w:r w:rsidRPr="00F9110B">
      <w:rPr>
        <w:rStyle w:val="SidhuvudUtskott"/>
      </w:rPr>
      <w:instrText xml:space="preserve"> PRINTDATE \@ "yyyy-MM-dd HH.mm"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p>
  <w:p w:rsidR="00A31B5B" w:rsidRPr="00F9110B" w:rsidRDefault="00A31B5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Regeringens lagförslag</w:t>
    </w:r>
    <w:r w:rsidRPr="00F9110B">
      <w:rPr>
        <w:rStyle w:val="SidhuvudRubrikReferens"/>
      </w:rPr>
      <w:fldChar w:fldCharType="end"/>
    </w:r>
    <w:r w:rsidRPr="00F9110B">
      <w:rPr>
        <w:rStyle w:val="SidhuvudBilaga"/>
      </w:rPr>
      <w:t xml:space="preserve">   Bilaga 3 </w:t>
    </w:r>
    <w:r w:rsidRPr="00F9110B">
      <w:t xml:space="preserve">     </w: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w:instrText>
    </w:r>
    <w:r w:rsidRPr="00F9110B">
      <w:instrText xml:space="preserve"> </w:instrText>
    </w:r>
    <w:r w:rsidRPr="00F9110B">
      <w:rPr>
        <w:rStyle w:val="SidhuvudUtskott"/>
      </w:rPr>
      <w:instrText>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w:instrText>
    </w:r>
    <w:r w:rsidRPr="00F9110B">
      <w:rPr>
        <w:rStyle w:val="SidhuvudUtskott"/>
      </w:rPr>
      <w:instrText>n</w:instrText>
    </w:r>
    <w:r w:rsidRPr="00F9110B">
      <w:rPr>
        <w:rStyle w:val="SidhuvudUtskott"/>
      </w:rPr>
      <w:instrText>kandeNr</w:instrText>
    </w:r>
    <w:r w:rsidRPr="00F9110B">
      <w:rPr>
        <w:rStyle w:val="SidhuvudUtskott"/>
      </w:rPr>
      <w:fldChar w:fldCharType="separate"/>
    </w:r>
    <w:r w:rsidRPr="00F9110B">
      <w:rPr>
        <w:rStyle w:val="SidhuvudUtskott"/>
      </w:rPr>
      <w:t>7</w: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w:instrText>
    </w:r>
    <w:r w:rsidRPr="00F9110B">
      <w:rPr>
        <w:rStyle w:val="SidhuvudUtskott"/>
      </w:rPr>
      <w:fldChar w:fldCharType="begin" w:fldLock="1"/>
    </w:r>
    <w:r w:rsidRPr="00F9110B">
      <w:rPr>
        <w:rStyle w:val="SidhuvudUtskott"/>
      </w:rPr>
      <w:instrText xml:space="preserve"> PRINTDATE \@ "yyyy-MM-dd HH.mm    "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PERTY Status</w:instrText>
    </w:r>
    <w:r w:rsidRPr="00F9110B">
      <w:rPr>
        <w:rStyle w:val="SidhuvudUtskott"/>
      </w:rPr>
      <w:fldChar w:fldCharType="end"/>
    </w:r>
  </w:p>
  <w:p w:rsidR="00A31B5B" w:rsidRPr="00F9110B" w:rsidRDefault="00A31B5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fldChar w:fldCharType="begin" w:fldLock="1"/>
    </w:r>
    <w:r w:rsidRPr="00F9110B">
      <w:instrText xml:space="preserve"> if </w:instrText>
    </w:r>
    <w:r w:rsidRPr="00F9110B">
      <w:fldChar w:fldCharType="begin" w:fldLock="1"/>
    </w:r>
    <w:r w:rsidRPr="00F9110B">
      <w:instrText xml:space="preserve"> page</w:instrText>
    </w:r>
    <w:r w:rsidRPr="00F9110B">
      <w:fldChar w:fldCharType="separate"/>
    </w:r>
    <w:r w:rsidRPr="00F9110B">
      <w:instrText>19</w:instrText>
    </w:r>
    <w:r w:rsidRPr="00F9110B">
      <w:fldChar w:fldCharType="end"/>
    </w:r>
    <w:r w:rsidRPr="00F9110B">
      <w:instrText xml:space="preserve"> &gt; 1 "</w:instrText>
    </w:r>
    <w:r w:rsidRPr="00F9110B">
      <w:fldChar w:fldCharType="begin" w:fldLock="1"/>
    </w:r>
    <w:r w:rsidRPr="00F9110B">
      <w:instrText xml:space="preserve"> if </w:instrText>
    </w:r>
    <w:r w:rsidRPr="00F9110B">
      <w:fldChar w:fldCharType="begin" w:fldLock="1"/>
    </w:r>
    <w:r w:rsidRPr="00F9110B">
      <w:instrText xml:space="preserve"> = </w:instrText>
    </w:r>
    <w:r w:rsidRPr="00F9110B">
      <w:fldChar w:fldCharType="begin" w:fldLock="1"/>
    </w:r>
    <w:r w:rsidRPr="00F9110B">
      <w:instrText xml:space="preserve"> = </w:instrText>
    </w:r>
    <w:r w:rsidRPr="00F9110B">
      <w:fldChar w:fldCharType="begin" w:fldLock="1"/>
    </w:r>
    <w:r w:rsidRPr="00F9110B">
      <w:instrText xml:space="preserve"> page</w:instrText>
    </w:r>
    <w:r w:rsidRPr="00F9110B">
      <w:fldChar w:fldCharType="separate"/>
    </w:r>
    <w:r w:rsidRPr="00F9110B">
      <w:instrText>19</w:instrText>
    </w:r>
    <w:r w:rsidRPr="00F9110B">
      <w:fldChar w:fldCharType="end"/>
    </w:r>
    <w:r w:rsidRPr="00F9110B">
      <w:instrText xml:space="preserve">/2 </w:instrText>
    </w:r>
    <w:r w:rsidRPr="00F9110B">
      <w:fldChar w:fldCharType="separate"/>
    </w:r>
    <w:r w:rsidRPr="00F9110B">
      <w:instrText>9,5</w:instrText>
    </w:r>
    <w:r w:rsidRPr="00F9110B">
      <w:fldChar w:fldCharType="end"/>
    </w:r>
    <w:r w:rsidRPr="00F9110B">
      <w:instrText xml:space="preserve"> - </w:instrText>
    </w:r>
    <w:r w:rsidRPr="00F9110B">
      <w:fldChar w:fldCharType="begin" w:fldLock="1"/>
    </w:r>
    <w:r w:rsidRPr="00F9110B">
      <w:instrText xml:space="preserve"> = int(</w:instrText>
    </w:r>
    <w:r w:rsidRPr="00F9110B">
      <w:fldChar w:fldCharType="begin" w:fldLock="1"/>
    </w:r>
    <w:r w:rsidRPr="00F9110B">
      <w:instrText xml:space="preserve"> page</w:instrText>
    </w:r>
    <w:r w:rsidRPr="00F9110B">
      <w:fldChar w:fldCharType="separate"/>
    </w:r>
    <w:r w:rsidRPr="00F9110B">
      <w:instrText>19</w:instrText>
    </w:r>
    <w:r w:rsidRPr="00F9110B">
      <w:fldChar w:fldCharType="end"/>
    </w:r>
    <w:r w:rsidRPr="00F9110B">
      <w:instrText xml:space="preserve">/2) </w:instrText>
    </w:r>
    <w:r w:rsidRPr="00F9110B">
      <w:fldChar w:fldCharType="separate"/>
    </w:r>
    <w:r w:rsidRPr="00F9110B">
      <w:instrText>9</w:instrText>
    </w:r>
    <w:r w:rsidRPr="00F9110B">
      <w:fldChar w:fldCharType="end"/>
    </w:r>
    <w:r w:rsidRPr="00F9110B">
      <w:fldChar w:fldCharType="separate"/>
    </w:r>
    <w:r w:rsidRPr="00F9110B">
      <w:instrText>0,5</w:instrText>
    </w:r>
    <w:r w:rsidRPr="00F9110B">
      <w:fldChar w:fldCharType="end"/>
    </w:r>
    <w:r w:rsidRPr="00F9110B">
      <w:instrText xml:space="preserve"> = 0 "</w:instrTex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instrText>2002/03</w:instrText>
    </w:r>
    <w:r w:rsidRPr="00F9110B">
      <w:rPr>
        <w:rStyle w:val="SidhuvudUtskott"/>
      </w:rPr>
      <w:fldChar w:fldCharType="end"/>
    </w:r>
    <w:r w:rsidRPr="00F9110B">
      <w:rPr>
        <w:rStyle w:val="SidhuvudUtskott"/>
      </w:rPr>
      <w:instrText>:</w:instrText>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w:instrText>
    </w:r>
    <w:r w:rsidRPr="00F9110B">
      <w:rPr>
        <w:rStyle w:val="SidhuvudUtskott"/>
      </w:rPr>
      <w:instrText>R</w:instrText>
    </w:r>
    <w:r w:rsidRPr="00F9110B">
      <w:rPr>
        <w:rStyle w:val="SidhuvudUtskott"/>
      </w:rPr>
      <w:instrText>TY Utskott</w:instrText>
    </w:r>
    <w:r w:rsidRPr="00F9110B">
      <w:rPr>
        <w:rStyle w:val="SidhuvudUtskott"/>
      </w:rPr>
      <w:fldChar w:fldCharType="separate"/>
    </w:r>
    <w:r w:rsidRPr="00F9110B">
      <w:rPr>
        <w:rStyle w:val="SidhuvudUtskott"/>
      </w:rPr>
      <w:instrText>KU</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instrText>7</w:instrText>
    </w:r>
    <w:r w:rsidRPr="00F9110B">
      <w:rPr>
        <w:rStyle w:val="SidhuvudUtskott"/>
      </w:rPr>
      <w:fldChar w:fldCharType="end"/>
    </w:r>
    <w:r w:rsidRPr="00F9110B">
      <w:instrText xml:space="preserve">    </w:instrText>
    </w:r>
  </w:p>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Status</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    </w:instrText>
    </w:r>
    <w:r w:rsidRPr="00F9110B">
      <w:rPr>
        <w:rStyle w:val="SidhuvudUtskott"/>
      </w:rPr>
      <w:fldChar w:fldCharType="begin" w:fldLock="1"/>
    </w:r>
    <w:r w:rsidRPr="00F9110B">
      <w:rPr>
        <w:rStyle w:val="SidhuvudUtskott"/>
      </w:rPr>
      <w:instrText xml:space="preserve"> PRINTDATE \@ "yyyy-MM-dd HH.mm"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RubrikReferens"/>
        <w:smallCaps w:val="0"/>
        <w:spacing w:val="0"/>
        <w:sz w:val="19"/>
      </w:rPr>
      <w:instrText xml:space="preserve"> </w:instrText>
    </w:r>
    <w:r w:rsidRPr="00F9110B">
      <w:instrText xml:space="preserve">"  "  </w:instrTex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instrText>2002/03</w:instrText>
    </w:r>
    <w:r w:rsidRPr="00F9110B">
      <w:rPr>
        <w:rStyle w:val="SidhuvudUtskott"/>
      </w:rPr>
      <w:fldChar w:fldCharType="end"/>
    </w:r>
    <w:r w:rsidRPr="00F9110B">
      <w:rPr>
        <w:rStyle w:val="SidhuvudUtskott"/>
      </w:rPr>
      <w:instrText>:</w:instrTex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instrText>KU</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instrText>7</w:instrTex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w:instrText>
    </w:r>
    <w:r w:rsidRPr="00F9110B">
      <w:rPr>
        <w:rStyle w:val="SidhuvudUtskott"/>
      </w:rPr>
      <w:fldChar w:fldCharType="begin" w:fldLock="1"/>
    </w:r>
    <w:r w:rsidRPr="00F9110B">
      <w:rPr>
        <w:rStyle w:val="SidhuvudUtskott"/>
      </w:rPr>
      <w:instrText xml:space="preserve"> PRINTDATE \@ "yyyy-MM-dd HH.mm    "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PERTY Status</w:instrText>
    </w:r>
    <w:r w:rsidRPr="00F9110B">
      <w:rPr>
        <w:rStyle w:val="SidhuvudUtskott"/>
      </w:rPr>
      <w:fldChar w:fldCharType="end"/>
    </w:r>
    <w:r w:rsidRPr="00F9110B">
      <w:instrText>"</w:instrText>
    </w:r>
    <w:r w:rsidRPr="00F9110B">
      <w:fldChar w:fldCharType="separate"/>
    </w:r>
    <w:r w:rsidRPr="00F9110B">
      <w:instrText xml:space="preserve">  </w:instrTex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instrText>2002/03</w:instrText>
    </w:r>
    <w:r w:rsidRPr="00F9110B">
      <w:rPr>
        <w:rStyle w:val="SidhuvudUtskott"/>
      </w:rPr>
      <w:fldChar w:fldCharType="end"/>
    </w:r>
    <w:r w:rsidRPr="00F9110B">
      <w:rPr>
        <w:rStyle w:val="SidhuvudUtskott"/>
      </w:rPr>
      <w:instrText>:</w:instrTex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instrText>KU</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instrText>7</w:instrTex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fldChar w:fldCharType="end"/>
    </w:r>
    <w:r w:rsidRPr="00F9110B">
      <w:instrText>" " "</w:instrText>
    </w:r>
    <w:r w:rsidRPr="00F9110B">
      <w:fldChar w:fldCharType="separate"/>
    </w:r>
    <w:r w:rsidRPr="00F9110B">
      <w:t xml:space="preserve">  </w: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t>7</w: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fldChar w:fldCharType="end"/>
    </w:r>
  </w:p>
  <w:p w:rsidR="00A31B5B" w:rsidRPr="00F9110B" w:rsidRDefault="00A31B5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t xml:space="preserve"> </w:t>
    </w:r>
  </w:p>
  <w:p w:rsidR="00A31B5B" w:rsidRPr="00F9110B" w:rsidRDefault="00A31B5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t>7</w:t>
    </w:r>
    <w:r w:rsidRPr="00F9110B">
      <w:rPr>
        <w:rStyle w:val="SidhuvudUtskott"/>
      </w:rPr>
      <w:fldChar w:fldCharType="end"/>
    </w:r>
    <w:r w:rsidRPr="00F9110B">
      <w:t xml:space="preserve">     </w:t>
    </w:r>
    <w:r w:rsidRPr="00F9110B">
      <w:rPr>
        <w:rStyle w:val="SidhuvudBilaga"/>
      </w:rPr>
      <w:t xml:space="preserve"> </w:t>
    </w: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Sammanfattning</w:t>
    </w:r>
    <w:r w:rsidRPr="00F9110B">
      <w:rPr>
        <w:rStyle w:val="SidhuvudRubrikReferens"/>
      </w:rPr>
      <w:fldChar w:fldCharType="end"/>
    </w:r>
  </w:p>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Status</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    </w:instrText>
    </w:r>
    <w:r w:rsidRPr="00F9110B">
      <w:rPr>
        <w:rStyle w:val="SidhuvudUtskott"/>
      </w:rPr>
      <w:fldChar w:fldCharType="begin" w:fldLock="1"/>
    </w:r>
    <w:r w:rsidRPr="00F9110B">
      <w:rPr>
        <w:rStyle w:val="SidhuvudUtskott"/>
      </w:rPr>
      <w:instrText xml:space="preserve"> PRINTDATE \@ "yyyy-MM-dd HH.mm"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p>
  <w:p w:rsidR="00A31B5B" w:rsidRPr="00F9110B" w:rsidRDefault="00A31B5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Sammanfattning</w:t>
    </w:r>
    <w:r w:rsidRPr="00F9110B">
      <w:rPr>
        <w:rStyle w:val="SidhuvudRubrikReferens"/>
      </w:rPr>
      <w:fldChar w:fldCharType="end"/>
    </w:r>
    <w:r w:rsidRPr="00F9110B">
      <w:rPr>
        <w:rStyle w:val="SidhuvudBilaga"/>
      </w:rPr>
      <w:t xml:space="preserve"> </w:t>
    </w:r>
    <w:r w:rsidRPr="00F9110B">
      <w:t xml:space="preserve">     </w: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w:instrText>
    </w:r>
    <w:r w:rsidRPr="00F9110B">
      <w:instrText xml:space="preserve"> </w:instrText>
    </w:r>
    <w:r w:rsidRPr="00F9110B">
      <w:rPr>
        <w:rStyle w:val="SidhuvudUtskott"/>
      </w:rPr>
      <w:instrText>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w:instrText>
    </w:r>
    <w:r w:rsidRPr="00F9110B">
      <w:rPr>
        <w:rStyle w:val="SidhuvudUtskott"/>
      </w:rPr>
      <w:instrText>n</w:instrText>
    </w:r>
    <w:r w:rsidRPr="00F9110B">
      <w:rPr>
        <w:rStyle w:val="SidhuvudUtskott"/>
      </w:rPr>
      <w:instrText>kandeNr</w:instrText>
    </w:r>
    <w:r w:rsidRPr="00F9110B">
      <w:rPr>
        <w:rStyle w:val="SidhuvudUtskott"/>
      </w:rPr>
      <w:fldChar w:fldCharType="separate"/>
    </w:r>
    <w:r w:rsidRPr="00F9110B">
      <w:rPr>
        <w:rStyle w:val="SidhuvudUtskott"/>
      </w:rPr>
      <w:t>7</w: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w:instrText>
    </w:r>
    <w:r w:rsidRPr="00F9110B">
      <w:rPr>
        <w:rStyle w:val="SidhuvudUtskott"/>
      </w:rPr>
      <w:fldChar w:fldCharType="begin" w:fldLock="1"/>
    </w:r>
    <w:r w:rsidRPr="00F9110B">
      <w:rPr>
        <w:rStyle w:val="SidhuvudUtskott"/>
      </w:rPr>
      <w:instrText xml:space="preserve"> PRINTDATE \@ "yyyy-MM-dd HH.mm    "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PERTY Status</w:instrText>
    </w:r>
    <w:r w:rsidRPr="00F9110B">
      <w:rPr>
        <w:rStyle w:val="SidhuvudUtskott"/>
      </w:rPr>
      <w:fldChar w:fldCharType="end"/>
    </w:r>
  </w:p>
  <w:p w:rsidR="00A31B5B" w:rsidRPr="00F9110B" w:rsidRDefault="00A31B5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t>2002/03:KU7</w:t>
    </w:r>
    <w:r w:rsidRPr="00F9110B">
      <w:t xml:space="preserve">    </w:t>
    </w:r>
  </w:p>
  <w:p w:rsidR="00A31B5B" w:rsidRPr="00F9110B" w:rsidRDefault="00A31B5B">
    <w:pPr>
      <w:pStyle w:val="SidhuvudKantJmn"/>
      <w:framePr w:w="8732" w:h="567" w:hRule="exact" w:vSpace="0" w:wrap="around" w:vAnchor="page" w:y="341" w:anchorLock="0"/>
    </w:pPr>
  </w:p>
  <w:p w:rsidR="00A31B5B" w:rsidRPr="00F9110B" w:rsidRDefault="00A31B5B">
    <w:pPr>
      <w:pStyle w:val="SidhuvudKantUdda"/>
      <w:framePr w:w="8732" w:h="567" w:hRule="exact" w:vSpace="0" w:wrap="around" w:vAnchor="page" w:y="341" w:anchorLock="0"/>
    </w:pPr>
    <w:r w:rsidRPr="00F9110B">
      <w:rPr>
        <w:rStyle w:val="SidhuvudRubrikReferens"/>
        <w:smallCaps w:val="0"/>
        <w:spacing w:val="0"/>
        <w:sz w:val="19"/>
      </w:rPr>
      <w:t xml:space="preserve"> </w:t>
    </w:r>
  </w:p>
  <w:p w:rsidR="00A31B5B" w:rsidRPr="00F9110B" w:rsidRDefault="00A31B5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 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BetänkandeNr</w:instrText>
    </w:r>
    <w:r w:rsidRPr="00F9110B">
      <w:rPr>
        <w:rStyle w:val="SidhuvudUtskott"/>
      </w:rPr>
      <w:fldChar w:fldCharType="separate"/>
    </w:r>
    <w:r w:rsidRPr="00F9110B">
      <w:rPr>
        <w:rStyle w:val="SidhuvudUtskott"/>
      </w:rPr>
      <w:t>7</w:t>
    </w:r>
    <w:r w:rsidRPr="00F9110B">
      <w:rPr>
        <w:rStyle w:val="SidhuvudUtskott"/>
      </w:rPr>
      <w:fldChar w:fldCharType="end"/>
    </w:r>
    <w:r w:rsidRPr="00F9110B">
      <w:t xml:space="preserve">     </w:t>
    </w:r>
    <w:r w:rsidRPr="00F9110B">
      <w:rPr>
        <w:rStyle w:val="SidhuvudBilaga"/>
      </w:rPr>
      <w:t xml:space="preserve"> </w:t>
    </w: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Innehållsförteckning</w:t>
    </w:r>
    <w:r w:rsidRPr="00F9110B">
      <w:rPr>
        <w:rStyle w:val="SidhuvudRubrikReferens"/>
      </w:rPr>
      <w:fldChar w:fldCharType="end"/>
    </w:r>
  </w:p>
  <w:p w:rsidR="00A31B5B" w:rsidRPr="00F9110B" w:rsidRDefault="00A31B5B">
    <w:pPr>
      <w:pStyle w:val="SidhuvudKantJmn"/>
      <w:framePr w:w="8732" w:h="567" w:hRule="exact" w:vSpace="0" w:wrap="around" w:vAnchor="page" w:y="341" w:anchorLock="0"/>
    </w:pPr>
    <w:r w:rsidRPr="00F9110B">
      <w:rPr>
        <w:rStyle w:val="SidhuvudUtskott"/>
      </w:rPr>
      <w:fldChar w:fldCharType="begin" w:fldLock="1"/>
    </w:r>
    <w:r w:rsidRPr="00F9110B">
      <w:rPr>
        <w:rStyle w:val="SidhuvudUtskott"/>
      </w:rPr>
      <w:instrText xml:space="preserve"> DOCPROPERTY Status</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    </w:instrText>
    </w:r>
    <w:r w:rsidRPr="00F9110B">
      <w:rPr>
        <w:rStyle w:val="SidhuvudUtskott"/>
      </w:rPr>
      <w:fldChar w:fldCharType="begin" w:fldLock="1"/>
    </w:r>
    <w:r w:rsidRPr="00F9110B">
      <w:rPr>
        <w:rStyle w:val="SidhuvudUtskott"/>
      </w:rPr>
      <w:instrText xml:space="preserve"> PRINTDATE \@ "yyyy-MM-dd HH.mm"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p>
  <w:p w:rsidR="00A31B5B" w:rsidRPr="00F9110B" w:rsidRDefault="00A31B5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rPr>
        <w:rStyle w:val="SidhuvudRubrikReferens"/>
      </w:rPr>
      <w:fldChar w:fldCharType="begin" w:fldLock="1"/>
    </w:r>
    <w:r w:rsidRPr="00F9110B">
      <w:rPr>
        <w:rStyle w:val="SidhuvudRubrikReferens"/>
      </w:rPr>
      <w:instrText xml:space="preserve"> StyleREF "Rubrik 1" </w:instrText>
    </w:r>
    <w:r w:rsidRPr="00F9110B">
      <w:rPr>
        <w:rStyle w:val="SidhuvudRubrikReferens"/>
      </w:rPr>
      <w:fldChar w:fldCharType="separate"/>
    </w:r>
    <w:r w:rsidRPr="00F9110B">
      <w:rPr>
        <w:rStyle w:val="SidhuvudRubrikReferens"/>
      </w:rPr>
      <w:t>Innehållsförteckning</w:t>
    </w:r>
    <w:r w:rsidRPr="00F9110B">
      <w:rPr>
        <w:rStyle w:val="SidhuvudRubrikReferens"/>
      </w:rPr>
      <w:fldChar w:fldCharType="end"/>
    </w:r>
    <w:r w:rsidRPr="00F9110B">
      <w:rPr>
        <w:rStyle w:val="SidhuvudBilaga"/>
      </w:rPr>
      <w:t xml:space="preserve"> </w:t>
    </w:r>
    <w:r w:rsidRPr="00F9110B">
      <w:t xml:space="preserve">     </w:t>
    </w:r>
    <w:r w:rsidRPr="00F9110B">
      <w:rPr>
        <w:rStyle w:val="SidhuvudUtskott"/>
      </w:rPr>
      <w:fldChar w:fldCharType="begin" w:fldLock="1"/>
    </w:r>
    <w:r w:rsidRPr="00F9110B">
      <w:rPr>
        <w:rStyle w:val="SidhuvudUtskott"/>
      </w:rPr>
      <w:instrText xml:space="preserve"> DOCPROPERTY BetänkandeÅr</w:instrText>
    </w:r>
    <w:r w:rsidRPr="00F9110B">
      <w:rPr>
        <w:rStyle w:val="SidhuvudUtskott"/>
      </w:rPr>
      <w:fldChar w:fldCharType="separate"/>
    </w:r>
    <w:r w:rsidRPr="00F9110B">
      <w:rPr>
        <w:rStyle w:val="SidhuvudUtskott"/>
      </w:rPr>
      <w:t>2002/03</w:t>
    </w:r>
    <w:r w:rsidRPr="00F9110B">
      <w:rPr>
        <w:rStyle w:val="SidhuvudUtskott"/>
      </w:rPr>
      <w:fldChar w:fldCharType="end"/>
    </w:r>
    <w:r w:rsidRPr="00F9110B">
      <w:rPr>
        <w:rStyle w:val="SidhuvudUtskott"/>
      </w:rPr>
      <w:t>:</w:t>
    </w:r>
    <w:r w:rsidRPr="00F9110B">
      <w:rPr>
        <w:rStyle w:val="SidhuvudUtskott"/>
      </w:rPr>
      <w:fldChar w:fldCharType="begin" w:fldLock="1"/>
    </w:r>
    <w:r w:rsidRPr="00F9110B">
      <w:rPr>
        <w:rStyle w:val="SidhuvudUtskott"/>
      </w:rPr>
      <w:instrText xml:space="preserve"> DOCPROPERTY</w:instrText>
    </w:r>
    <w:r w:rsidRPr="00F9110B">
      <w:instrText xml:space="preserve"> </w:instrText>
    </w:r>
    <w:r w:rsidRPr="00F9110B">
      <w:rPr>
        <w:rStyle w:val="SidhuvudUtskott"/>
      </w:rPr>
      <w:instrText>Utskott</w:instrText>
    </w:r>
    <w:r w:rsidRPr="00F9110B">
      <w:rPr>
        <w:rStyle w:val="SidhuvudUtskott"/>
      </w:rPr>
      <w:fldChar w:fldCharType="separate"/>
    </w:r>
    <w:r w:rsidRPr="00F9110B">
      <w:rPr>
        <w:rStyle w:val="SidhuvudUtskott"/>
      </w:rPr>
      <w:t>KU</w: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DOCPROPERTY Betä</w:instrText>
    </w:r>
    <w:r w:rsidRPr="00F9110B">
      <w:rPr>
        <w:rStyle w:val="SidhuvudUtskott"/>
      </w:rPr>
      <w:instrText>n</w:instrText>
    </w:r>
    <w:r w:rsidRPr="00F9110B">
      <w:rPr>
        <w:rStyle w:val="SidhuvudUtskott"/>
      </w:rPr>
      <w:instrText>kandeNr</w:instrText>
    </w:r>
    <w:r w:rsidRPr="00F9110B">
      <w:rPr>
        <w:rStyle w:val="SidhuvudUtskott"/>
      </w:rPr>
      <w:fldChar w:fldCharType="separate"/>
    </w:r>
    <w:r w:rsidRPr="00F9110B">
      <w:rPr>
        <w:rStyle w:val="SidhuvudUtskott"/>
      </w:rPr>
      <w:t>7</w:t>
    </w:r>
    <w:r w:rsidRPr="00F9110B">
      <w:rPr>
        <w:rStyle w:val="SidhuvudUtskott"/>
      </w:rPr>
      <w:fldChar w:fldCharType="end"/>
    </w:r>
  </w:p>
  <w:p w:rsidR="00A31B5B" w:rsidRPr="00F9110B" w:rsidRDefault="00A31B5B">
    <w:pPr>
      <w:pStyle w:val="SidhuvudKantUdda"/>
      <w:framePr w:w="8732" w:h="567" w:hRule="exact" w:vSpace="0" w:wrap="around" w:vAnchor="page" w:y="341" w:anchorLock="0"/>
    </w:pPr>
    <w:r w:rsidRPr="00F9110B">
      <w:rPr>
        <w:rStyle w:val="SidhuvudUtskott"/>
      </w:rPr>
      <w:fldChar w:fldCharType="begin" w:fldLock="1"/>
    </w:r>
    <w:r w:rsidRPr="00F9110B">
      <w:rPr>
        <w:rStyle w:val="SidhuvudUtskott"/>
      </w:rPr>
      <w:instrText xml:space="preserve"> if </w:instrText>
    </w:r>
    <w:r w:rsidRPr="00F9110B">
      <w:rPr>
        <w:rStyle w:val="SidhuvudUtskott"/>
      </w:rPr>
      <w:fldChar w:fldCharType="begin" w:fldLock="1"/>
    </w:r>
    <w:r w:rsidRPr="00F9110B">
      <w:rPr>
        <w:rStyle w:val="SidhuvudUtskott"/>
      </w:rPr>
      <w:instrText xml:space="preserve"> DOCPROPERTY "UtkastDatum"</w:instrText>
    </w:r>
    <w:r w:rsidRPr="00F9110B">
      <w:rPr>
        <w:rStyle w:val="SidhuvudUtskott"/>
      </w:rPr>
      <w:fldChar w:fldCharType="separate"/>
    </w:r>
    <w:r w:rsidRPr="00F9110B">
      <w:rPr>
        <w:rStyle w:val="SidhuvudUtskott"/>
      </w:rPr>
      <w:instrText>Nej</w:instrText>
    </w:r>
    <w:r w:rsidRPr="00F9110B">
      <w:rPr>
        <w:rStyle w:val="SidhuvudUtskott"/>
      </w:rPr>
      <w:fldChar w:fldCharType="end"/>
    </w:r>
    <w:r w:rsidRPr="00F9110B">
      <w:rPr>
        <w:rStyle w:val="SidhuvudUtskott"/>
      </w:rPr>
      <w:instrText xml:space="preserve"> = "Ja" "</w:instrText>
    </w:r>
    <w:r w:rsidRPr="00F9110B">
      <w:rPr>
        <w:rStyle w:val="SidhuvudUtskott"/>
      </w:rPr>
      <w:fldChar w:fldCharType="begin" w:fldLock="1"/>
    </w:r>
    <w:r w:rsidRPr="00F9110B">
      <w:rPr>
        <w:rStyle w:val="SidhuvudUtskott"/>
      </w:rPr>
      <w:instrText xml:space="preserve"> PRINTDATE \@ "yyyy-MM-dd HH.mm    " </w:instrText>
    </w:r>
    <w:r w:rsidRPr="00F9110B">
      <w:rPr>
        <w:rStyle w:val="SidhuvudUtskott"/>
      </w:rPr>
      <w:fldChar w:fldCharType="separate"/>
    </w:r>
    <w:r w:rsidRPr="00F9110B">
      <w:rPr>
        <w:rStyle w:val="SidhuvudUtskott"/>
      </w:rPr>
      <w:instrText>2000-08-11 16.42</w:instrText>
    </w:r>
    <w:r w:rsidRPr="00F9110B">
      <w:rPr>
        <w:rStyle w:val="SidhuvudUtskott"/>
      </w:rPr>
      <w:fldChar w:fldCharType="end"/>
    </w:r>
    <w:r w:rsidRPr="00F9110B">
      <w:rPr>
        <w:rStyle w:val="SidhuvudUtskott"/>
      </w:rPr>
      <w:instrText xml:space="preserve">" </w:instrText>
    </w:r>
    <w:r w:rsidRPr="00F9110B">
      <w:rPr>
        <w:rStyle w:val="SidhuvudUtskott"/>
      </w:rPr>
      <w:fldChar w:fldCharType="end"/>
    </w:r>
    <w:r w:rsidRPr="00F9110B">
      <w:rPr>
        <w:rStyle w:val="SidhuvudUtskott"/>
      </w:rPr>
      <w:fldChar w:fldCharType="begin" w:fldLock="1"/>
    </w:r>
    <w:r w:rsidRPr="00F9110B">
      <w:rPr>
        <w:rStyle w:val="SidhuvudUtskott"/>
      </w:rPr>
      <w:instrText xml:space="preserve"> DOCPR</w:instrText>
    </w:r>
    <w:r w:rsidRPr="00F9110B">
      <w:rPr>
        <w:rStyle w:val="SidhuvudUtskott"/>
      </w:rPr>
      <w:instrText>O</w:instrText>
    </w:r>
    <w:r w:rsidRPr="00F9110B">
      <w:rPr>
        <w:rStyle w:val="SidhuvudUtskott"/>
      </w:rPr>
      <w:instrText>PERTY Status</w:instrText>
    </w:r>
    <w:r w:rsidRPr="00F9110B">
      <w:rPr>
        <w:rStyle w:val="SidhuvudUtskott"/>
      </w:rPr>
      <w:fldChar w:fldCharType="end"/>
    </w:r>
  </w:p>
  <w:p w:rsidR="00A31B5B" w:rsidRPr="00F9110B" w:rsidRDefault="00A31B5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B" w:rsidRPr="00F9110B" w:rsidRDefault="00A31B5B">
    <w:pPr>
      <w:pStyle w:val="SidhuvudKantUdda"/>
      <w:framePr w:w="8732" w:h="567" w:hRule="exact" w:vSpace="0" w:wrap="around" w:vAnchor="page" w:y="341" w:anchorLock="0"/>
    </w:pPr>
    <w:r w:rsidRPr="00F9110B">
      <w:t xml:space="preserve">  </w:t>
    </w:r>
    <w:r w:rsidRPr="00F9110B">
      <w:rPr>
        <w:rStyle w:val="SidhuvudUtskott"/>
      </w:rPr>
      <w:t>2002/03:KU7</w:t>
    </w:r>
  </w:p>
  <w:p w:rsidR="00A31B5B" w:rsidRPr="00F9110B" w:rsidRDefault="00A31B5B">
    <w:pPr>
      <w:pStyle w:val="SidhuvudKantUdda"/>
      <w:framePr w:w="8732" w:h="567" w:hRule="exact" w:vSpace="0" w:wrap="around" w:vAnchor="page" w:y="341" w:anchorLock="0"/>
    </w:pPr>
  </w:p>
  <w:p w:rsidR="00A31B5B" w:rsidRPr="00F9110B" w:rsidRDefault="00A31B5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876784D"/>
    <w:multiLevelType w:val="singleLevel"/>
    <w:tmpl w:val="041D000F"/>
    <w:lvl w:ilvl="0">
      <w:start w:val="1"/>
      <w:numFmt w:val="decimal"/>
      <w:lvlText w:val="%1."/>
      <w:lvlJc w:val="left"/>
      <w:pPr>
        <w:tabs>
          <w:tab w:val="num" w:pos="360"/>
        </w:tabs>
        <w:ind w:left="360" w:hanging="360"/>
      </w:pPr>
    </w:lvl>
  </w:abstractNum>
  <w:num w:numId="1" w16cid:durableId="550191433">
    <w:abstractNumId w:val="0"/>
  </w:num>
  <w:num w:numId="2" w16cid:durableId="139245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E43370"/>
    <w:rsid w:val="00A31B5B"/>
    <w:rsid w:val="00E43370"/>
    <w:rsid w:val="00F911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04B71D-0EA6-46DF-A15E-1389D080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4711</Words>
  <Characters>27798</Characters>
  <Application>Microsoft Office Word</Application>
  <DocSecurity>4</DocSecurity>
  <Lines>604</Lines>
  <Paragraphs>199</Paragraphs>
  <ScaleCrop>false</ScaleCrop>
  <HeadingPairs>
    <vt:vector size="4" baseType="variant">
      <vt:variant>
        <vt:lpstr>Title</vt:lpstr>
      </vt:variant>
      <vt:variant>
        <vt:i4>1</vt:i4>
      </vt:variant>
      <vt:variant>
        <vt:lpstr>Rubriker</vt:lpstr>
      </vt:variant>
      <vt:variant>
        <vt:i4>46</vt:i4>
      </vt:variant>
    </vt:vector>
  </HeadingPairs>
  <TitlesOfParts>
    <vt:vector size="47" baseType="lpstr">
      <vt:lpstr>Konstitutionsutskottets betänkande</vt:lpstr>
      <vt:lpstr>Sammanfattning</vt:lpstr>
      <vt:lpstr>Innehållsförteckning</vt:lpstr>
      <vt:lpstr>Utskottets förslag till riksdagsbeslut</vt:lpstr>
      <vt:lpstr>Reservation 1 (m)</vt:lpstr>
      <vt:lpstr>Reservation 2 (kd)</vt:lpstr>
      <vt:lpstr>Reservation 3 (m)</vt:lpstr>
      <vt:lpstr>Reservation 4 (kd)</vt:lpstr>
      <vt:lpstr>Stockholm den 24 oktober 2002</vt:lpstr>
      <vt:lpstr>Redogörelse för ärendet</vt:lpstr>
      <vt:lpstr>    Vilande grundlagsförslag</vt:lpstr>
      <vt:lpstr>    Förslag till följdlagstiftning</vt:lpstr>
      <vt:lpstr>        Propositionen</vt:lpstr>
      <vt:lpstr>        Motionen</vt:lpstr>
      <vt:lpstr>Utskottets överväganden</vt:lpstr>
      <vt:lpstr>Det vilande grundlagsförslaget, m.m.</vt:lpstr>
      <vt:lpstr>Utskottets förslag i korthet</vt:lpstr>
      <vt:lpstr>    Det vilande grundlagsförslaget. Utskottets anmälan och yttrande</vt:lpstr>
      <vt:lpstr>    Följdlagstiftningen</vt:lpstr>
      <vt:lpstr>        Propositionen</vt:lpstr>
      <vt:lpstr>        Motionen</vt:lpstr>
      <vt:lpstr>        Utskottet</vt:lpstr>
      <vt:lpstr>Reservationer</vt:lpstr>
      <vt:lpstr>    1.	Tryckfrihetsförordningen (punkt 1)</vt:lpstr>
      <vt:lpstr>Förslag till riksdagsbeslut</vt:lpstr>
      <vt:lpstr>Ställningstagande</vt:lpstr>
      <vt:lpstr>    2.	Tryckfrihetsförordningen (punkt 1)</vt:lpstr>
      <vt:lpstr>Förslag till riksdagsbeslut</vt:lpstr>
      <vt:lpstr>Ställningstagande</vt:lpstr>
      <vt:lpstr>3.	Brottsbalken (punkt 2)</vt:lpstr>
      <vt:lpstr>4.	Brottsbalken (punkt 2)</vt:lpstr>
      <vt:lpstr>Förslag till riksdagsbeslut</vt:lpstr>
      <vt:lpstr>Ställningstagande</vt:lpstr>
      <vt:lpstr>Särskilt yttrande</vt:lpstr>
      <vt:lpstr>Transpersoner, m.fl. (punkt 1 och 2)</vt:lpstr>
      <vt:lpstr>Bilaga 1</vt:lpstr>
      <vt:lpstr>Vilande grundlagsförslag</vt:lpstr>
      <vt:lpstr>    Förslag till lag om ändring i tryckfrihetsförordningen</vt:lpstr>
      <vt:lpstr>Denna lag träder i kraft den 1 januari 2003.</vt:lpstr>
      <vt:lpstr>Regeringens lagförslag</vt:lpstr>
      <vt:lpstr>    Förslag till lag om ändring i brottsbalken</vt:lpstr>
      <vt:lpstr>    </vt:lpstr>
      <vt:lpstr>Bilaga 3</vt:lpstr>
      <vt:lpstr>Utskottets lagförslag</vt:lpstr>
      <vt:lpstr>    Förslag till lag om ändring i brottsbalken</vt:lpstr>
      <vt:lpstr>Härigenom föreskrivs att 16 kap. 8 § brottsbalken skall ha följande lydelse.</vt:lpstr>
      <vt:lpstr>Denna lag träder i kraft den 1 januari 2003.</vt:lpstr>
    </vt:vector>
  </TitlesOfParts>
  <Company>Riksdagen</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2002-10-29T09:34:00Z</cp:lastPrinted>
  <dcterms:created xsi:type="dcterms:W3CDTF">2025-12-16T01:22:00Z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