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2BD" w:rsidRPr="0039468E" w:rsidRDefault="00FC62BD" w:rsidP="004E6F55">
      <w:pPr>
        <w:pStyle w:val="Hemstlrubrik"/>
      </w:pPr>
      <w:r w:rsidRPr="0039468E">
        <w:t>Förslag till riksdagsbeslut</w:t>
      </w:r>
    </w:p>
    <w:p w:rsidR="00FC62BD" w:rsidRPr="0039468E" w:rsidRDefault="00FC62BD" w:rsidP="008A6A06">
      <w:pPr>
        <w:pStyle w:val="Hemstlatt"/>
        <w:spacing w:after="120"/>
      </w:pPr>
      <w:r w:rsidRPr="0039468E">
        <w:t xml:space="preserve">Riksdagen anvisar med följande ändringar i förhållande till regeringens förslag anslagen under utgiftsområde 26 Statsskuldsräntor </w:t>
      </w:r>
      <w:r w:rsidR="004E6F55" w:rsidRPr="0039468E">
        <w:t>m.m.</w:t>
      </w:r>
      <w:r w:rsidR="008A6A06" w:rsidRPr="0039468E">
        <w:t xml:space="preserve"> </w:t>
      </w:r>
      <w:r w:rsidRPr="0039468E">
        <w:t>enligt följande uppställning:</w:t>
      </w:r>
    </w:p>
    <w:tbl>
      <w:tblPr>
        <w:tblW w:w="5613" w:type="dxa"/>
        <w:tblInd w:w="355" w:type="dxa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571"/>
        <w:gridCol w:w="1521"/>
        <w:gridCol w:w="1521"/>
      </w:tblGrid>
      <w:tr w:rsidR="008C3ADC" w:rsidRPr="0039468E">
        <w:trPr>
          <w:trHeight w:val="255"/>
        </w:trPr>
        <w:tc>
          <w:tcPr>
            <w:tcW w:w="228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C3ADC" w:rsidRPr="0039468E" w:rsidRDefault="0003376E" w:rsidP="0003376E">
            <w:pPr>
              <w:spacing w:before="60" w:line="200" w:lineRule="exact"/>
              <w:rPr>
                <w:b/>
                <w:sz w:val="16"/>
                <w:szCs w:val="16"/>
              </w:rPr>
            </w:pPr>
            <w:r w:rsidRPr="0039468E">
              <w:rPr>
                <w:b/>
                <w:sz w:val="16"/>
                <w:szCs w:val="16"/>
              </w:rPr>
              <w:t xml:space="preserve"> </w:t>
            </w:r>
            <w:r w:rsidR="008C3ADC" w:rsidRPr="0039468E">
              <w:rPr>
                <w:b/>
                <w:sz w:val="16"/>
                <w:szCs w:val="16"/>
              </w:rPr>
              <w:t>Anslag (tkr)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C3ADC" w:rsidRPr="0039468E" w:rsidRDefault="008C3ADC" w:rsidP="008A6A06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39468E">
              <w:rPr>
                <w:b/>
                <w:sz w:val="16"/>
                <w:szCs w:val="16"/>
              </w:rPr>
              <w:t>Regeringens förslag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C3ADC" w:rsidRPr="0039468E" w:rsidRDefault="008C3ADC" w:rsidP="008A6A06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39468E">
              <w:rPr>
                <w:b/>
                <w:sz w:val="16"/>
                <w:szCs w:val="16"/>
              </w:rPr>
              <w:t>Anslagsförändring</w:t>
            </w:r>
          </w:p>
        </w:tc>
      </w:tr>
      <w:tr w:rsidR="008C3ADC" w:rsidRPr="0039468E">
        <w:trPr>
          <w:trHeight w:val="255"/>
        </w:trPr>
        <w:tc>
          <w:tcPr>
            <w:tcW w:w="2289" w:type="pct"/>
            <w:tcBorders>
              <w:top w:val="single" w:sz="4" w:space="0" w:color="auto"/>
            </w:tcBorders>
            <w:noWrap/>
            <w:vAlign w:val="bottom"/>
          </w:tcPr>
          <w:p w:rsidR="008C3ADC" w:rsidRPr="0039468E" w:rsidRDefault="0003376E" w:rsidP="0003376E">
            <w:pPr>
              <w:spacing w:before="60" w:line="200" w:lineRule="exact"/>
              <w:rPr>
                <w:sz w:val="16"/>
                <w:szCs w:val="16"/>
              </w:rPr>
            </w:pPr>
            <w:r w:rsidRPr="0039468E">
              <w:rPr>
                <w:sz w:val="16"/>
                <w:szCs w:val="16"/>
              </w:rPr>
              <w:t xml:space="preserve"> </w:t>
            </w:r>
            <w:r w:rsidR="008C3ADC" w:rsidRPr="0039468E">
              <w:rPr>
                <w:sz w:val="16"/>
                <w:szCs w:val="16"/>
              </w:rPr>
              <w:t>92:1 Räntor på statsskulden</w:t>
            </w:r>
          </w:p>
        </w:tc>
        <w:tc>
          <w:tcPr>
            <w:tcW w:w="1355" w:type="pct"/>
            <w:tcBorders>
              <w:top w:val="single" w:sz="4" w:space="0" w:color="auto"/>
            </w:tcBorders>
            <w:noWrap/>
            <w:vAlign w:val="bottom"/>
          </w:tcPr>
          <w:p w:rsidR="008C3ADC" w:rsidRPr="0039468E" w:rsidRDefault="008C3ADC" w:rsidP="008A6A0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39468E">
              <w:rPr>
                <w:sz w:val="16"/>
                <w:szCs w:val="16"/>
              </w:rPr>
              <w:t>43 000 000</w:t>
            </w:r>
          </w:p>
        </w:tc>
        <w:tc>
          <w:tcPr>
            <w:tcW w:w="1355" w:type="pct"/>
            <w:tcBorders>
              <w:top w:val="single" w:sz="4" w:space="0" w:color="auto"/>
            </w:tcBorders>
            <w:noWrap/>
            <w:vAlign w:val="bottom"/>
          </w:tcPr>
          <w:p w:rsidR="008C3ADC" w:rsidRPr="0039468E" w:rsidRDefault="00D175B7" w:rsidP="008A6A06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39468E">
              <w:rPr>
                <w:sz w:val="16"/>
                <w:szCs w:val="16"/>
              </w:rPr>
              <w:t>–</w:t>
            </w:r>
            <w:r w:rsidR="008C3ADC" w:rsidRPr="0039468E">
              <w:rPr>
                <w:sz w:val="16"/>
                <w:szCs w:val="16"/>
              </w:rPr>
              <w:t>610 000</w:t>
            </w:r>
          </w:p>
        </w:tc>
      </w:tr>
      <w:tr w:rsidR="008C3ADC" w:rsidRPr="0039468E">
        <w:trPr>
          <w:trHeight w:val="255"/>
        </w:trPr>
        <w:tc>
          <w:tcPr>
            <w:tcW w:w="2289" w:type="pct"/>
            <w:noWrap/>
            <w:vAlign w:val="bottom"/>
          </w:tcPr>
          <w:p w:rsidR="008C3ADC" w:rsidRPr="0039468E" w:rsidRDefault="0003376E" w:rsidP="0003376E">
            <w:pPr>
              <w:spacing w:before="60" w:line="200" w:lineRule="exact"/>
              <w:rPr>
                <w:sz w:val="16"/>
                <w:szCs w:val="16"/>
              </w:rPr>
            </w:pPr>
            <w:r w:rsidRPr="0039468E">
              <w:rPr>
                <w:sz w:val="16"/>
                <w:szCs w:val="16"/>
              </w:rPr>
              <w:t xml:space="preserve"> </w:t>
            </w:r>
            <w:r w:rsidR="008C3ADC" w:rsidRPr="0039468E">
              <w:rPr>
                <w:sz w:val="16"/>
                <w:szCs w:val="16"/>
              </w:rPr>
              <w:t>92:2 Oförutsedda utgifter</w:t>
            </w:r>
          </w:p>
        </w:tc>
        <w:tc>
          <w:tcPr>
            <w:tcW w:w="1355" w:type="pct"/>
            <w:noWrap/>
            <w:vAlign w:val="bottom"/>
          </w:tcPr>
          <w:p w:rsidR="008C3ADC" w:rsidRPr="0039468E" w:rsidRDefault="008C3ADC" w:rsidP="0003376E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39468E">
              <w:rPr>
                <w:sz w:val="16"/>
                <w:szCs w:val="16"/>
              </w:rPr>
              <w:t>10</w:t>
            </w:r>
            <w:r w:rsidR="00D175B7" w:rsidRPr="0039468E">
              <w:rPr>
                <w:sz w:val="16"/>
                <w:szCs w:val="16"/>
              </w:rPr>
              <w:t> </w:t>
            </w:r>
            <w:r w:rsidRPr="0039468E">
              <w:rPr>
                <w:sz w:val="16"/>
                <w:szCs w:val="16"/>
              </w:rPr>
              <w:t>000</w:t>
            </w:r>
          </w:p>
        </w:tc>
        <w:tc>
          <w:tcPr>
            <w:tcW w:w="1355" w:type="pct"/>
            <w:noWrap/>
            <w:vAlign w:val="bottom"/>
          </w:tcPr>
          <w:p w:rsidR="008C3ADC" w:rsidRPr="0039468E" w:rsidRDefault="008C3ADC" w:rsidP="0003376E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39468E">
              <w:rPr>
                <w:sz w:val="16"/>
                <w:szCs w:val="16"/>
              </w:rPr>
              <w:t> </w:t>
            </w:r>
          </w:p>
        </w:tc>
      </w:tr>
      <w:tr w:rsidR="008C3ADC" w:rsidRPr="0039468E">
        <w:trPr>
          <w:trHeight w:val="255"/>
        </w:trPr>
        <w:tc>
          <w:tcPr>
            <w:tcW w:w="2289" w:type="pct"/>
            <w:noWrap/>
            <w:vAlign w:val="bottom"/>
          </w:tcPr>
          <w:p w:rsidR="008C3ADC" w:rsidRPr="0039468E" w:rsidRDefault="0003376E" w:rsidP="0003376E">
            <w:pPr>
              <w:spacing w:before="60" w:line="200" w:lineRule="exact"/>
              <w:rPr>
                <w:sz w:val="16"/>
                <w:szCs w:val="16"/>
              </w:rPr>
            </w:pPr>
            <w:r w:rsidRPr="0039468E">
              <w:rPr>
                <w:sz w:val="16"/>
                <w:szCs w:val="16"/>
              </w:rPr>
              <w:t xml:space="preserve"> </w:t>
            </w:r>
            <w:r w:rsidR="008C3ADC" w:rsidRPr="0039468E">
              <w:rPr>
                <w:sz w:val="16"/>
                <w:szCs w:val="16"/>
              </w:rPr>
              <w:t>92:3 Riksgäldskontoret</w:t>
            </w:r>
          </w:p>
        </w:tc>
        <w:tc>
          <w:tcPr>
            <w:tcW w:w="1355" w:type="pct"/>
            <w:noWrap/>
            <w:vAlign w:val="bottom"/>
          </w:tcPr>
          <w:p w:rsidR="008C3ADC" w:rsidRPr="0039468E" w:rsidRDefault="008C3ADC" w:rsidP="0003376E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39468E">
              <w:rPr>
                <w:sz w:val="16"/>
                <w:szCs w:val="16"/>
              </w:rPr>
              <w:t>160</w:t>
            </w:r>
            <w:r w:rsidR="008A6A06" w:rsidRPr="0039468E">
              <w:rPr>
                <w:sz w:val="16"/>
                <w:szCs w:val="16"/>
              </w:rPr>
              <w:t> </w:t>
            </w:r>
            <w:r w:rsidRPr="0039468E">
              <w:rPr>
                <w:sz w:val="16"/>
                <w:szCs w:val="16"/>
              </w:rPr>
              <w:t>000</w:t>
            </w:r>
          </w:p>
        </w:tc>
        <w:tc>
          <w:tcPr>
            <w:tcW w:w="1355" w:type="pct"/>
            <w:noWrap/>
            <w:vAlign w:val="bottom"/>
          </w:tcPr>
          <w:p w:rsidR="008C3ADC" w:rsidRPr="0039468E" w:rsidRDefault="008C3ADC" w:rsidP="0003376E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39468E">
              <w:rPr>
                <w:sz w:val="16"/>
                <w:szCs w:val="16"/>
              </w:rPr>
              <w:t> </w:t>
            </w:r>
          </w:p>
        </w:tc>
      </w:tr>
      <w:tr w:rsidR="008C3ADC" w:rsidRPr="0039468E">
        <w:trPr>
          <w:trHeight w:val="255"/>
        </w:trPr>
        <w:tc>
          <w:tcPr>
            <w:tcW w:w="2289" w:type="pct"/>
            <w:noWrap/>
            <w:vAlign w:val="bottom"/>
          </w:tcPr>
          <w:p w:rsidR="008C3ADC" w:rsidRPr="0039468E" w:rsidRDefault="0003376E" w:rsidP="0003376E">
            <w:pPr>
              <w:spacing w:before="60" w:line="200" w:lineRule="exact"/>
              <w:rPr>
                <w:b/>
                <w:sz w:val="16"/>
                <w:szCs w:val="16"/>
              </w:rPr>
            </w:pPr>
            <w:r w:rsidRPr="0039468E">
              <w:rPr>
                <w:b/>
                <w:sz w:val="16"/>
                <w:szCs w:val="16"/>
              </w:rPr>
              <w:t xml:space="preserve"> </w:t>
            </w:r>
            <w:r w:rsidR="008C3ADC" w:rsidRPr="0039468E">
              <w:rPr>
                <w:b/>
                <w:sz w:val="16"/>
                <w:szCs w:val="16"/>
              </w:rPr>
              <w:t>Summa för utgiftsområdet</w:t>
            </w:r>
          </w:p>
        </w:tc>
        <w:tc>
          <w:tcPr>
            <w:tcW w:w="1355" w:type="pct"/>
            <w:noWrap/>
            <w:vAlign w:val="bottom"/>
          </w:tcPr>
          <w:p w:rsidR="008C3ADC" w:rsidRPr="0039468E" w:rsidRDefault="008C3ADC" w:rsidP="0003376E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39468E">
              <w:rPr>
                <w:b/>
                <w:sz w:val="16"/>
                <w:szCs w:val="16"/>
              </w:rPr>
              <w:t>43 170 000</w:t>
            </w:r>
          </w:p>
        </w:tc>
        <w:tc>
          <w:tcPr>
            <w:tcW w:w="1355" w:type="pct"/>
            <w:noWrap/>
            <w:vAlign w:val="bottom"/>
          </w:tcPr>
          <w:p w:rsidR="008C3ADC" w:rsidRPr="0039468E" w:rsidRDefault="00D175B7" w:rsidP="0003376E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39468E">
              <w:rPr>
                <w:b/>
                <w:sz w:val="16"/>
                <w:szCs w:val="16"/>
              </w:rPr>
              <w:t>–</w:t>
            </w:r>
            <w:r w:rsidR="008C3ADC" w:rsidRPr="0039468E">
              <w:rPr>
                <w:b/>
                <w:sz w:val="16"/>
                <w:szCs w:val="16"/>
              </w:rPr>
              <w:t>610 000</w:t>
            </w:r>
          </w:p>
        </w:tc>
      </w:tr>
    </w:tbl>
    <w:p w:rsidR="008C3ADC" w:rsidRPr="0039468E" w:rsidRDefault="008C3ADC" w:rsidP="00663FF2">
      <w:pPr>
        <w:pStyle w:val="Rubrik1"/>
      </w:pPr>
      <w:r w:rsidRPr="0039468E">
        <w:t>Anslagsberäkning</w:t>
      </w:r>
    </w:p>
    <w:p w:rsidR="008C3ADC" w:rsidRPr="0039468E" w:rsidRDefault="008C3ADC" w:rsidP="00D175B7">
      <w:r w:rsidRPr="0039468E">
        <w:t xml:space="preserve">Allians för Sverige föreslår försäljning av statlig egendom och statliga företag för ytterligare 35 miljarder </w:t>
      </w:r>
      <w:r w:rsidR="004E6F55" w:rsidRPr="0039468E">
        <w:t xml:space="preserve">kronor </w:t>
      </w:r>
      <w:r w:rsidRPr="0039468E">
        <w:t>utöver vad regeringen föreslagit för 2006. Som en följd av detta samt Centerpartiets starkare budgetsaldo föreslås ansl</w:t>
      </w:r>
      <w:r w:rsidRPr="0039468E">
        <w:t>a</w:t>
      </w:r>
      <w:r w:rsidRPr="0039468E">
        <w:t>get 92:1 Räntor på statsskulden minska.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E6F55" w:rsidRPr="003946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6F55" w:rsidRPr="0039468E" w:rsidRDefault="004E6F55" w:rsidP="004E6F55">
            <w:pPr>
              <w:pStyle w:val="UnderskriftDatum"/>
              <w:spacing w:before="240"/>
            </w:pPr>
            <w:r w:rsidRPr="0039468E">
              <w:t>Stockholm den 4 oktober 2005</w:t>
            </w:r>
          </w:p>
        </w:tc>
        <w:tc>
          <w:tcPr>
            <w:tcW w:w="3047" w:type="dxa"/>
          </w:tcPr>
          <w:p w:rsidR="004E6F55" w:rsidRPr="0039468E" w:rsidRDefault="004E6F55" w:rsidP="004E6F55">
            <w:pPr>
              <w:pStyle w:val="Underskrifter"/>
              <w:spacing w:before="240"/>
            </w:pPr>
          </w:p>
        </w:tc>
      </w:tr>
      <w:tr w:rsidR="004E6F55" w:rsidRPr="003946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6F55" w:rsidRPr="0039468E" w:rsidRDefault="004E6F55" w:rsidP="004E6F55">
            <w:pPr>
              <w:pStyle w:val="Underskrifter"/>
            </w:pPr>
            <w:r w:rsidRPr="0039468E">
              <w:t>Roger Tiefensee (c)</w:t>
            </w:r>
          </w:p>
        </w:tc>
        <w:tc>
          <w:tcPr>
            <w:tcW w:w="3047" w:type="dxa"/>
          </w:tcPr>
          <w:p w:rsidR="004E6F55" w:rsidRPr="0039468E" w:rsidRDefault="004E6F55" w:rsidP="004E6F55">
            <w:pPr>
              <w:pStyle w:val="Underskrifter"/>
            </w:pPr>
          </w:p>
        </w:tc>
      </w:tr>
      <w:tr w:rsidR="004E6F55" w:rsidRPr="003946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6F55" w:rsidRPr="0039468E" w:rsidRDefault="004E6F55" w:rsidP="004E6F55">
            <w:pPr>
              <w:pStyle w:val="Underskrifter"/>
            </w:pPr>
            <w:r w:rsidRPr="0039468E">
              <w:t>Jörgen Johansson (c)</w:t>
            </w:r>
          </w:p>
        </w:tc>
        <w:tc>
          <w:tcPr>
            <w:tcW w:w="3047" w:type="dxa"/>
          </w:tcPr>
          <w:p w:rsidR="004E6F55" w:rsidRPr="0039468E" w:rsidRDefault="004E6F55" w:rsidP="004E6F55">
            <w:pPr>
              <w:pStyle w:val="Underskrifter"/>
            </w:pPr>
            <w:r w:rsidRPr="0039468E">
              <w:t>Sven Bergström (c)</w:t>
            </w:r>
          </w:p>
        </w:tc>
      </w:tr>
      <w:tr w:rsidR="004E6F55" w:rsidRPr="003946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6F55" w:rsidRPr="0039468E" w:rsidRDefault="004E6F55" w:rsidP="004E6F55">
            <w:pPr>
              <w:pStyle w:val="Underskrifter"/>
            </w:pPr>
            <w:r w:rsidRPr="0039468E">
              <w:t>Åsa Torstensson (c)</w:t>
            </w:r>
          </w:p>
        </w:tc>
        <w:tc>
          <w:tcPr>
            <w:tcW w:w="3047" w:type="dxa"/>
          </w:tcPr>
          <w:p w:rsidR="004E6F55" w:rsidRPr="0039468E" w:rsidRDefault="004E6F55" w:rsidP="004E6F55">
            <w:pPr>
              <w:pStyle w:val="Underskrifter"/>
            </w:pPr>
            <w:r w:rsidRPr="0039468E">
              <w:t>Rigmor Stenmark (c)</w:t>
            </w:r>
          </w:p>
        </w:tc>
      </w:tr>
    </w:tbl>
    <w:p w:rsidR="00E84F25" w:rsidRPr="0039468E" w:rsidRDefault="00E84F25" w:rsidP="004E6F55">
      <w:pPr>
        <w:pStyle w:val="Normaltindrag"/>
      </w:pPr>
    </w:p>
    <w:sectPr w:rsidR="00E84F25" w:rsidRPr="0039468E" w:rsidSect="004E6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730" w:rsidRPr="0039468E" w:rsidRDefault="00870730">
      <w:r w:rsidRPr="0039468E">
        <w:separator/>
      </w:r>
    </w:p>
  </w:endnote>
  <w:endnote w:type="continuationSeparator" w:id="0">
    <w:p w:rsidR="00870730" w:rsidRPr="0039468E" w:rsidRDefault="00870730">
      <w:r w:rsidRPr="003946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FF2" w:rsidRPr="0039468E" w:rsidRDefault="0039468E" w:rsidP="004E6F55">
    <w:pPr>
      <w:pStyle w:val="Sidfot"/>
    </w:pPr>
    <w:r w:rsidRPr="003946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46678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FF2" w:rsidRDefault="00663F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A6A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3FF2" w:rsidRDefault="00663F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A6A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FF2" w:rsidRPr="0039468E" w:rsidRDefault="0039468E" w:rsidP="004E6F55">
    <w:pPr>
      <w:pStyle w:val="Sidfot"/>
    </w:pPr>
    <w:r w:rsidRPr="003946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39883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FF2" w:rsidRDefault="00663F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A6A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3FF2" w:rsidRDefault="00663F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A6A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FF2" w:rsidRPr="0039468E" w:rsidRDefault="0039468E" w:rsidP="004E6F55">
    <w:pPr>
      <w:pStyle w:val="Sidfot"/>
    </w:pPr>
    <w:r w:rsidRPr="003946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9302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FF2" w:rsidRDefault="00663F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A6A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3FF2" w:rsidRDefault="00663F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A6A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730" w:rsidRPr="0039468E" w:rsidRDefault="00870730">
      <w:r w:rsidRPr="0039468E">
        <w:separator/>
      </w:r>
    </w:p>
  </w:footnote>
  <w:footnote w:type="continuationSeparator" w:id="0">
    <w:p w:rsidR="00870730" w:rsidRPr="0039468E" w:rsidRDefault="00870730">
      <w:r w:rsidRPr="003946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FF2" w:rsidRPr="0039468E" w:rsidRDefault="0039468E" w:rsidP="004E6F55">
    <w:pPr>
      <w:pStyle w:val="Sidhuvud"/>
    </w:pPr>
    <w:r w:rsidRPr="003946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85618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FF2" w:rsidRDefault="00663F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A6A0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A6A06">
                            <w:t>Fi312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3FF2" w:rsidRDefault="00663F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A6A0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A6A06">
                      <w:t>Fi312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FF2" w:rsidRPr="0039468E" w:rsidRDefault="0039468E" w:rsidP="004E6F55">
    <w:pPr>
      <w:pStyle w:val="Sidhuvud"/>
    </w:pPr>
    <w:r w:rsidRPr="003946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4880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FF2" w:rsidRDefault="00663F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A6A0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A6A06">
                            <w:t>Fi312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3FF2" w:rsidRDefault="00663F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A6A0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A6A06">
                      <w:t>Fi312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FF2" w:rsidRPr="0039468E" w:rsidRDefault="00663FF2">
    <w:pPr>
      <w:pStyle w:val="FSHNormal"/>
      <w:tabs>
        <w:tab w:val="right" w:pos="5840"/>
      </w:tabs>
    </w:pPr>
    <w:r w:rsidRPr="0039468E">
      <w:br/>
    </w:r>
    <w:r w:rsidRPr="0039468E">
      <w:fldChar w:fldCharType="begin" w:fldLock="1"/>
    </w:r>
    <w:r w:rsidRPr="0039468E">
      <w:instrText xml:space="preserve"> DOCPROPERTY</w:instrText>
    </w:r>
    <w:r w:rsidRPr="0039468E">
      <w:rPr>
        <w:sz w:val="18"/>
      </w:rPr>
      <w:instrText xml:space="preserve"> "YearUser" *\charformat </w:instrText>
    </w:r>
    <w:r w:rsidRPr="0039468E">
      <w:fldChar w:fldCharType="separate"/>
    </w:r>
    <w:r w:rsidR="008A6A06" w:rsidRPr="0039468E">
      <w:t>2005/06</w:t>
    </w:r>
    <w:r w:rsidRPr="0039468E">
      <w:fldChar w:fldCharType="end"/>
    </w:r>
    <w:r w:rsidRPr="0039468E">
      <w:t xml:space="preserve"> </w:t>
    </w:r>
    <w:r w:rsidRPr="0039468E">
      <w:tab/>
      <w:t xml:space="preserve">mnr: </w:t>
    </w:r>
    <w:r w:rsidRPr="0039468E">
      <w:fldChar w:fldCharType="begin" w:fldLock="1"/>
    </w:r>
    <w:r w:rsidRPr="0039468E">
      <w:instrText xml:space="preserve"> DOCPROPERTY</w:instrText>
    </w:r>
    <w:r w:rsidRPr="0039468E">
      <w:rPr>
        <w:sz w:val="18"/>
      </w:rPr>
      <w:instrText xml:space="preserve"> "Motionsnummer" *\charformat </w:instrText>
    </w:r>
    <w:r w:rsidRPr="0039468E">
      <w:fldChar w:fldCharType="separate"/>
    </w:r>
    <w:r w:rsidR="008A6A06" w:rsidRPr="0039468E">
      <w:t>Fi312</w:t>
    </w:r>
    <w:r w:rsidRPr="0039468E">
      <w:fldChar w:fldCharType="end"/>
    </w:r>
    <w:r w:rsidRPr="0039468E">
      <w:br/>
    </w:r>
    <w:r w:rsidRPr="0039468E">
      <w:fldChar w:fldCharType="begin" w:fldLock="1"/>
    </w:r>
    <w:r w:rsidRPr="0039468E">
      <w:instrText xml:space="preserve"> DOCPROPERTY</w:instrText>
    </w:r>
    <w:r w:rsidRPr="0039468E">
      <w:rPr>
        <w:sz w:val="18"/>
      </w:rPr>
      <w:instrText xml:space="preserve"> "Samling" *\charformat </w:instrText>
    </w:r>
    <w:r w:rsidRPr="0039468E">
      <w:fldChar w:fldCharType="end"/>
    </w:r>
    <w:r w:rsidRPr="0039468E">
      <w:tab/>
      <w:t xml:space="preserve">pnr: </w:t>
    </w:r>
    <w:r w:rsidRPr="0039468E">
      <w:fldChar w:fldCharType="begin" w:fldLock="1"/>
    </w:r>
    <w:r w:rsidRPr="0039468E">
      <w:instrText xml:space="preserve"> DOCPROPERTY</w:instrText>
    </w:r>
    <w:r w:rsidRPr="0039468E">
      <w:rPr>
        <w:sz w:val="18"/>
      </w:rPr>
      <w:instrText xml:space="preserve"> "Partinummer" *\charformat </w:instrText>
    </w:r>
    <w:r w:rsidRPr="0039468E">
      <w:fldChar w:fldCharType="separate"/>
    </w:r>
    <w:r w:rsidR="008A6A06" w:rsidRPr="0039468E">
      <w:t>c129</w:t>
    </w:r>
    <w:r w:rsidRPr="0039468E">
      <w:fldChar w:fldCharType="end"/>
    </w:r>
  </w:p>
  <w:p w:rsidR="00663FF2" w:rsidRPr="0039468E" w:rsidRDefault="00663FF2">
    <w:pPr>
      <w:pStyle w:val="FSHRub1"/>
    </w:pPr>
    <w:r w:rsidRPr="0039468E">
      <w:t>Motion till riksdagen</w:t>
    </w:r>
    <w:r w:rsidRPr="0039468E">
      <w:br/>
    </w:r>
    <w:r w:rsidRPr="0039468E">
      <w:fldChar w:fldCharType="begin" w:fldLock="1"/>
    </w:r>
    <w:r w:rsidRPr="0039468E">
      <w:instrText xml:space="preserve"> DOCPROPERTY "YearUser" *\charformat </w:instrText>
    </w:r>
    <w:r w:rsidRPr="0039468E">
      <w:fldChar w:fldCharType="separate"/>
    </w:r>
    <w:r w:rsidR="008A6A06" w:rsidRPr="0039468E">
      <w:t>2005/06</w:t>
    </w:r>
    <w:r w:rsidRPr="0039468E">
      <w:fldChar w:fldCharType="end"/>
    </w:r>
    <w:r w:rsidRPr="0039468E">
      <w:t>:</w:t>
    </w:r>
    <w:r w:rsidRPr="0039468E">
      <w:fldChar w:fldCharType="begin" w:fldLock="1"/>
    </w:r>
    <w:r w:rsidRPr="0039468E">
      <w:instrText xml:space="preserve"> DOCPROPERTY "Motionsnummer" *\charformat </w:instrText>
    </w:r>
    <w:r w:rsidRPr="0039468E">
      <w:fldChar w:fldCharType="separate"/>
    </w:r>
    <w:r w:rsidR="008A6A06" w:rsidRPr="0039468E">
      <w:t>Fi312</w:t>
    </w:r>
    <w:r w:rsidRPr="0039468E">
      <w:fldChar w:fldCharType="end"/>
    </w:r>
  </w:p>
  <w:p w:rsidR="00663FF2" w:rsidRPr="0039468E" w:rsidRDefault="00663FF2">
    <w:pPr>
      <w:pStyle w:val="FSHNormalS5"/>
    </w:pPr>
    <w:r w:rsidRPr="0039468E">
      <w:fldChar w:fldCharType="begin" w:fldLock="1"/>
    </w:r>
    <w:r w:rsidRPr="0039468E">
      <w:instrText xml:space="preserve"> DOCPROPERTY "MotionarText" *\charformat </w:instrText>
    </w:r>
    <w:r w:rsidRPr="0039468E">
      <w:fldChar w:fldCharType="separate"/>
    </w:r>
    <w:r w:rsidR="008A6A06" w:rsidRPr="0039468E">
      <w:t>av Roger Tiefensee m.fl. (c)</w:t>
    </w:r>
    <w:r w:rsidRPr="0039468E">
      <w:fldChar w:fldCharType="end"/>
    </w:r>
    <w:r w:rsidRPr="0039468E">
      <w:br/>
    </w:r>
    <w:r w:rsidRPr="0039468E">
      <w:fldChar w:fldCharType="begin" w:fldLock="1"/>
    </w:r>
    <w:r w:rsidRPr="0039468E">
      <w:instrText xml:space="preserve"> DOCPROPERTY "SvarFrasKort" *\charformat </w:instrText>
    </w:r>
    <w:r w:rsidRPr="0039468E">
      <w:fldChar w:fldCharType="end"/>
    </w:r>
  </w:p>
  <w:p w:rsidR="00663FF2" w:rsidRPr="0039468E" w:rsidRDefault="00663FF2">
    <w:pPr>
      <w:pStyle w:val="FSHTitel"/>
    </w:pPr>
    <w:r w:rsidRPr="0039468E">
      <w:fldChar w:fldCharType="begin" w:fldLock="1"/>
    </w:r>
    <w:r w:rsidRPr="0039468E">
      <w:instrText xml:space="preserve"> DOCPROPERTY</w:instrText>
    </w:r>
    <w:r w:rsidRPr="0039468E">
      <w:rPr>
        <w:sz w:val="18"/>
      </w:rPr>
      <w:instrText xml:space="preserve"> "RubrikSvar" *\charformat </w:instrText>
    </w:r>
    <w:r w:rsidRPr="0039468E">
      <w:fldChar w:fldCharType="separate"/>
    </w:r>
    <w:r w:rsidR="008A6A06" w:rsidRPr="0039468E">
      <w:t>Utgiftsområde 26 Statsskuldsräntor</w:t>
    </w:r>
    <w:r w:rsidRPr="0039468E">
      <w:fldChar w:fldCharType="end"/>
    </w:r>
  </w:p>
  <w:p w:rsidR="00663FF2" w:rsidRPr="0039468E" w:rsidRDefault="00663FF2" w:rsidP="004E6F5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89513A"/>
    <w:multiLevelType w:val="hybridMultilevel"/>
    <w:tmpl w:val="B9441168"/>
    <w:lvl w:ilvl="0" w:tplc="206E877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4337910">
    <w:abstractNumId w:val="13"/>
  </w:num>
  <w:num w:numId="2" w16cid:durableId="819149057">
    <w:abstractNumId w:val="10"/>
  </w:num>
  <w:num w:numId="3" w16cid:durableId="313143737">
    <w:abstractNumId w:val="11"/>
  </w:num>
  <w:num w:numId="4" w16cid:durableId="1435520593">
    <w:abstractNumId w:val="12"/>
  </w:num>
  <w:num w:numId="5" w16cid:durableId="1307663471">
    <w:abstractNumId w:val="8"/>
  </w:num>
  <w:num w:numId="6" w16cid:durableId="1381828816">
    <w:abstractNumId w:val="3"/>
  </w:num>
  <w:num w:numId="7" w16cid:durableId="1203831452">
    <w:abstractNumId w:val="2"/>
  </w:num>
  <w:num w:numId="8" w16cid:durableId="1498107303">
    <w:abstractNumId w:val="1"/>
  </w:num>
  <w:num w:numId="9" w16cid:durableId="1087770876">
    <w:abstractNumId w:val="0"/>
  </w:num>
  <w:num w:numId="10" w16cid:durableId="1326976820">
    <w:abstractNumId w:val="9"/>
  </w:num>
  <w:num w:numId="11" w16cid:durableId="61342239">
    <w:abstractNumId w:val="7"/>
  </w:num>
  <w:num w:numId="12" w16cid:durableId="485437423">
    <w:abstractNumId w:val="6"/>
  </w:num>
  <w:num w:numId="13" w16cid:durableId="244271330">
    <w:abstractNumId w:val="5"/>
  </w:num>
  <w:num w:numId="14" w16cid:durableId="947005400">
    <w:abstractNumId w:val="4"/>
  </w:num>
  <w:num w:numId="15" w16cid:durableId="9930245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AC6F0A"/>
    <w:rsid w:val="0003376E"/>
    <w:rsid w:val="0004381F"/>
    <w:rsid w:val="00064BC3"/>
    <w:rsid w:val="00066775"/>
    <w:rsid w:val="00072FB9"/>
    <w:rsid w:val="000F1DAB"/>
    <w:rsid w:val="00100531"/>
    <w:rsid w:val="00201DFB"/>
    <w:rsid w:val="00204A63"/>
    <w:rsid w:val="00212FF1"/>
    <w:rsid w:val="00230193"/>
    <w:rsid w:val="0025068A"/>
    <w:rsid w:val="002818D3"/>
    <w:rsid w:val="002D11A8"/>
    <w:rsid w:val="0039468E"/>
    <w:rsid w:val="00445271"/>
    <w:rsid w:val="004478DA"/>
    <w:rsid w:val="004A0504"/>
    <w:rsid w:val="004E38D9"/>
    <w:rsid w:val="004E6F55"/>
    <w:rsid w:val="00510E9A"/>
    <w:rsid w:val="005B145B"/>
    <w:rsid w:val="00663FF2"/>
    <w:rsid w:val="00740D6D"/>
    <w:rsid w:val="00794149"/>
    <w:rsid w:val="007B67A7"/>
    <w:rsid w:val="007C6092"/>
    <w:rsid w:val="00870730"/>
    <w:rsid w:val="008A6A06"/>
    <w:rsid w:val="008C3ADC"/>
    <w:rsid w:val="00A053C6"/>
    <w:rsid w:val="00AC6F0A"/>
    <w:rsid w:val="00B13BF0"/>
    <w:rsid w:val="00C1285C"/>
    <w:rsid w:val="00C27B7D"/>
    <w:rsid w:val="00CA354E"/>
    <w:rsid w:val="00CF7A43"/>
    <w:rsid w:val="00D02F5E"/>
    <w:rsid w:val="00D1174F"/>
    <w:rsid w:val="00D175B7"/>
    <w:rsid w:val="00DC6C70"/>
    <w:rsid w:val="00E22893"/>
    <w:rsid w:val="00E360DE"/>
    <w:rsid w:val="00E5457C"/>
    <w:rsid w:val="00E75D28"/>
    <w:rsid w:val="00E84F25"/>
    <w:rsid w:val="00FA3374"/>
    <w:rsid w:val="00FC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09988B-1433-45D2-A32B-22B4172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0">
    <w:name w:val="normal"/>
    <w:basedOn w:val="Normal"/>
    <w:rsid w:val="00FC62BD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AC6F0A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4E6F5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E6F5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114</Words>
  <Characters>731</Characters>
  <Application>Microsoft Office Word</Application>
  <DocSecurity>4</DocSecurity>
  <Lines>33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Fi312</vt:lpstr>
    </vt:vector>
  </TitlesOfParts>
  <Company>Riksdagen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Fi312</dc:title>
  <dc:subject>Fi312</dc:subject>
  <dc:creator>Riksdagen</dc:creator>
  <cp:keywords>Riksdagen</cp:keywords>
  <dc:description/>
  <cp:lastModifiedBy>Lars Brink</cp:lastModifiedBy>
  <cp:revision>2</cp:revision>
  <cp:lastPrinted>2005-11-14T06:44:00Z</cp:lastPrinted>
  <dcterms:created xsi:type="dcterms:W3CDTF">2025-12-16T19:13:00Z</dcterms:created>
  <dcterms:modified xsi:type="dcterms:W3CDTF">2025-12-16T19:13:00Z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26 Statsskuldsräntor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26 Statsskuldsräntor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c129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Roger Tiefensee m.fl. (c)</vt:lpwstr>
  </property>
  <property fmtid="{D5CDD505-2E9C-101B-9397-08002B2CF9AE}" pid="26" name="MotionarLista">
    <vt:lpwstr>Tiefensee, Roger (c)\Johansson, Jörgen (c)\Bergström, Sven (c)\Torstensson, Åsa (c)\Stenmark,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Roger Tiefensee (c), Jörgen Johansson (c), Sven Bergström (c), Åsa Torstensson (c), 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20052006000000000099000001290075</vt:lpwstr>
  </property>
  <property fmtid="{D5CDD505-2E9C-101B-9397-08002B2CF9AE}" pid="47" name="datum">
    <vt:lpwstr>051004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20052006000000000099000001290075</vt:lpwstr>
  </property>
  <property fmtid="{D5CDD505-2E9C-101B-9397-08002B2CF9AE}" pid="50" name="nummer">
    <vt:lpwstr>312</vt:lpwstr>
  </property>
  <property fmtid="{D5CDD505-2E9C-101B-9397-08002B2CF9AE}" pid="51" name="utskottsbeteckning">
    <vt:lpwstr>Fi</vt:lpwstr>
  </property>
</Properties>
</file>