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CA1" w:rsidRPr="00096E68" w:rsidRDefault="00872CA1">
      <w:pPr>
        <w:pStyle w:val="Frslagsrubrik"/>
      </w:pPr>
      <w:r w:rsidRPr="00096E68">
        <w:t>Förslag till riksdagsbeslut</w:t>
      </w:r>
    </w:p>
    <w:p w:rsidR="00872CA1" w:rsidRPr="00096E68" w:rsidRDefault="00872CA1">
      <w:pPr>
        <w:pStyle w:val="Hemstlatt"/>
      </w:pPr>
      <w:r w:rsidRPr="00096E68">
        <w:t>Riksdagen avslår proposition 2011/12:133 Nya my</w:t>
      </w:r>
      <w:r w:rsidRPr="00096E68">
        <w:t>n</w:t>
      </w:r>
      <w:r w:rsidRPr="00096E68">
        <w:t>digheter inom utbildningsområdet m.m.</w:t>
      </w:r>
    </w:p>
    <w:p w:rsidR="00872CA1" w:rsidRPr="00096E68" w:rsidRDefault="00872CA1">
      <w:pPr>
        <w:pStyle w:val="Rubrik1"/>
      </w:pPr>
      <w:r w:rsidRPr="00096E68">
        <w:t>Motivering</w:t>
      </w:r>
    </w:p>
    <w:p w:rsidR="00872CA1" w:rsidRPr="00096E68" w:rsidRDefault="00872CA1">
      <w:r w:rsidRPr="00096E68">
        <w:t>Det kan finnas fördelar med att renodla de berörda myndigheternas up</w:t>
      </w:r>
      <w:r w:rsidRPr="00096E68">
        <w:t>p</w:t>
      </w:r>
      <w:r w:rsidRPr="00096E68">
        <w:t>drag och att skilja tillsyn och kontroll från service och information. Propos</w:t>
      </w:r>
      <w:r w:rsidRPr="00096E68">
        <w:t>i</w:t>
      </w:r>
      <w:r w:rsidRPr="00096E68">
        <w:t>tionen visar dock inte på ett övertygande sätt att samordningsvinsterna skulle bli så stora som regeringen vill göra gällande. Därtill finns det komplikationer med nya gränsdragnings- och överlappningsproblem mellan de föreslagna my</w:t>
      </w:r>
      <w:r w:rsidRPr="00096E68">
        <w:t>n</w:t>
      </w:r>
      <w:r w:rsidRPr="00096E68">
        <w:t>digheterna. Det är högst oklart huruvida förslagen i propositionen bidrar till att lösa några problem eller om de snarare skapar nya problem.</w:t>
      </w:r>
    </w:p>
    <w:p w:rsidR="00872CA1" w:rsidRPr="00096E68" w:rsidRDefault="00872CA1">
      <w:pPr>
        <w:pStyle w:val="Normaltindrag"/>
      </w:pPr>
      <w:r w:rsidRPr="00096E68">
        <w:t>Det är tydligt att regeringen vill begränsa Högskoleverket</w:t>
      </w:r>
      <w:r w:rsidRPr="00096E68">
        <w:t>s (eller snarare den nya granskningsmyndighetens) handlingsfrihet. Det vore djupt olyckligt. Högskoleverkets stora oberoende och auktoritet i dess egenskap av exper</w:t>
      </w:r>
      <w:r w:rsidRPr="00096E68">
        <w:t>t</w:t>
      </w:r>
      <w:r w:rsidRPr="00096E68">
        <w:t>myndighet, som på senare år alltmer kringskurits av regeringen, har varit en av dess främsta förtjänster och har stor betydelse för högskolesektorn, dess avnämare och andra berörda parter.</w:t>
      </w:r>
    </w:p>
    <w:p w:rsidR="00872CA1" w:rsidRPr="00096E68" w:rsidRDefault="00872CA1">
      <w:pPr>
        <w:pStyle w:val="Normaltindrag"/>
      </w:pPr>
      <w:r w:rsidRPr="00096E68">
        <w:t>Regeringen föreslår att granskningsmyndighetens analysuppdrag blir att ”bistå regeringen med analyser och andra underlag”. I detta uppdrag bör e</w:t>
      </w:r>
      <w:r w:rsidRPr="00096E68">
        <w:t>n</w:t>
      </w:r>
      <w:r w:rsidRPr="00096E68">
        <w:t>ligt förslaget en av huvuduppgifterna vara att följa upp effektiviteten i hö</w:t>
      </w:r>
      <w:r w:rsidRPr="00096E68">
        <w:t>g</w:t>
      </w:r>
      <w:r w:rsidRPr="00096E68">
        <w:t>skolans resursutnyttjande. Regeringen föreslår alltså en kraftig nedmontering och begränsning av Högskoleverkets nuvarande analysuppdrag och o</w:t>
      </w:r>
      <w:r w:rsidRPr="00096E68">
        <w:t>m</w:t>
      </w:r>
      <w:r w:rsidRPr="00096E68">
        <w:t>världsbevakning. Förslagen innebär ett allvarligt ingrepp i den självständighet med vilken Högskoleverket hittills utfört sitt analysuppdrag. Om det geno</w:t>
      </w:r>
      <w:r w:rsidRPr="00096E68">
        <w:t>m</w:t>
      </w:r>
      <w:r w:rsidRPr="00096E68">
        <w:t>förs innebär det en stor förlust för högskolesektorn, dess avnämare och andra berörda parter. Vänsterpartiet avstyrker därför dessa försl</w:t>
      </w:r>
      <w:r w:rsidRPr="00096E68">
        <w:t xml:space="preserve">ag och förordar att </w:t>
      </w:r>
      <w:r w:rsidRPr="00096E68">
        <w:lastRenderedPageBreak/>
        <w:t>Högskoleverket, eller en eventuell framtida ny granskningsmyndighet, får behålla sin självständighet från regeringen vad gäller analysuppdragets fo</w:t>
      </w:r>
      <w:r w:rsidRPr="00096E68">
        <w:t>r</w:t>
      </w:r>
      <w:r w:rsidRPr="00096E68">
        <w:t>mer, innehåll och utförande.</w:t>
      </w:r>
    </w:p>
    <w:p w:rsidR="00872CA1" w:rsidRPr="00096E68" w:rsidRDefault="00872CA1">
      <w:pPr>
        <w:pStyle w:val="Normaltindrag"/>
        <w:rPr>
          <w:szCs w:val="24"/>
        </w:rPr>
      </w:pPr>
      <w:r w:rsidRPr="00096E68">
        <w:t>Regeringen föreslår att varken Högskoleverkets främjandeuppdrag – att ”motverka diskriminering och på andra sätt främja lika rättigheter och mö</w:t>
      </w:r>
      <w:r w:rsidRPr="00096E68">
        <w:t>j</w:t>
      </w:r>
      <w:r w:rsidRPr="00096E68">
        <w:t>ligheter” – eller uppdraget att ”stimulera intresset för högre studier” förs över till någon av de föreslagna nya myndigheterna. Redan i dag finns det l</w:t>
      </w:r>
      <w:r w:rsidRPr="00096E68">
        <w:t>ä</w:t>
      </w:r>
      <w:r w:rsidRPr="00096E68">
        <w:t>rosäten där arbetet med dessa frågor är under all kritik. Om dessa uppdrag tas bort från Högskoleverket ställer vi oss frågande till vilka krav som då ko</w:t>
      </w:r>
      <w:r w:rsidRPr="00096E68">
        <w:t>m</w:t>
      </w:r>
      <w:r w:rsidRPr="00096E68">
        <w:t>mer att kunna ställas på lärosäten som inte gör ett fullgott arbete inom diskr</w:t>
      </w:r>
      <w:r w:rsidRPr="00096E68">
        <w:t>i</w:t>
      </w:r>
      <w:r w:rsidRPr="00096E68">
        <w:t xml:space="preserve">minerings- och jämställdhetsfrågor? </w:t>
      </w:r>
      <w:r w:rsidRPr="00096E68">
        <w:rPr>
          <w:bCs/>
        </w:rPr>
        <w:t>Den breddade rekryteringen till högre utbildning är också en mycket viktig fråga för utve</w:t>
      </w:r>
      <w:r w:rsidRPr="00096E68">
        <w:rPr>
          <w:bCs/>
        </w:rPr>
        <w:t xml:space="preserve">cklingen av Sverige som en kunskapsnation och för allas möjligheter att gå vidare till högre utbildning. </w:t>
      </w:r>
      <w:r w:rsidRPr="00096E68">
        <w:rPr>
          <w:szCs w:val="24"/>
        </w:rPr>
        <w:t>Vänsterpartiet ifrågasätter därför att myndighetens uppdrag att stimulera i</w:t>
      </w:r>
      <w:r w:rsidRPr="00096E68">
        <w:rPr>
          <w:szCs w:val="24"/>
        </w:rPr>
        <w:t>n</w:t>
      </w:r>
      <w:r w:rsidRPr="00096E68">
        <w:rPr>
          <w:szCs w:val="24"/>
        </w:rPr>
        <w:t xml:space="preserve">tresset för högre studier tas bort. Högskoleverket bör ha kvar de ovan nämnda uppdragen. Vid en eventuell ny myndighetsstruktur bör bägge uppdragen föras över till den nya granskningsmyndigheten. Främjandeuppdrag </w:t>
      </w:r>
      <w:bookmarkStart w:id="0" w:name="_GoBack"/>
      <w:bookmarkEnd w:id="0"/>
      <w:r w:rsidRPr="00096E68">
        <w:rPr>
          <w:szCs w:val="24"/>
        </w:rPr>
        <w:t>rörande studieinformation bör också ges till en eventuell ny servicemyndighet.</w:t>
      </w:r>
    </w:p>
    <w:p w:rsidR="00872CA1" w:rsidRPr="00096E68" w:rsidRDefault="00872CA1">
      <w:pPr>
        <w:pStyle w:val="Normaltindrag"/>
      </w:pPr>
      <w:r w:rsidRPr="00096E68">
        <w:t xml:space="preserve">Möjligheten till studentinsyn föreslås </w:t>
      </w:r>
      <w:r w:rsidRPr="00096E68">
        <w:t>inte heller längre regleras i den nya myndigheten. Med anledning av det finns det starka farhågor om att studen</w:t>
      </w:r>
      <w:r w:rsidRPr="00096E68">
        <w:t>t</w:t>
      </w:r>
      <w:r w:rsidRPr="00096E68">
        <w:t>inflytandet kan komma att minska i den föreslagna nya myndighetsstrukturen.</w:t>
      </w:r>
    </w:p>
    <w:p w:rsidR="00872CA1" w:rsidRPr="00096E68" w:rsidRDefault="00872CA1">
      <w:pPr>
        <w:pStyle w:val="Normaltindrag"/>
        <w:rPr>
          <w:szCs w:val="24"/>
        </w:rPr>
      </w:pPr>
      <w:r w:rsidRPr="00096E68">
        <w:rPr>
          <w:szCs w:val="24"/>
        </w:rPr>
        <w:t>Internationella programkontoret, IPK, är en väl fungerande myndighet som uppfyller sitt uppdrag med väl utarbetade system för intern och extern kval</w:t>
      </w:r>
      <w:r w:rsidRPr="00096E68">
        <w:rPr>
          <w:szCs w:val="24"/>
        </w:rPr>
        <w:t>i</w:t>
      </w:r>
      <w:r w:rsidRPr="00096E68">
        <w:rPr>
          <w:szCs w:val="24"/>
        </w:rPr>
        <w:t>tetssäkring. Bara omkring en fjärdedel av myndighetens verksamhet är relat</w:t>
      </w:r>
      <w:r w:rsidRPr="00096E68">
        <w:rPr>
          <w:szCs w:val="24"/>
        </w:rPr>
        <w:t>e</w:t>
      </w:r>
      <w:r w:rsidRPr="00096E68">
        <w:rPr>
          <w:szCs w:val="24"/>
        </w:rPr>
        <w:t>rad till högskoleområdet. Majoriteten av IPK:s uppdrag och uppdragsgivare finns utanför högskolan. Vi ser det därför som problematiskt att flytta över verksamheten till en ny myndighet med uttalat högskoleperspektiv. Risken är uppenbar att väl fungerande strukturer slås sönder utan att några effektivitet</w:t>
      </w:r>
      <w:r w:rsidRPr="00096E68">
        <w:rPr>
          <w:szCs w:val="24"/>
        </w:rPr>
        <w:t>s</w:t>
      </w:r>
      <w:r w:rsidRPr="00096E68">
        <w:rPr>
          <w:szCs w:val="24"/>
        </w:rPr>
        <w:t>vinster nås.</w:t>
      </w:r>
    </w:p>
    <w:p w:rsidR="00872CA1" w:rsidRPr="00096E68" w:rsidRDefault="00872CA1">
      <w:pPr>
        <w:pStyle w:val="Normaltindrag"/>
      </w:pPr>
      <w:r w:rsidRPr="00096E68">
        <w:t xml:space="preserve">Mot bakgrund av det anförda bör riksdagen avslå förslagen i regeringens proposition 2011/12:133 Nya myndigheter inom </w:t>
      </w:r>
      <w:r w:rsidRPr="00096E68">
        <w:t>utbildningsområdet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E68">
        <w:trPr>
          <w:cantSplit/>
        </w:trPr>
        <w:tc>
          <w:tcPr>
            <w:tcW w:w="3046" w:type="dxa"/>
          </w:tcPr>
          <w:p w:rsidR="00872CA1" w:rsidRPr="00096E68" w:rsidRDefault="00872CA1">
            <w:pPr>
              <w:pStyle w:val="UnderskriftDatum"/>
              <w:spacing w:before="240"/>
            </w:pPr>
            <w:r w:rsidRPr="00096E68">
              <w:t>Stockholm den 10 april 2012</w:t>
            </w:r>
          </w:p>
        </w:tc>
        <w:tc>
          <w:tcPr>
            <w:tcW w:w="3047" w:type="dxa"/>
          </w:tcPr>
          <w:p w:rsidR="00872CA1" w:rsidRPr="00096E68" w:rsidRDefault="00872CA1">
            <w:pPr>
              <w:pStyle w:val="Underskrifter"/>
              <w:spacing w:before="240"/>
            </w:pPr>
          </w:p>
        </w:tc>
      </w:tr>
      <w:tr w:rsidR="00000000" w:rsidRPr="00096E68">
        <w:trPr>
          <w:cantSplit/>
        </w:trPr>
        <w:tc>
          <w:tcPr>
            <w:tcW w:w="3046" w:type="dxa"/>
          </w:tcPr>
          <w:p w:rsidR="00872CA1" w:rsidRPr="00096E68" w:rsidRDefault="00872CA1">
            <w:pPr>
              <w:pStyle w:val="Underskrifter"/>
            </w:pPr>
            <w:r w:rsidRPr="00096E68">
              <w:t>Rossana Dinamarca (V)</w:t>
            </w:r>
          </w:p>
        </w:tc>
        <w:tc>
          <w:tcPr>
            <w:tcW w:w="3046" w:type="dxa"/>
          </w:tcPr>
          <w:p w:rsidR="00872CA1" w:rsidRPr="00096E68" w:rsidRDefault="00872CA1">
            <w:pPr>
              <w:pStyle w:val="Underskrifter"/>
            </w:pPr>
          </w:p>
        </w:tc>
      </w:tr>
      <w:tr w:rsidR="00000000" w:rsidRPr="00096E68">
        <w:trPr>
          <w:cantSplit/>
        </w:trPr>
        <w:tc>
          <w:tcPr>
            <w:tcW w:w="3046" w:type="dxa"/>
          </w:tcPr>
          <w:p w:rsidR="00872CA1" w:rsidRPr="00096E68" w:rsidRDefault="00872CA1">
            <w:pPr>
              <w:pStyle w:val="Underskrifter"/>
            </w:pPr>
            <w:r w:rsidRPr="00096E68">
              <w:t>Ulla Andersson (V)</w:t>
            </w:r>
          </w:p>
        </w:tc>
        <w:tc>
          <w:tcPr>
            <w:tcW w:w="3046" w:type="dxa"/>
          </w:tcPr>
          <w:p w:rsidR="00872CA1" w:rsidRPr="00096E68" w:rsidRDefault="00872CA1">
            <w:pPr>
              <w:pStyle w:val="Underskrifter"/>
            </w:pPr>
            <w:r w:rsidRPr="00096E68">
              <w:t>Josefin Brink (V)</w:t>
            </w:r>
          </w:p>
        </w:tc>
      </w:tr>
      <w:tr w:rsidR="00000000" w:rsidRPr="00096E68">
        <w:trPr>
          <w:cantSplit/>
        </w:trPr>
        <w:tc>
          <w:tcPr>
            <w:tcW w:w="3046" w:type="dxa"/>
          </w:tcPr>
          <w:p w:rsidR="00872CA1" w:rsidRPr="00096E68" w:rsidRDefault="00872CA1">
            <w:pPr>
              <w:pStyle w:val="Underskrifter"/>
            </w:pPr>
            <w:r w:rsidRPr="00096E68">
              <w:t>Christina Höj Larsen (V)</w:t>
            </w:r>
          </w:p>
        </w:tc>
        <w:tc>
          <w:tcPr>
            <w:tcW w:w="3046" w:type="dxa"/>
          </w:tcPr>
          <w:p w:rsidR="00872CA1" w:rsidRPr="00096E68" w:rsidRDefault="00872CA1">
            <w:pPr>
              <w:pStyle w:val="Underskrifter"/>
            </w:pPr>
            <w:r w:rsidRPr="00096E68">
              <w:t>Wiwi-Anne Johansson (V)</w:t>
            </w:r>
          </w:p>
        </w:tc>
      </w:tr>
      <w:tr w:rsidR="00000000" w:rsidRPr="00096E68">
        <w:trPr>
          <w:cantSplit/>
        </w:trPr>
        <w:tc>
          <w:tcPr>
            <w:tcW w:w="3046" w:type="dxa"/>
          </w:tcPr>
          <w:p w:rsidR="00872CA1" w:rsidRPr="00096E68" w:rsidRDefault="00872CA1">
            <w:pPr>
              <w:pStyle w:val="Underskrifter"/>
            </w:pPr>
            <w:r w:rsidRPr="00096E68">
              <w:t>Jacob Johnson (V)</w:t>
            </w:r>
          </w:p>
        </w:tc>
        <w:tc>
          <w:tcPr>
            <w:tcW w:w="3046" w:type="dxa"/>
          </w:tcPr>
          <w:p w:rsidR="00872CA1" w:rsidRPr="00096E68" w:rsidRDefault="00872CA1">
            <w:pPr>
              <w:pStyle w:val="Underskrifter"/>
            </w:pPr>
          </w:p>
        </w:tc>
      </w:tr>
    </w:tbl>
    <w:p w:rsidR="00872CA1" w:rsidRPr="00096E68" w:rsidRDefault="00872CA1">
      <w:pPr>
        <w:pStyle w:val="Normaltindrag"/>
      </w:pPr>
    </w:p>
    <w:sectPr w:rsidR="00872CA1" w:rsidRPr="00096E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CA1" w:rsidRPr="00096E68" w:rsidRDefault="00872CA1">
      <w:r w:rsidRPr="00096E68">
        <w:separator/>
      </w:r>
    </w:p>
  </w:endnote>
  <w:endnote w:type="continuationSeparator" w:id="0">
    <w:p w:rsidR="00872CA1" w:rsidRPr="00096E68" w:rsidRDefault="00872CA1">
      <w:r w:rsidRPr="00096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096E68">
    <w:pPr>
      <w:pStyle w:val="Sidfot"/>
    </w:pPr>
    <w:r w:rsidRPr="00096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753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A1" w:rsidRDefault="00872C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CA1" w:rsidRDefault="00872C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096E68">
    <w:pPr>
      <w:pStyle w:val="Sidfot"/>
    </w:pPr>
    <w:r w:rsidRPr="00096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908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A1" w:rsidRDefault="00872C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CA1" w:rsidRDefault="00872C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096E68">
    <w:pPr>
      <w:pStyle w:val="Sidfot"/>
    </w:pPr>
    <w:r w:rsidRPr="00096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395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A1" w:rsidRDefault="00872C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CA1" w:rsidRDefault="00872C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CA1" w:rsidRPr="00096E68" w:rsidRDefault="00872CA1">
      <w:r w:rsidRPr="00096E68">
        <w:separator/>
      </w:r>
    </w:p>
  </w:footnote>
  <w:footnote w:type="continuationSeparator" w:id="0">
    <w:p w:rsidR="00872CA1" w:rsidRPr="00096E68" w:rsidRDefault="00872CA1">
      <w:r w:rsidRPr="00096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096E68">
    <w:pPr>
      <w:pStyle w:val="Sidhuvud"/>
    </w:pPr>
    <w:r w:rsidRPr="00096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147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A1" w:rsidRDefault="00872C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CA1" w:rsidRDefault="00872C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096E68">
    <w:pPr>
      <w:pStyle w:val="Sidhuvud"/>
    </w:pPr>
    <w:r w:rsidRPr="00096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319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A1" w:rsidRDefault="00872C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CA1" w:rsidRDefault="00872C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CA1" w:rsidRPr="00096E68" w:rsidRDefault="00872CA1">
    <w:pPr>
      <w:pStyle w:val="FSHNormal"/>
      <w:tabs>
        <w:tab w:val="right" w:pos="5840"/>
      </w:tabs>
    </w:pPr>
    <w:r w:rsidRPr="00096E68">
      <w:br/>
    </w:r>
    <w:r w:rsidRPr="00096E68">
      <w:fldChar w:fldCharType="begin" w:fldLock="1"/>
    </w:r>
    <w:r w:rsidRPr="00096E68">
      <w:instrText xml:space="preserve"> DOCPROPERTY</w:instrText>
    </w:r>
    <w:r w:rsidRPr="00096E68">
      <w:rPr>
        <w:sz w:val="18"/>
      </w:rPr>
      <w:instrText xml:space="preserve"> "YearUser" *\charformat </w:instrText>
    </w:r>
    <w:r w:rsidRPr="00096E68">
      <w:fldChar w:fldCharType="separate"/>
    </w:r>
    <w:r w:rsidRPr="00096E68">
      <w:t>2011/12</w:t>
    </w:r>
    <w:r w:rsidRPr="00096E68">
      <w:fldChar w:fldCharType="end"/>
    </w:r>
    <w:r w:rsidRPr="00096E68">
      <w:t xml:space="preserve"> </w:t>
    </w:r>
    <w:r w:rsidRPr="00096E68">
      <w:tab/>
      <w:t xml:space="preserve">mnr: </w:t>
    </w:r>
    <w:r w:rsidRPr="00096E68">
      <w:fldChar w:fldCharType="begin" w:fldLock="1"/>
    </w:r>
    <w:r w:rsidRPr="00096E68">
      <w:instrText xml:space="preserve"> DOCPROPERTY</w:instrText>
    </w:r>
    <w:r w:rsidRPr="00096E68">
      <w:rPr>
        <w:sz w:val="18"/>
      </w:rPr>
      <w:instrText xml:space="preserve"> "Motionsnummer" *\charformat </w:instrText>
    </w:r>
    <w:r w:rsidRPr="00096E68">
      <w:fldChar w:fldCharType="separate"/>
    </w:r>
    <w:r w:rsidRPr="00096E68">
      <w:t>Ub11</w:t>
    </w:r>
    <w:r w:rsidRPr="00096E68">
      <w:fldChar w:fldCharType="end"/>
    </w:r>
    <w:r w:rsidRPr="00096E68">
      <w:br/>
    </w:r>
    <w:r w:rsidRPr="00096E68">
      <w:fldChar w:fldCharType="begin" w:fldLock="1"/>
    </w:r>
    <w:r w:rsidRPr="00096E68">
      <w:instrText xml:space="preserve"> DOCPROPERTY</w:instrText>
    </w:r>
    <w:r w:rsidRPr="00096E68">
      <w:rPr>
        <w:sz w:val="18"/>
      </w:rPr>
      <w:instrText xml:space="preserve"> "Samling" *\charformat </w:instrText>
    </w:r>
    <w:r w:rsidRPr="00096E68">
      <w:fldChar w:fldCharType="end"/>
    </w:r>
    <w:r w:rsidRPr="00096E68">
      <w:tab/>
      <w:t xml:space="preserve">pnr: </w:t>
    </w:r>
    <w:r w:rsidRPr="00096E68">
      <w:fldChar w:fldCharType="begin" w:fldLock="1"/>
    </w:r>
    <w:r w:rsidRPr="00096E68">
      <w:instrText xml:space="preserve"> DOCPROPERTY</w:instrText>
    </w:r>
    <w:r w:rsidRPr="00096E68">
      <w:rPr>
        <w:sz w:val="18"/>
      </w:rPr>
      <w:instrText xml:space="preserve"> "Partinummer" *\charformat </w:instrText>
    </w:r>
    <w:r w:rsidRPr="00096E68">
      <w:fldChar w:fldCharType="separate"/>
    </w:r>
    <w:r w:rsidRPr="00096E68">
      <w:t>V23</w:t>
    </w:r>
    <w:r w:rsidRPr="00096E68">
      <w:fldChar w:fldCharType="end"/>
    </w:r>
  </w:p>
  <w:p w:rsidR="00872CA1" w:rsidRPr="00096E68" w:rsidRDefault="00872CA1">
    <w:pPr>
      <w:pStyle w:val="FSHRub1"/>
    </w:pPr>
    <w:r w:rsidRPr="00096E68">
      <w:t>Motion till riksdagen</w:t>
    </w:r>
    <w:r w:rsidRPr="00096E68">
      <w:br/>
    </w:r>
    <w:r w:rsidRPr="00096E68">
      <w:fldChar w:fldCharType="begin" w:fldLock="1"/>
    </w:r>
    <w:r w:rsidRPr="00096E68">
      <w:instrText xml:space="preserve"> DOCPROPERTY "YearUser" *\charformat </w:instrText>
    </w:r>
    <w:r w:rsidRPr="00096E68">
      <w:fldChar w:fldCharType="separate"/>
    </w:r>
    <w:r w:rsidRPr="00096E68">
      <w:t>2011/12</w:t>
    </w:r>
    <w:r w:rsidRPr="00096E68">
      <w:fldChar w:fldCharType="end"/>
    </w:r>
    <w:r w:rsidRPr="00096E68">
      <w:t>:</w:t>
    </w:r>
    <w:r w:rsidRPr="00096E68">
      <w:fldChar w:fldCharType="begin" w:fldLock="1"/>
    </w:r>
    <w:r w:rsidRPr="00096E68">
      <w:instrText xml:space="preserve"> DOCPROPERTY "Motionsnummer" *\charformat </w:instrText>
    </w:r>
    <w:r w:rsidRPr="00096E68">
      <w:fldChar w:fldCharType="separate"/>
    </w:r>
    <w:r w:rsidRPr="00096E68">
      <w:t>Ub11</w:t>
    </w:r>
    <w:r w:rsidRPr="00096E68">
      <w:fldChar w:fldCharType="end"/>
    </w:r>
  </w:p>
  <w:p w:rsidR="00872CA1" w:rsidRPr="00096E68" w:rsidRDefault="00872CA1">
    <w:pPr>
      <w:pStyle w:val="FSHNormalS5"/>
    </w:pPr>
    <w:r w:rsidRPr="00096E68">
      <w:fldChar w:fldCharType="begin" w:fldLock="1"/>
    </w:r>
    <w:r w:rsidRPr="00096E68">
      <w:instrText xml:space="preserve"> DOCPROPERTY "MotionarText" *\charformat </w:instrText>
    </w:r>
    <w:r w:rsidRPr="00096E68">
      <w:fldChar w:fldCharType="separate"/>
    </w:r>
    <w:r w:rsidRPr="00096E68">
      <w:t>av Rossana Dinamarca m.fl. (V)</w:t>
    </w:r>
    <w:r w:rsidRPr="00096E68">
      <w:fldChar w:fldCharType="end"/>
    </w:r>
    <w:r w:rsidRPr="00096E68">
      <w:br/>
    </w:r>
    <w:r w:rsidRPr="00096E68">
      <w:fldChar w:fldCharType="begin" w:fldLock="1"/>
    </w:r>
    <w:r w:rsidRPr="00096E68">
      <w:instrText xml:space="preserve"> DOCPROPERTY "SvarFrasKort" *\charformat </w:instrText>
    </w:r>
    <w:r w:rsidRPr="00096E68">
      <w:fldChar w:fldCharType="separate"/>
    </w:r>
    <w:r w:rsidRPr="00096E68">
      <w:t>med anledning av prop. 2011/12:133</w:t>
    </w:r>
    <w:r w:rsidRPr="00096E68">
      <w:fldChar w:fldCharType="end"/>
    </w:r>
  </w:p>
  <w:p w:rsidR="00872CA1" w:rsidRPr="00096E68" w:rsidRDefault="00872CA1">
    <w:pPr>
      <w:pStyle w:val="FSHTitel"/>
    </w:pPr>
    <w:r w:rsidRPr="00096E68">
      <w:fldChar w:fldCharType="begin" w:fldLock="1"/>
    </w:r>
    <w:r w:rsidRPr="00096E68">
      <w:instrText xml:space="preserve"> DOCPROPERTY</w:instrText>
    </w:r>
    <w:r w:rsidRPr="00096E68">
      <w:rPr>
        <w:sz w:val="18"/>
      </w:rPr>
      <w:instrText xml:space="preserve"> "RubrikSvar" *\charformat </w:instrText>
    </w:r>
    <w:r w:rsidRPr="00096E68">
      <w:fldChar w:fldCharType="separate"/>
    </w:r>
    <w:r w:rsidRPr="00096E68">
      <w:t>Nya myndigheter inom utbildningsområdet m.m.</w:t>
    </w:r>
    <w:r w:rsidRPr="00096E68">
      <w:fldChar w:fldCharType="end"/>
    </w:r>
  </w:p>
  <w:p w:rsidR="00872CA1" w:rsidRPr="00096E68" w:rsidRDefault="00872CA1">
    <w:pPr>
      <w:pStyle w:val="Normal00"/>
    </w:pPr>
  </w:p>
  <w:p w:rsidR="00872CA1" w:rsidRPr="00096E68" w:rsidRDefault="00872C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4997614">
    <w:abstractNumId w:val="3"/>
  </w:num>
  <w:num w:numId="2" w16cid:durableId="1900745895">
    <w:abstractNumId w:val="2"/>
  </w:num>
  <w:num w:numId="3" w16cid:durableId="43140939">
    <w:abstractNumId w:val="1"/>
  </w:num>
  <w:num w:numId="4" w16cid:durableId="1324091393">
    <w:abstractNumId w:val="0"/>
  </w:num>
  <w:num w:numId="5" w16cid:durableId="992563919">
    <w:abstractNumId w:val="7"/>
  </w:num>
  <w:num w:numId="6" w16cid:durableId="232012686">
    <w:abstractNumId w:val="6"/>
  </w:num>
  <w:num w:numId="7" w16cid:durableId="1736967865">
    <w:abstractNumId w:val="5"/>
  </w:num>
  <w:num w:numId="8" w16cid:durableId="441650449">
    <w:abstractNumId w:val="4"/>
  </w:num>
  <w:num w:numId="9" w16cid:durableId="1882741400">
    <w:abstractNumId w:val="8"/>
  </w:num>
  <w:num w:numId="10" w16cid:durableId="1349989614">
    <w:abstractNumId w:val="9"/>
  </w:num>
  <w:num w:numId="11" w16cid:durableId="1601378062">
    <w:abstractNumId w:val="10"/>
  </w:num>
  <w:num w:numId="12" w16cid:durableId="778335960">
    <w:abstractNumId w:val="13"/>
  </w:num>
  <w:num w:numId="13" w16cid:durableId="163057961">
    <w:abstractNumId w:val="15"/>
  </w:num>
  <w:num w:numId="14" w16cid:durableId="2140295050">
    <w:abstractNumId w:val="16"/>
  </w:num>
  <w:num w:numId="15" w16cid:durableId="587465311">
    <w:abstractNumId w:val="11"/>
  </w:num>
  <w:num w:numId="16" w16cid:durableId="432747617">
    <w:abstractNumId w:val="18"/>
  </w:num>
  <w:num w:numId="17" w16cid:durableId="997998376">
    <w:abstractNumId w:val="17"/>
  </w:num>
  <w:num w:numId="18" w16cid:durableId="683282769">
    <w:abstractNumId w:val="14"/>
  </w:num>
  <w:num w:numId="19" w16cid:durableId="365906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0"/>
    <w:docVar w:name="PersonGUIDs" w:val="{A91A0519-8886-4C65-9424-5F1F036166D5},{9757EBE9-5352-471C-B04A-E35C112BD16A},{3E8E9A56-310F-4C36-91B1-43045BD53986},{655152DA-9738-498E-8F40-529248027960},{8AB62037-4390-43A4-8774-82C1A5291ED3},{CDE55E54-9331-43CF-956C-25A3AB2FE7A8}"/>
  </w:docVars>
  <w:rsids>
    <w:rsidRoot w:val="00E65999"/>
    <w:rsid w:val="00096E68"/>
    <w:rsid w:val="00872CA1"/>
    <w:rsid w:val="00E659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3BB5C7-2E07-4749-A194-E40CDC85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38137">
      <w:bodyDiv w:val="1"/>
      <w:marLeft w:val="0"/>
      <w:marRight w:val="0"/>
      <w:marTop w:val="0"/>
      <w:marBottom w:val="0"/>
      <w:divBdr>
        <w:top w:val="none" w:sz="0" w:space="0" w:color="auto"/>
        <w:left w:val="none" w:sz="0" w:space="0" w:color="auto"/>
        <w:bottom w:val="none" w:sz="0" w:space="0" w:color="auto"/>
        <w:right w:val="none" w:sz="0" w:space="0" w:color="auto"/>
      </w:divBdr>
      <w:divsChild>
        <w:div w:id="1340473767">
          <w:marLeft w:val="0"/>
          <w:marRight w:val="0"/>
          <w:marTop w:val="0"/>
          <w:marBottom w:val="0"/>
          <w:divBdr>
            <w:top w:val="none" w:sz="0" w:space="0" w:color="auto"/>
            <w:left w:val="none" w:sz="0" w:space="0" w:color="auto"/>
            <w:bottom w:val="none" w:sz="0" w:space="0" w:color="auto"/>
            <w:right w:val="none" w:sz="0" w:space="0" w:color="auto"/>
          </w:divBdr>
          <w:divsChild>
            <w:div w:id="938876815">
              <w:marLeft w:val="0"/>
              <w:marRight w:val="0"/>
              <w:marTop w:val="0"/>
              <w:marBottom w:val="0"/>
              <w:divBdr>
                <w:top w:val="none" w:sz="0" w:space="0" w:color="auto"/>
                <w:left w:val="none" w:sz="0" w:space="0" w:color="auto"/>
                <w:bottom w:val="none" w:sz="0" w:space="0" w:color="auto"/>
                <w:right w:val="none" w:sz="0" w:space="0" w:color="auto"/>
              </w:divBdr>
              <w:divsChild>
                <w:div w:id="20817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3563</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V023</vt:lpstr>
    </vt:vector>
  </TitlesOfParts>
  <Company>Riksdagen</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V023</dc:title>
  <dc:subject>V023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2012-04-20T12:36:00Z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mot2000_533_2012-04-10</vt:lpwstr>
  </property>
  <property fmtid="{D5CDD505-2E9C-101B-9397-08002B2CF9AE}" pid="3" name="version">
    <vt:lpwstr>mot2000_533_2012-04-10</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2011/12:133 Nya myndigheter inom utbildningsområdet m.m.</vt:lpwstr>
  </property>
  <property fmtid="{D5CDD505-2E9C-101B-9397-08002B2CF9AE}" pid="11" name="SvarFrasKort">
    <vt:lpwstr>med anledning av prop. 2011/12:133</vt:lpwstr>
  </property>
  <property fmtid="{D5CDD505-2E9C-101B-9397-08002B2CF9AE}" pid="12" name="Svar">
    <vt:lpwstr>Proposition</vt:lpwstr>
  </property>
  <property fmtid="{D5CDD505-2E9C-101B-9397-08002B2CF9AE}" pid="13" name="SvarNr">
    <vt:lpwstr>2011/12:133</vt:lpwstr>
  </property>
  <property fmtid="{D5CDD505-2E9C-101B-9397-08002B2CF9AE}" pid="14" name="RubrikSvar">
    <vt:lpwstr>Nya myndigheter inom utbildningsområdet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20112012000000000086000000230075</vt:lpwstr>
  </property>
  <property fmtid="{D5CDD505-2E9C-101B-9397-08002B2CF9AE}" pid="47" name="datum">
    <vt:lpwstr>120410</vt:lpwstr>
  </property>
  <property fmtid="{D5CDD505-2E9C-101B-9397-08002B2CF9AE}" pid="48" name="avsändar-e-post">
    <vt:lpwstr>konstantia.fraggidou@riksdagen.se</vt:lpwstr>
  </property>
  <property fmtid="{D5CDD505-2E9C-101B-9397-08002B2CF9AE}" pid="49" name="id">
    <vt:lpwstr>20112012000000000086000000230075</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{650C7CCE-23C6-4777-B9F5-2CB77327DA03}</vt:lpwstr>
  </property>
  <property fmtid="{D5CDD505-2E9C-101B-9397-08002B2CF9AE}" pid="53" name="Överföringar">
    <vt:i4>0</vt:i4>
  </property>
  <property fmtid="{D5CDD505-2E9C-101B-9397-08002B2CF9AE}" pid="54" name="Checksum">
    <vt:lpwstr>*1009919543584*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14:36:27.063</vt:lpwstr>
  </property>
  <property fmtid="{D5CDD505-2E9C-101B-9397-08002B2CF9AE}" pid="58" name="urixGuid">
    <vt:lpwstr>{00F79F01-3950-45EB-86C7-6B7C113B9925}</vt:lpwstr>
  </property>
</Properties>
</file>