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60145CDD"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24670E">
              <w:rPr>
                <w:b/>
              </w:rPr>
              <w:t>1</w:t>
            </w:r>
            <w:r w:rsidR="0004347B">
              <w:rPr>
                <w:b/>
              </w:rPr>
              <w:t>8</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5CDACC2B" w:rsidR="00F65DF8" w:rsidRPr="0012669A" w:rsidRDefault="00D46F51" w:rsidP="005F596C">
            <w:r w:rsidRPr="0012669A">
              <w:t>20</w:t>
            </w:r>
            <w:r w:rsidR="00F053F8" w:rsidRPr="0012669A">
              <w:t>2</w:t>
            </w:r>
            <w:r w:rsidR="00CD12E4">
              <w:t>6</w:t>
            </w:r>
            <w:r w:rsidRPr="0012669A">
              <w:t>-</w:t>
            </w:r>
            <w:r w:rsidR="00CD12E4">
              <w:t>0</w:t>
            </w:r>
            <w:r w:rsidR="00E8329C">
              <w:t>2</w:t>
            </w:r>
            <w:r w:rsidR="005F28AA">
              <w:t>-</w:t>
            </w:r>
            <w:r w:rsidR="0004347B">
              <w:t>17</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5FA9CD01" w:rsidR="002E505E" w:rsidRPr="0012669A" w:rsidRDefault="00D1166C" w:rsidP="00920FCA">
            <w:r>
              <w:t>1</w:t>
            </w:r>
            <w:r w:rsidR="00CD12E4">
              <w:t>1</w:t>
            </w:r>
            <w:r w:rsidR="006A30F1">
              <w:t>.</w:t>
            </w:r>
            <w:r>
              <w:t>0</w:t>
            </w:r>
            <w:r w:rsidR="00AC75E3">
              <w:t>0</w:t>
            </w:r>
            <w:r w:rsidR="0073639C">
              <w:t>–</w:t>
            </w:r>
            <w:r w:rsidR="00EB043C">
              <w:t>11.55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18106BE5" w:rsidR="000F714D" w:rsidRDefault="000F714D"/>
    <w:p w14:paraId="4907F62D" w14:textId="2A60507D" w:rsidR="0033250B" w:rsidRDefault="0033250B"/>
    <w:p w14:paraId="4BFCA40D" w14:textId="77777777" w:rsidR="00265189" w:rsidRDefault="00265189"/>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265189" w:rsidRPr="006C0F9A" w14:paraId="56A2125E" w14:textId="77777777" w:rsidTr="004E4C48">
        <w:trPr>
          <w:trHeight w:val="1126"/>
        </w:trPr>
        <w:tc>
          <w:tcPr>
            <w:tcW w:w="567" w:type="dxa"/>
          </w:tcPr>
          <w:p w14:paraId="4EB86CDD" w14:textId="4501295F" w:rsidR="00265189" w:rsidRDefault="00265189" w:rsidP="00DC0D46">
            <w:pPr>
              <w:tabs>
                <w:tab w:val="left" w:pos="1701"/>
              </w:tabs>
              <w:rPr>
                <w:b/>
                <w:snapToGrid w:val="0"/>
              </w:rPr>
            </w:pPr>
            <w:r>
              <w:rPr>
                <w:b/>
                <w:snapToGrid w:val="0"/>
              </w:rPr>
              <w:t>§ 1</w:t>
            </w:r>
          </w:p>
        </w:tc>
        <w:tc>
          <w:tcPr>
            <w:tcW w:w="7162" w:type="dxa"/>
          </w:tcPr>
          <w:p w14:paraId="0C0AEE1B" w14:textId="77777777" w:rsidR="00265189" w:rsidRPr="006C0F9A" w:rsidRDefault="00265189" w:rsidP="00265189">
            <w:pPr>
              <w:widowControl w:val="0"/>
              <w:tabs>
                <w:tab w:val="left" w:pos="1701"/>
              </w:tabs>
              <w:rPr>
                <w:b/>
                <w:bCs/>
              </w:rPr>
            </w:pPr>
            <w:r w:rsidRPr="006C0F9A">
              <w:rPr>
                <w:b/>
                <w:bCs/>
              </w:rPr>
              <w:t>Justering av protokoll</w:t>
            </w:r>
          </w:p>
          <w:p w14:paraId="1A5D26AD" w14:textId="77777777" w:rsidR="00265189" w:rsidRPr="006C0F9A" w:rsidRDefault="00265189" w:rsidP="00265189">
            <w:pPr>
              <w:widowControl w:val="0"/>
              <w:tabs>
                <w:tab w:val="left" w:pos="1701"/>
              </w:tabs>
              <w:rPr>
                <w:b/>
                <w:bCs/>
              </w:rPr>
            </w:pPr>
          </w:p>
          <w:p w14:paraId="14352A3D" w14:textId="759FC965" w:rsidR="00265189" w:rsidRPr="00894841" w:rsidRDefault="00265189" w:rsidP="00265189">
            <w:pPr>
              <w:widowControl w:val="0"/>
              <w:tabs>
                <w:tab w:val="left" w:pos="1701"/>
              </w:tabs>
              <w:rPr>
                <w:b/>
                <w:bCs/>
              </w:rPr>
            </w:pPr>
            <w:r w:rsidRPr="006C0F9A">
              <w:t xml:space="preserve">Utskottet justerade protokoll </w:t>
            </w:r>
            <w:r>
              <w:t>2025/26:1</w:t>
            </w:r>
            <w:r w:rsidR="0004347B">
              <w:t>7</w:t>
            </w:r>
            <w:r w:rsidR="00E8329C">
              <w:t>.</w:t>
            </w:r>
          </w:p>
        </w:tc>
      </w:tr>
      <w:tr w:rsidR="0004347B" w:rsidRPr="006C0F9A" w14:paraId="027F77E3" w14:textId="77777777" w:rsidTr="004E4C48">
        <w:trPr>
          <w:trHeight w:val="1126"/>
        </w:trPr>
        <w:tc>
          <w:tcPr>
            <w:tcW w:w="567" w:type="dxa"/>
          </w:tcPr>
          <w:p w14:paraId="19CD86A5" w14:textId="7B02EC89" w:rsidR="0004347B" w:rsidRDefault="0004347B" w:rsidP="00DC0D46">
            <w:pPr>
              <w:tabs>
                <w:tab w:val="left" w:pos="1701"/>
              </w:tabs>
              <w:rPr>
                <w:b/>
                <w:snapToGrid w:val="0"/>
              </w:rPr>
            </w:pPr>
            <w:r>
              <w:rPr>
                <w:b/>
                <w:snapToGrid w:val="0"/>
              </w:rPr>
              <w:t>§ 2</w:t>
            </w:r>
          </w:p>
        </w:tc>
        <w:tc>
          <w:tcPr>
            <w:tcW w:w="7162" w:type="dxa"/>
          </w:tcPr>
          <w:p w14:paraId="7745B69B" w14:textId="77777777" w:rsidR="0004347B" w:rsidRDefault="0004347B" w:rsidP="0004347B">
            <w:pPr>
              <w:widowControl w:val="0"/>
              <w:tabs>
                <w:tab w:val="left" w:pos="1701"/>
              </w:tabs>
              <w:rPr>
                <w:b/>
                <w:bCs/>
                <w:iCs/>
              </w:rPr>
            </w:pPr>
            <w:r w:rsidRPr="00DE1461">
              <w:rPr>
                <w:b/>
                <w:bCs/>
                <w:iCs/>
              </w:rPr>
              <w:t xml:space="preserve">Allmänna rådet (GAC-Sammanhållningspolitiken) </w:t>
            </w:r>
          </w:p>
          <w:p w14:paraId="487B3FB6" w14:textId="77777777" w:rsidR="0004347B" w:rsidRPr="00DE1461" w:rsidRDefault="0004347B" w:rsidP="0004347B">
            <w:pPr>
              <w:widowControl w:val="0"/>
              <w:tabs>
                <w:tab w:val="left" w:pos="1701"/>
              </w:tabs>
              <w:rPr>
                <w:b/>
                <w:bCs/>
                <w:iCs/>
              </w:rPr>
            </w:pPr>
          </w:p>
          <w:p w14:paraId="3B47F612" w14:textId="77777777" w:rsidR="0004347B" w:rsidRPr="00DE1461" w:rsidRDefault="0004347B" w:rsidP="0004347B">
            <w:pPr>
              <w:widowControl w:val="0"/>
              <w:tabs>
                <w:tab w:val="left" w:pos="1701"/>
              </w:tabs>
              <w:rPr>
                <w:iCs/>
              </w:rPr>
            </w:pPr>
            <w:r w:rsidRPr="00DE1461">
              <w:rPr>
                <w:iCs/>
              </w:rPr>
              <w:t xml:space="preserve">Statssekreterare Daniel Liljeberg, biträdd av medarbetare från Landsbygds- och infrastrukturdepartementet, lämnade </w:t>
            </w:r>
          </w:p>
          <w:p w14:paraId="52B7D8EB" w14:textId="77777777" w:rsidR="0004347B" w:rsidRPr="00DE1461" w:rsidRDefault="0004347B" w:rsidP="0004347B">
            <w:pPr>
              <w:widowControl w:val="0"/>
              <w:tabs>
                <w:tab w:val="left" w:pos="1701"/>
              </w:tabs>
              <w:rPr>
                <w:iCs/>
              </w:rPr>
            </w:pPr>
          </w:p>
          <w:p w14:paraId="72099B0A" w14:textId="77777777" w:rsidR="0004347B" w:rsidRDefault="0004347B" w:rsidP="0004347B">
            <w:pPr>
              <w:widowControl w:val="0"/>
              <w:tabs>
                <w:tab w:val="left" w:pos="1701"/>
              </w:tabs>
              <w:rPr>
                <w:iCs/>
              </w:rPr>
            </w:pPr>
            <w:r w:rsidRPr="00DE1461">
              <w:rPr>
                <w:iCs/>
              </w:rPr>
              <w:t xml:space="preserve">a) återrapport från </w:t>
            </w:r>
            <w:r>
              <w:rPr>
                <w:iCs/>
              </w:rPr>
              <w:t xml:space="preserve">allmänna rådets </w:t>
            </w:r>
            <w:r w:rsidRPr="00DE1461">
              <w:rPr>
                <w:iCs/>
              </w:rPr>
              <w:t xml:space="preserve">möte </w:t>
            </w:r>
            <w:r>
              <w:rPr>
                <w:iCs/>
              </w:rPr>
              <w:t>(</w:t>
            </w:r>
            <w:r w:rsidRPr="00DE1461">
              <w:rPr>
                <w:iCs/>
              </w:rPr>
              <w:t>sammanhållning</w:t>
            </w:r>
            <w:r>
              <w:rPr>
                <w:iCs/>
              </w:rPr>
              <w:t>)</w:t>
            </w:r>
            <w:r w:rsidRPr="00DE1461">
              <w:rPr>
                <w:iCs/>
              </w:rPr>
              <w:t xml:space="preserve"> den 28 </w:t>
            </w:r>
          </w:p>
          <w:p w14:paraId="758DCF82" w14:textId="13A7A23F" w:rsidR="0004347B" w:rsidRPr="00DE1461" w:rsidRDefault="0004347B" w:rsidP="0004347B">
            <w:pPr>
              <w:widowControl w:val="0"/>
              <w:tabs>
                <w:tab w:val="left" w:pos="1701"/>
              </w:tabs>
              <w:rPr>
                <w:iCs/>
              </w:rPr>
            </w:pPr>
            <w:r>
              <w:rPr>
                <w:iCs/>
              </w:rPr>
              <w:t xml:space="preserve">mars </w:t>
            </w:r>
            <w:r w:rsidRPr="00DE1461">
              <w:rPr>
                <w:iCs/>
              </w:rPr>
              <w:t>202</w:t>
            </w:r>
            <w:r>
              <w:rPr>
                <w:iCs/>
              </w:rPr>
              <w:t>5</w:t>
            </w:r>
            <w:r>
              <w:rPr>
                <w:iCs/>
              </w:rPr>
              <w:br/>
            </w:r>
          </w:p>
          <w:p w14:paraId="5C5E9840" w14:textId="32398EB4" w:rsidR="0004347B" w:rsidRPr="00DE1461" w:rsidRDefault="0004347B" w:rsidP="0004347B">
            <w:pPr>
              <w:widowControl w:val="0"/>
              <w:tabs>
                <w:tab w:val="left" w:pos="1701"/>
              </w:tabs>
              <w:rPr>
                <w:iCs/>
              </w:rPr>
            </w:pPr>
            <w:r w:rsidRPr="00DE1461">
              <w:rPr>
                <w:iCs/>
              </w:rPr>
              <w:t xml:space="preserve">b) information inför rådsmötet den </w:t>
            </w:r>
            <w:r>
              <w:rPr>
                <w:iCs/>
              </w:rPr>
              <w:t>26 februari</w:t>
            </w:r>
            <w:r w:rsidRPr="00DE1461">
              <w:rPr>
                <w:iCs/>
              </w:rPr>
              <w:t xml:space="preserve"> 202</w:t>
            </w:r>
            <w:r>
              <w:rPr>
                <w:iCs/>
              </w:rPr>
              <w:t>6</w:t>
            </w:r>
            <w:r w:rsidRPr="00DE1461">
              <w:rPr>
                <w:iCs/>
              </w:rPr>
              <w:t>.</w:t>
            </w:r>
          </w:p>
          <w:p w14:paraId="3403A9FD" w14:textId="77777777" w:rsidR="0004347B" w:rsidRPr="00DE1461" w:rsidRDefault="0004347B" w:rsidP="0004347B">
            <w:pPr>
              <w:widowControl w:val="0"/>
              <w:tabs>
                <w:tab w:val="left" w:pos="1701"/>
              </w:tabs>
              <w:rPr>
                <w:iCs/>
              </w:rPr>
            </w:pPr>
          </w:p>
          <w:p w14:paraId="0B9D277B" w14:textId="77777777" w:rsidR="0004347B" w:rsidRDefault="0004347B" w:rsidP="0004347B">
            <w:pPr>
              <w:widowControl w:val="0"/>
              <w:tabs>
                <w:tab w:val="left" w:pos="1701"/>
              </w:tabs>
              <w:rPr>
                <w:iCs/>
              </w:rPr>
            </w:pPr>
            <w:r w:rsidRPr="00DE1461">
              <w:rPr>
                <w:iCs/>
              </w:rPr>
              <w:t>Under informationen närvarade även en tjänsteman från EU-nämndens kansli.</w:t>
            </w:r>
          </w:p>
          <w:p w14:paraId="7CB33830" w14:textId="77777777" w:rsidR="0004347B" w:rsidRPr="006C0F9A" w:rsidRDefault="0004347B" w:rsidP="00265189">
            <w:pPr>
              <w:widowControl w:val="0"/>
              <w:tabs>
                <w:tab w:val="left" w:pos="1701"/>
              </w:tabs>
              <w:rPr>
                <w:b/>
                <w:bCs/>
              </w:rPr>
            </w:pPr>
          </w:p>
        </w:tc>
      </w:tr>
      <w:tr w:rsidR="00EB043C" w:rsidRPr="006C0F9A" w14:paraId="21374D83" w14:textId="77777777" w:rsidTr="004E4C48">
        <w:trPr>
          <w:trHeight w:val="1126"/>
        </w:trPr>
        <w:tc>
          <w:tcPr>
            <w:tcW w:w="567" w:type="dxa"/>
          </w:tcPr>
          <w:p w14:paraId="47EB15F9" w14:textId="555651F2" w:rsidR="00EB043C" w:rsidRDefault="00EB043C" w:rsidP="00DC0D46">
            <w:pPr>
              <w:tabs>
                <w:tab w:val="left" w:pos="1701"/>
              </w:tabs>
              <w:rPr>
                <w:b/>
                <w:snapToGrid w:val="0"/>
              </w:rPr>
            </w:pPr>
            <w:r>
              <w:rPr>
                <w:b/>
                <w:snapToGrid w:val="0"/>
              </w:rPr>
              <w:t>§ 3</w:t>
            </w:r>
          </w:p>
        </w:tc>
        <w:tc>
          <w:tcPr>
            <w:tcW w:w="7162" w:type="dxa"/>
          </w:tcPr>
          <w:p w14:paraId="20EDAEE3" w14:textId="77777777" w:rsidR="00EB043C" w:rsidRDefault="00EB043C" w:rsidP="00EB043C">
            <w:pPr>
              <w:widowControl w:val="0"/>
              <w:tabs>
                <w:tab w:val="left" w:pos="1701"/>
              </w:tabs>
              <w:rPr>
                <w:b/>
                <w:bCs/>
                <w:iCs/>
              </w:rPr>
            </w:pPr>
            <w:r>
              <w:rPr>
                <w:b/>
                <w:bCs/>
                <w:iCs/>
              </w:rPr>
              <w:t>Energipolitik</w:t>
            </w:r>
            <w:r w:rsidRPr="00B82097">
              <w:rPr>
                <w:b/>
                <w:bCs/>
                <w:iCs/>
              </w:rPr>
              <w:t xml:space="preserve"> (NU1</w:t>
            </w:r>
            <w:r>
              <w:rPr>
                <w:b/>
                <w:bCs/>
                <w:iCs/>
              </w:rPr>
              <w:t>3</w:t>
            </w:r>
            <w:r w:rsidRPr="00B82097">
              <w:rPr>
                <w:b/>
                <w:bCs/>
                <w:iCs/>
              </w:rPr>
              <w:t>)</w:t>
            </w:r>
          </w:p>
          <w:p w14:paraId="595B0B9C" w14:textId="77777777" w:rsidR="00EB043C" w:rsidRDefault="00EB043C" w:rsidP="00EB043C">
            <w:pPr>
              <w:widowControl w:val="0"/>
              <w:tabs>
                <w:tab w:val="left" w:pos="1701"/>
              </w:tabs>
              <w:rPr>
                <w:b/>
                <w:bCs/>
                <w:iCs/>
              </w:rPr>
            </w:pPr>
          </w:p>
          <w:p w14:paraId="14D95503" w14:textId="77777777" w:rsidR="00EB043C" w:rsidRDefault="00EB043C" w:rsidP="00EB043C">
            <w:pPr>
              <w:widowControl w:val="0"/>
              <w:tabs>
                <w:tab w:val="left" w:pos="1701"/>
              </w:tabs>
              <w:rPr>
                <w:shd w:val="clear" w:color="auto" w:fill="FFFFFF"/>
              </w:rPr>
            </w:pPr>
            <w:r w:rsidRPr="00B82097">
              <w:rPr>
                <w:shd w:val="clear" w:color="auto" w:fill="FFFFFF"/>
              </w:rPr>
              <w:t xml:space="preserve">Utskottet </w:t>
            </w:r>
            <w:r>
              <w:rPr>
                <w:shd w:val="clear" w:color="auto" w:fill="FFFFFF"/>
              </w:rPr>
              <w:t>fortsatte</w:t>
            </w:r>
            <w:r w:rsidRPr="00B82097">
              <w:rPr>
                <w:shd w:val="clear" w:color="auto" w:fill="FFFFFF"/>
              </w:rPr>
              <w:t xml:space="preserve"> beredningen av motioner om </w:t>
            </w:r>
            <w:r>
              <w:rPr>
                <w:shd w:val="clear" w:color="auto" w:fill="FFFFFF"/>
              </w:rPr>
              <w:t>energipolitik</w:t>
            </w:r>
            <w:r w:rsidRPr="00B82097">
              <w:rPr>
                <w:shd w:val="clear" w:color="auto" w:fill="FFFFFF"/>
              </w:rPr>
              <w:t>.</w:t>
            </w:r>
          </w:p>
          <w:p w14:paraId="709F18CC" w14:textId="77777777" w:rsidR="00EB043C" w:rsidRDefault="00EB043C" w:rsidP="00EB043C">
            <w:pPr>
              <w:widowControl w:val="0"/>
              <w:tabs>
                <w:tab w:val="left" w:pos="1701"/>
              </w:tabs>
              <w:rPr>
                <w:shd w:val="clear" w:color="auto" w:fill="FFFFFF"/>
              </w:rPr>
            </w:pPr>
          </w:p>
          <w:p w14:paraId="2287399B" w14:textId="77777777" w:rsidR="00EB043C" w:rsidRPr="0004347B" w:rsidRDefault="00EB043C" w:rsidP="00EB043C">
            <w:pPr>
              <w:widowControl w:val="0"/>
              <w:tabs>
                <w:tab w:val="left" w:pos="1701"/>
              </w:tabs>
              <w:rPr>
                <w:shd w:val="clear" w:color="auto" w:fill="FFFFFF"/>
              </w:rPr>
            </w:pPr>
            <w:r w:rsidRPr="0004347B">
              <w:rPr>
                <w:color w:val="1B1B1B"/>
                <w:shd w:val="clear" w:color="auto" w:fill="FFFFFF"/>
              </w:rPr>
              <w:t>Ärendet bordlades</w:t>
            </w:r>
          </w:p>
          <w:p w14:paraId="20B6D5DD" w14:textId="77777777" w:rsidR="00EB043C" w:rsidRPr="00DE1461" w:rsidRDefault="00EB043C" w:rsidP="0004347B">
            <w:pPr>
              <w:widowControl w:val="0"/>
              <w:tabs>
                <w:tab w:val="left" w:pos="1701"/>
              </w:tabs>
              <w:rPr>
                <w:b/>
                <w:bCs/>
                <w:iCs/>
              </w:rPr>
            </w:pPr>
          </w:p>
        </w:tc>
      </w:tr>
      <w:tr w:rsidR="00EB043C" w:rsidRPr="006C0F9A" w14:paraId="5D5FDD08" w14:textId="77777777" w:rsidTr="004E4C48">
        <w:trPr>
          <w:trHeight w:val="1126"/>
        </w:trPr>
        <w:tc>
          <w:tcPr>
            <w:tcW w:w="567" w:type="dxa"/>
          </w:tcPr>
          <w:p w14:paraId="0D5ABDF7" w14:textId="1BE6E7B1" w:rsidR="00EB043C" w:rsidRDefault="00EB043C" w:rsidP="00DC0D46">
            <w:pPr>
              <w:tabs>
                <w:tab w:val="left" w:pos="1701"/>
              </w:tabs>
              <w:rPr>
                <w:b/>
                <w:snapToGrid w:val="0"/>
              </w:rPr>
            </w:pPr>
            <w:r>
              <w:rPr>
                <w:b/>
                <w:snapToGrid w:val="0"/>
              </w:rPr>
              <w:t>§ 4</w:t>
            </w:r>
          </w:p>
        </w:tc>
        <w:tc>
          <w:tcPr>
            <w:tcW w:w="7162" w:type="dxa"/>
          </w:tcPr>
          <w:p w14:paraId="69BF6F30" w14:textId="77777777" w:rsidR="00EB043C" w:rsidRDefault="00EB043C" w:rsidP="00EB043C">
            <w:pPr>
              <w:widowControl w:val="0"/>
              <w:tabs>
                <w:tab w:val="left" w:pos="1701"/>
              </w:tabs>
              <w:rPr>
                <w:b/>
                <w:bCs/>
                <w:iCs/>
              </w:rPr>
            </w:pPr>
            <w:r w:rsidRPr="0004347B">
              <w:rPr>
                <w:b/>
                <w:bCs/>
                <w:iCs/>
              </w:rPr>
              <w:t>Regelförenkling för företag (NU15)</w:t>
            </w:r>
          </w:p>
          <w:p w14:paraId="7019670A" w14:textId="77777777" w:rsidR="00EB043C" w:rsidRDefault="00EB043C" w:rsidP="00EB043C">
            <w:pPr>
              <w:widowControl w:val="0"/>
              <w:tabs>
                <w:tab w:val="left" w:pos="1701"/>
              </w:tabs>
              <w:rPr>
                <w:b/>
                <w:bCs/>
                <w:iCs/>
              </w:rPr>
            </w:pPr>
          </w:p>
          <w:p w14:paraId="1992EC56" w14:textId="77777777" w:rsidR="00EB043C" w:rsidRDefault="00EB043C" w:rsidP="00EB043C">
            <w:pPr>
              <w:widowControl w:val="0"/>
              <w:tabs>
                <w:tab w:val="left" w:pos="1701"/>
              </w:tabs>
              <w:rPr>
                <w:iCs/>
              </w:rPr>
            </w:pPr>
            <w:r w:rsidRPr="0004347B">
              <w:rPr>
                <w:iCs/>
              </w:rPr>
              <w:t xml:space="preserve">Utskottet inledde beredningen av motioner om </w:t>
            </w:r>
            <w:r>
              <w:rPr>
                <w:iCs/>
              </w:rPr>
              <w:t xml:space="preserve">regelförenkling för </w:t>
            </w:r>
          </w:p>
          <w:p w14:paraId="348162E7" w14:textId="77777777" w:rsidR="00EB043C" w:rsidRPr="0004347B" w:rsidRDefault="00EB043C" w:rsidP="00EB043C">
            <w:pPr>
              <w:widowControl w:val="0"/>
              <w:tabs>
                <w:tab w:val="left" w:pos="1701"/>
              </w:tabs>
              <w:rPr>
                <w:iCs/>
              </w:rPr>
            </w:pPr>
            <w:r>
              <w:rPr>
                <w:iCs/>
              </w:rPr>
              <w:t>företag</w:t>
            </w:r>
            <w:r w:rsidRPr="0004347B">
              <w:rPr>
                <w:iCs/>
              </w:rPr>
              <w:t>.</w:t>
            </w:r>
          </w:p>
          <w:p w14:paraId="62BC1294" w14:textId="77777777" w:rsidR="00EB043C" w:rsidRPr="0004347B" w:rsidRDefault="00EB043C" w:rsidP="00EB043C">
            <w:pPr>
              <w:widowControl w:val="0"/>
              <w:tabs>
                <w:tab w:val="left" w:pos="1701"/>
              </w:tabs>
              <w:rPr>
                <w:iCs/>
              </w:rPr>
            </w:pPr>
          </w:p>
          <w:p w14:paraId="10E6969F" w14:textId="77777777" w:rsidR="00EB043C" w:rsidRDefault="00EB043C" w:rsidP="00EB043C">
            <w:pPr>
              <w:widowControl w:val="0"/>
              <w:tabs>
                <w:tab w:val="left" w:pos="1701"/>
              </w:tabs>
              <w:rPr>
                <w:iCs/>
              </w:rPr>
            </w:pPr>
            <w:r w:rsidRPr="0004347B">
              <w:rPr>
                <w:iCs/>
              </w:rPr>
              <w:t>Ärendet bordlades.</w:t>
            </w:r>
          </w:p>
          <w:p w14:paraId="6D367628" w14:textId="7B5F44FD" w:rsidR="00EB043C" w:rsidRPr="00DE1461" w:rsidRDefault="00EB043C" w:rsidP="00EB043C">
            <w:pPr>
              <w:widowControl w:val="0"/>
              <w:tabs>
                <w:tab w:val="left" w:pos="1701"/>
              </w:tabs>
              <w:rPr>
                <w:b/>
                <w:bCs/>
                <w:iCs/>
              </w:rPr>
            </w:pPr>
          </w:p>
        </w:tc>
      </w:tr>
      <w:tr w:rsidR="0004347B" w:rsidRPr="006C0F9A" w14:paraId="4DEC7BBF" w14:textId="77777777" w:rsidTr="004E4C48">
        <w:trPr>
          <w:trHeight w:val="1126"/>
        </w:trPr>
        <w:tc>
          <w:tcPr>
            <w:tcW w:w="567" w:type="dxa"/>
          </w:tcPr>
          <w:p w14:paraId="5A713951" w14:textId="4D079D0E" w:rsidR="0004347B" w:rsidRDefault="0004347B" w:rsidP="00DC0D46">
            <w:pPr>
              <w:tabs>
                <w:tab w:val="left" w:pos="1701"/>
              </w:tabs>
              <w:rPr>
                <w:b/>
                <w:snapToGrid w:val="0"/>
              </w:rPr>
            </w:pPr>
            <w:r>
              <w:rPr>
                <w:b/>
                <w:snapToGrid w:val="0"/>
              </w:rPr>
              <w:t xml:space="preserve">§ </w:t>
            </w:r>
            <w:r w:rsidR="00EB043C">
              <w:rPr>
                <w:b/>
                <w:snapToGrid w:val="0"/>
              </w:rPr>
              <w:t>5</w:t>
            </w:r>
          </w:p>
        </w:tc>
        <w:tc>
          <w:tcPr>
            <w:tcW w:w="7162" w:type="dxa"/>
          </w:tcPr>
          <w:p w14:paraId="042BD14C" w14:textId="77777777" w:rsidR="0004347B" w:rsidRPr="004E4C48" w:rsidRDefault="0004347B" w:rsidP="0004347B">
            <w:pPr>
              <w:widowControl w:val="0"/>
              <w:tabs>
                <w:tab w:val="left" w:pos="1701"/>
              </w:tabs>
              <w:rPr>
                <w:b/>
                <w:bCs/>
                <w:shd w:val="clear" w:color="auto" w:fill="FFFFFF"/>
              </w:rPr>
            </w:pPr>
            <w:r w:rsidRPr="004E4C48">
              <w:rPr>
                <w:b/>
                <w:bCs/>
                <w:shd w:val="clear" w:color="auto" w:fill="FFFFFF"/>
              </w:rPr>
              <w:t>Konkurrenskraftsrådet (KKR)</w:t>
            </w:r>
          </w:p>
          <w:p w14:paraId="2008FD45" w14:textId="77777777" w:rsidR="0004347B" w:rsidRPr="004E4C48" w:rsidRDefault="0004347B" w:rsidP="0004347B">
            <w:pPr>
              <w:widowControl w:val="0"/>
              <w:tabs>
                <w:tab w:val="left" w:pos="1701"/>
              </w:tabs>
              <w:rPr>
                <w:b/>
                <w:bCs/>
                <w:shd w:val="clear" w:color="auto" w:fill="FFFFFF"/>
              </w:rPr>
            </w:pPr>
            <w:r w:rsidRPr="004E4C48">
              <w:rPr>
                <w:b/>
                <w:bCs/>
                <w:shd w:val="clear" w:color="auto" w:fill="FFFFFF"/>
              </w:rPr>
              <w:t xml:space="preserve"> </w:t>
            </w:r>
          </w:p>
          <w:p w14:paraId="13E8FD70" w14:textId="09C86582" w:rsidR="0004347B" w:rsidRPr="004E4C48" w:rsidRDefault="0004347B" w:rsidP="0004347B">
            <w:pPr>
              <w:widowControl w:val="0"/>
              <w:tabs>
                <w:tab w:val="left" w:pos="1701"/>
              </w:tabs>
              <w:rPr>
                <w:shd w:val="clear" w:color="auto" w:fill="FFFFFF"/>
              </w:rPr>
            </w:pPr>
            <w:r w:rsidRPr="0004347B">
              <w:rPr>
                <w:rFonts w:eastAsia="Calibri"/>
                <w:sz w:val="23"/>
                <w:szCs w:val="23"/>
                <w:lang w:eastAsia="en-US"/>
              </w:rPr>
              <w:t>Statssekreterare Simon Westerberg</w:t>
            </w:r>
            <w:r w:rsidRPr="004E4C48">
              <w:rPr>
                <w:shd w:val="clear" w:color="auto" w:fill="FFFFFF"/>
              </w:rPr>
              <w:t>, biträdd av medarbetare från Klimat- och näringslivsdepartementet, lämnade</w:t>
            </w:r>
          </w:p>
          <w:p w14:paraId="6C4F5C18" w14:textId="77777777" w:rsidR="0004347B" w:rsidRPr="004E4C48" w:rsidRDefault="0004347B" w:rsidP="0004347B">
            <w:pPr>
              <w:widowControl w:val="0"/>
              <w:tabs>
                <w:tab w:val="left" w:pos="1701"/>
              </w:tabs>
              <w:rPr>
                <w:shd w:val="clear" w:color="auto" w:fill="FFFFFF"/>
              </w:rPr>
            </w:pPr>
          </w:p>
          <w:p w14:paraId="3B8CFD94" w14:textId="593D362B" w:rsidR="0004347B" w:rsidRDefault="0004347B" w:rsidP="0004347B">
            <w:pPr>
              <w:widowControl w:val="0"/>
              <w:tabs>
                <w:tab w:val="left" w:pos="1701"/>
              </w:tabs>
              <w:rPr>
                <w:shd w:val="clear" w:color="auto" w:fill="FFFFFF"/>
              </w:rPr>
            </w:pPr>
            <w:r w:rsidRPr="004E4C48">
              <w:rPr>
                <w:shd w:val="clear" w:color="auto" w:fill="FFFFFF"/>
              </w:rPr>
              <w:t xml:space="preserve">a) återrapport </w:t>
            </w:r>
            <w:r>
              <w:rPr>
                <w:shd w:val="clear" w:color="auto" w:fill="FFFFFF"/>
              </w:rPr>
              <w:t>f</w:t>
            </w:r>
            <w:r w:rsidRPr="004E4C48">
              <w:rPr>
                <w:shd w:val="clear" w:color="auto" w:fill="FFFFFF"/>
              </w:rPr>
              <w:t>rån</w:t>
            </w:r>
            <w:r>
              <w:rPr>
                <w:shd w:val="clear" w:color="auto" w:fill="FFFFFF"/>
              </w:rPr>
              <w:t xml:space="preserve"> </w:t>
            </w:r>
            <w:r w:rsidRPr="004A43BB">
              <w:rPr>
                <w:shd w:val="clear" w:color="auto" w:fill="FFFFFF"/>
              </w:rPr>
              <w:t xml:space="preserve">Konkurrenskraftsrådet den </w:t>
            </w:r>
            <w:r>
              <w:rPr>
                <w:shd w:val="clear" w:color="auto" w:fill="FFFFFF"/>
              </w:rPr>
              <w:t>8 december 2025</w:t>
            </w:r>
          </w:p>
          <w:p w14:paraId="2AE8F028" w14:textId="77777777" w:rsidR="0004347B" w:rsidRPr="004E4C48" w:rsidRDefault="0004347B" w:rsidP="0004347B">
            <w:pPr>
              <w:widowControl w:val="0"/>
              <w:tabs>
                <w:tab w:val="left" w:pos="1701"/>
              </w:tabs>
              <w:rPr>
                <w:shd w:val="clear" w:color="auto" w:fill="FFFFFF"/>
              </w:rPr>
            </w:pPr>
          </w:p>
          <w:p w14:paraId="4551FCC2" w14:textId="20065091" w:rsidR="0004347B" w:rsidRPr="004E4C48" w:rsidRDefault="0004347B" w:rsidP="0004347B">
            <w:pPr>
              <w:widowControl w:val="0"/>
              <w:tabs>
                <w:tab w:val="left" w:pos="1701"/>
              </w:tabs>
              <w:rPr>
                <w:shd w:val="clear" w:color="auto" w:fill="FFFFFF"/>
              </w:rPr>
            </w:pPr>
            <w:r w:rsidRPr="004E4C48">
              <w:rPr>
                <w:shd w:val="clear" w:color="auto" w:fill="FFFFFF"/>
              </w:rPr>
              <w:t xml:space="preserve">b) information inför Konkurrenskraftsrådet den </w:t>
            </w:r>
            <w:r>
              <w:rPr>
                <w:shd w:val="clear" w:color="auto" w:fill="FFFFFF"/>
              </w:rPr>
              <w:t>26 februari</w:t>
            </w:r>
            <w:r w:rsidRPr="004E4C48">
              <w:rPr>
                <w:shd w:val="clear" w:color="auto" w:fill="FFFFFF"/>
              </w:rPr>
              <w:t xml:space="preserve"> 202</w:t>
            </w:r>
            <w:r>
              <w:rPr>
                <w:shd w:val="clear" w:color="auto" w:fill="FFFFFF"/>
              </w:rPr>
              <w:t>6.</w:t>
            </w:r>
          </w:p>
          <w:p w14:paraId="755A6A3A" w14:textId="77777777" w:rsidR="0004347B" w:rsidRPr="004E4C48" w:rsidRDefault="0004347B" w:rsidP="0004347B">
            <w:pPr>
              <w:widowControl w:val="0"/>
              <w:tabs>
                <w:tab w:val="left" w:pos="1701"/>
              </w:tabs>
              <w:rPr>
                <w:shd w:val="clear" w:color="auto" w:fill="FFFFFF"/>
              </w:rPr>
            </w:pPr>
          </w:p>
          <w:p w14:paraId="44B0CE70" w14:textId="792D1D36" w:rsidR="0004347B" w:rsidRPr="006C0F9A" w:rsidRDefault="0004347B" w:rsidP="00EB043C">
            <w:pPr>
              <w:widowControl w:val="0"/>
              <w:tabs>
                <w:tab w:val="left" w:pos="1701"/>
              </w:tabs>
              <w:rPr>
                <w:b/>
                <w:bCs/>
              </w:rPr>
            </w:pPr>
            <w:r w:rsidRPr="004E4C48">
              <w:rPr>
                <w:shd w:val="clear" w:color="auto" w:fill="FFFFFF"/>
              </w:rPr>
              <w:t>Under informationen närvarade även en tjänsteman från EU-nämndens kansli.</w:t>
            </w:r>
          </w:p>
        </w:tc>
      </w:tr>
      <w:tr w:rsidR="0004347B" w:rsidRPr="006C0F9A" w14:paraId="5C3FA946" w14:textId="77777777" w:rsidTr="004E4C48">
        <w:trPr>
          <w:trHeight w:val="1126"/>
        </w:trPr>
        <w:tc>
          <w:tcPr>
            <w:tcW w:w="567" w:type="dxa"/>
          </w:tcPr>
          <w:p w14:paraId="18FF50A6" w14:textId="28930FEF" w:rsidR="0004347B" w:rsidRDefault="0004347B" w:rsidP="00DC0D46">
            <w:pPr>
              <w:tabs>
                <w:tab w:val="left" w:pos="1701"/>
              </w:tabs>
              <w:rPr>
                <w:b/>
                <w:snapToGrid w:val="0"/>
              </w:rPr>
            </w:pPr>
            <w:r>
              <w:rPr>
                <w:b/>
                <w:snapToGrid w:val="0"/>
              </w:rPr>
              <w:lastRenderedPageBreak/>
              <w:t xml:space="preserve">§ </w:t>
            </w:r>
            <w:r w:rsidR="00EB043C">
              <w:rPr>
                <w:b/>
                <w:snapToGrid w:val="0"/>
              </w:rPr>
              <w:t>6</w:t>
            </w:r>
          </w:p>
        </w:tc>
        <w:tc>
          <w:tcPr>
            <w:tcW w:w="7162" w:type="dxa"/>
          </w:tcPr>
          <w:p w14:paraId="2FF8C86E" w14:textId="77777777" w:rsidR="0004347B" w:rsidRDefault="0004347B" w:rsidP="0004347B">
            <w:pPr>
              <w:widowControl w:val="0"/>
              <w:tabs>
                <w:tab w:val="left" w:pos="1701"/>
              </w:tabs>
              <w:rPr>
                <w:rFonts w:eastAsia="Calibri"/>
                <w:b/>
                <w:bCs/>
                <w:iCs/>
                <w:lang w:eastAsia="en-US"/>
              </w:rPr>
            </w:pPr>
            <w:proofErr w:type="spellStart"/>
            <w:r w:rsidRPr="0004347B">
              <w:rPr>
                <w:rFonts w:eastAsia="Calibri"/>
                <w:b/>
                <w:bCs/>
                <w:iCs/>
                <w:lang w:eastAsia="en-US"/>
              </w:rPr>
              <w:t>ReSourceEU</w:t>
            </w:r>
            <w:proofErr w:type="spellEnd"/>
            <w:r w:rsidRPr="0004347B">
              <w:rPr>
                <w:rFonts w:eastAsia="Calibri"/>
                <w:b/>
                <w:bCs/>
                <w:iCs/>
                <w:lang w:eastAsia="en-US"/>
              </w:rPr>
              <w:t>-handlingsplanen</w:t>
            </w:r>
          </w:p>
          <w:p w14:paraId="59582238" w14:textId="77777777" w:rsidR="0004347B" w:rsidRDefault="0004347B" w:rsidP="0004347B">
            <w:pPr>
              <w:widowControl w:val="0"/>
              <w:tabs>
                <w:tab w:val="left" w:pos="1701"/>
              </w:tabs>
              <w:ind w:left="574"/>
              <w:rPr>
                <w:rFonts w:eastAsia="Calibri"/>
                <w:b/>
                <w:bCs/>
                <w:iCs/>
                <w:lang w:eastAsia="en-US"/>
              </w:rPr>
            </w:pPr>
          </w:p>
          <w:p w14:paraId="64F89787" w14:textId="7797DAE8" w:rsidR="0004347B" w:rsidRPr="002E1E0F" w:rsidRDefault="0004347B" w:rsidP="0004347B">
            <w:pPr>
              <w:widowControl w:val="0"/>
              <w:tabs>
                <w:tab w:val="left" w:pos="1701"/>
              </w:tabs>
            </w:pPr>
            <w:r w:rsidRPr="0074420B">
              <w:t xml:space="preserve">Utskottet överlade med </w:t>
            </w:r>
            <w:r>
              <w:t>s</w:t>
            </w:r>
            <w:r w:rsidRPr="0004347B">
              <w:t>tatssekreterare Simon Westerberg</w:t>
            </w:r>
            <w:r w:rsidRPr="002E1E0F">
              <w:t xml:space="preserve">, </w:t>
            </w:r>
            <w:r>
              <w:t xml:space="preserve">biträdd av medarbetare från </w:t>
            </w:r>
            <w:r w:rsidRPr="0004347B">
              <w:t>Klimat- och näringslivsde</w:t>
            </w:r>
            <w:r>
              <w:t>partementet.</w:t>
            </w:r>
          </w:p>
          <w:p w14:paraId="2FD9F641" w14:textId="77777777" w:rsidR="0004347B" w:rsidRDefault="0004347B" w:rsidP="0004347B">
            <w:pPr>
              <w:widowControl w:val="0"/>
              <w:tabs>
                <w:tab w:val="left" w:pos="1701"/>
              </w:tabs>
              <w:ind w:left="574"/>
              <w:rPr>
                <w:b/>
                <w:bCs/>
              </w:rPr>
            </w:pPr>
          </w:p>
          <w:p w14:paraId="57C8D7C8" w14:textId="2881048D" w:rsidR="0004347B" w:rsidRDefault="0004347B" w:rsidP="0004347B">
            <w:pPr>
              <w:widowControl w:val="0"/>
              <w:tabs>
                <w:tab w:val="left" w:pos="1701"/>
              </w:tabs>
            </w:pPr>
            <w:r w:rsidRPr="00583C98">
              <w:t xml:space="preserve">Underlaget utgjordes </w:t>
            </w:r>
            <w:r>
              <w:t xml:space="preserve">av </w:t>
            </w:r>
            <w:r w:rsidRPr="00583C98">
              <w:t>faktapromemoria 202</w:t>
            </w:r>
            <w:r>
              <w:t>5</w:t>
            </w:r>
            <w:r w:rsidRPr="00583C98">
              <w:t>/2</w:t>
            </w:r>
            <w:r>
              <w:t>6</w:t>
            </w:r>
            <w:r w:rsidRPr="00583C98">
              <w:t>:FPM</w:t>
            </w:r>
            <w:r>
              <w:t>58.</w:t>
            </w:r>
          </w:p>
          <w:p w14:paraId="4F0AE806" w14:textId="77777777" w:rsidR="0004347B" w:rsidRDefault="0004347B" w:rsidP="0004347B">
            <w:pPr>
              <w:widowControl w:val="0"/>
              <w:tabs>
                <w:tab w:val="left" w:pos="1701"/>
              </w:tabs>
              <w:ind w:left="574"/>
            </w:pPr>
          </w:p>
          <w:p w14:paraId="1D89738F" w14:textId="77777777" w:rsidR="0004347B" w:rsidRDefault="0004347B" w:rsidP="0004347B">
            <w:pPr>
              <w:widowControl w:val="0"/>
              <w:tabs>
                <w:tab w:val="left" w:pos="1701"/>
              </w:tabs>
            </w:pPr>
            <w:r>
              <w:t>S</w:t>
            </w:r>
            <w:r w:rsidRPr="0004347B">
              <w:t>tatssekreterare Simon Westerberg</w:t>
            </w:r>
            <w:r w:rsidRPr="007B15BC">
              <w:t>,</w:t>
            </w:r>
            <w:r>
              <w:t xml:space="preserve"> </w:t>
            </w:r>
            <w:r w:rsidRPr="005E2B1F">
              <w:t>redogjorde för regeringens ståndpunkt i enlighet med faktapromemorian</w:t>
            </w:r>
            <w:r>
              <w:t>:</w:t>
            </w:r>
          </w:p>
          <w:p w14:paraId="31F17108" w14:textId="77777777" w:rsidR="0004347B" w:rsidRDefault="0004347B" w:rsidP="0004347B">
            <w:pPr>
              <w:ind w:left="574"/>
            </w:pPr>
          </w:p>
          <w:p w14:paraId="6B2B2C8D" w14:textId="77777777" w:rsidR="0004347B" w:rsidRDefault="0004347B" w:rsidP="0004347B">
            <w:pPr>
              <w:ind w:left="574"/>
            </w:pPr>
            <w:r>
              <w:t xml:space="preserve">Regeringen välkomnar att kommissionen tagit fram en målsättning i handlingsplanen om att accelerera implementeringen av strategin för kritiska råmaterial samt att snabba på diversifieringen av kritiska råmaterial. Handlingsplanen presenteras i en tid när omvärldsläget med exportrestriktioner skapar störningar i värdekedjor för material som är kritiska för EU:s industrier. </w:t>
            </w:r>
          </w:p>
          <w:p w14:paraId="0FD439F1" w14:textId="0F5FD997" w:rsidR="0004347B" w:rsidRDefault="0004347B" w:rsidP="0004347B">
            <w:pPr>
              <w:ind w:left="574"/>
            </w:pPr>
            <w:r>
              <w:rPr>
                <w:color w:val="000000"/>
              </w:rPr>
              <w:t xml:space="preserve"> </w:t>
            </w:r>
          </w:p>
          <w:p w14:paraId="11513290" w14:textId="77777777" w:rsidR="0004347B" w:rsidRDefault="0004347B" w:rsidP="0004347B">
            <w:pPr>
              <w:ind w:left="574"/>
            </w:pPr>
            <w:r>
              <w:t xml:space="preserve">Givet det osäkra geopolitiska läget behöver såväl Sverige som EU, inte minst av säkerhetsskäl, stärka vår motståndskraft och säkra tillgången till kritiska råmaterial. Frågan om kritiska mineraler är av stor vikt och EU måste hitta sätt att bryta kritiska beroenden, vilket kommer kräva en strategisk ansats. Regeringen anser att </w:t>
            </w:r>
          </w:p>
          <w:p w14:paraId="5BBF8CFC" w14:textId="629F38C1" w:rsidR="0004347B" w:rsidRDefault="0004347B" w:rsidP="0004347B">
            <w:pPr>
              <w:ind w:left="574"/>
              <w:rPr>
                <w:color w:val="000000"/>
              </w:rPr>
            </w:pPr>
            <w:r>
              <w:t xml:space="preserve">frihandelsavtal och handel med likasinnade partnerskapsländer kan öka tillgången på kritiska råmaterial och underlätta diversifiering av värdekedjor, vilket kan bidra till att minska beroenden och stärka den ekonomiska säkerheten. Regeringen anser även att det är angeläget att agera för att främja tillgång till råmaterial med hänsyn till omvärldsläget. </w:t>
            </w:r>
            <w:r>
              <w:rPr>
                <w:color w:val="000000"/>
              </w:rPr>
              <w:t xml:space="preserve"> </w:t>
            </w:r>
          </w:p>
          <w:p w14:paraId="5D7A8AFC" w14:textId="77777777" w:rsidR="0004347B" w:rsidRDefault="0004347B" w:rsidP="0004347B">
            <w:pPr>
              <w:ind w:left="574"/>
            </w:pPr>
          </w:p>
          <w:p w14:paraId="63983E69" w14:textId="0A4CCCA4" w:rsidR="0004347B" w:rsidRDefault="0004347B" w:rsidP="0004347B">
            <w:pPr>
              <w:spacing w:after="8"/>
              <w:ind w:left="574"/>
            </w:pPr>
            <w:r>
              <w:t xml:space="preserve">Regeringen är generellt positiv till kommissionens avsikter om att se över lagstiftning som hämmar genomförandet och projektleveranser för prioriterade projekt som nämns i avsnitt 2.4, </w:t>
            </w:r>
            <w:r w:rsidR="00FE53BA" w:rsidRPr="00FE53BA">
              <w:rPr>
                <w:rFonts w:eastAsia="Yu Gothic UI"/>
                <w:iCs/>
              </w:rPr>
              <w:t>P</w:t>
            </w:r>
            <w:r w:rsidRPr="00FE53BA">
              <w:rPr>
                <w:rFonts w:eastAsia="Yu Gothic UI"/>
                <w:iCs/>
              </w:rPr>
              <w:t>åskynda projektleveranser</w:t>
            </w:r>
            <w:r w:rsidRPr="00FE53BA">
              <w:rPr>
                <w:iCs/>
              </w:rPr>
              <w:t>.</w:t>
            </w:r>
            <w:r>
              <w:t xml:space="preserve"> Regeringen välkomnar förslaget om att se över och genomföra justeringar avseende ramdirektivet för vatten för att underlätta tillgången till kritiska råmaterial samtidigt som </w:t>
            </w:r>
          </w:p>
          <w:p w14:paraId="692CF9E9" w14:textId="6EFC6414" w:rsidR="0004347B" w:rsidRPr="0004347B" w:rsidRDefault="0004347B" w:rsidP="0004347B">
            <w:pPr>
              <w:spacing w:after="8"/>
              <w:ind w:left="574"/>
            </w:pPr>
            <w:r>
              <w:t>skyddet för miljö och människors hälsa bibehålls.</w:t>
            </w:r>
            <w:r>
              <w:rPr>
                <w:color w:val="000000"/>
              </w:rPr>
              <w:t xml:space="preserve"> </w:t>
            </w:r>
          </w:p>
          <w:p w14:paraId="549FB6B8" w14:textId="77777777" w:rsidR="0004347B" w:rsidRDefault="0004347B" w:rsidP="0004347B">
            <w:pPr>
              <w:ind w:left="574"/>
            </w:pPr>
          </w:p>
          <w:p w14:paraId="7D7C47DE" w14:textId="3F5356B1" w:rsidR="0004347B" w:rsidRDefault="0004347B" w:rsidP="0004347B">
            <w:pPr>
              <w:ind w:left="574"/>
              <w:rPr>
                <w:color w:val="000000"/>
              </w:rPr>
            </w:pPr>
            <w:r>
              <w:t>Regeringen anser att kommissionen bör identifiera och analysera möjliga inkonsekvenser i EU-lagstiftningen som fördröjer eller hindrar tillståndsprocesser. I situationer där det finns motstridiga mål behöver kommissionen hitta sätt att balansera de berörda intressena. Detta är viktigt för att underlätta och påskynda tillståndsprocesser samt förbättra genomförandet av relevant lagstiftning, såsom ramdirektivet för vatten, fågeldirektivet och habitat-direktivet. Det finns utrymme för förbättringar utan att kompromissa med miljömålen.</w:t>
            </w:r>
            <w:r>
              <w:rPr>
                <w:color w:val="000000"/>
              </w:rPr>
              <w:t xml:space="preserve"> </w:t>
            </w:r>
          </w:p>
          <w:p w14:paraId="6451F562" w14:textId="77777777" w:rsidR="0004347B" w:rsidRDefault="0004347B" w:rsidP="0004347B">
            <w:pPr>
              <w:ind w:left="574"/>
            </w:pPr>
          </w:p>
          <w:p w14:paraId="26AF40E1" w14:textId="77777777" w:rsidR="0004347B" w:rsidRDefault="0004347B" w:rsidP="0004347B">
            <w:pPr>
              <w:ind w:left="574"/>
            </w:pPr>
            <w:r>
              <w:t xml:space="preserve">Regeringen är positiv till kommissionens förslag i avsnitt 2.4, </w:t>
            </w:r>
          </w:p>
          <w:p w14:paraId="23DE02E4" w14:textId="387E68E8" w:rsidR="0004347B" w:rsidRDefault="00FE53BA" w:rsidP="0004347B">
            <w:pPr>
              <w:ind w:left="574"/>
            </w:pPr>
            <w:r w:rsidRPr="00FE53BA">
              <w:rPr>
                <w:rFonts w:eastAsia="Yu Gothic UI"/>
                <w:iCs/>
              </w:rPr>
              <w:t>P</w:t>
            </w:r>
            <w:r w:rsidR="0004347B" w:rsidRPr="00FE53BA">
              <w:rPr>
                <w:rFonts w:eastAsia="Yu Gothic UI"/>
                <w:iCs/>
              </w:rPr>
              <w:t>åskynda projektleveranser,</w:t>
            </w:r>
            <w:r w:rsidR="0004347B" w:rsidRPr="0004347B">
              <w:rPr>
                <w:rFonts w:eastAsia="Yu Gothic UI"/>
                <w:i/>
              </w:rPr>
              <w:t xml:space="preserve"> </w:t>
            </w:r>
            <w:r w:rsidR="0004347B">
              <w:t xml:space="preserve">vad gäller att etablera ett storskaligt </w:t>
            </w:r>
          </w:p>
          <w:p w14:paraId="093F3CB8" w14:textId="77777777" w:rsidR="0004347B" w:rsidRDefault="0004347B" w:rsidP="0004347B">
            <w:pPr>
              <w:ind w:left="574"/>
            </w:pPr>
            <w:r>
              <w:t xml:space="preserve">kompetenspartnerskap för kritiska råvaror och en råvaruakademi för att främja kompetens som är relevant för arbetskraften i </w:t>
            </w:r>
          </w:p>
          <w:p w14:paraId="1721A665" w14:textId="56941039" w:rsidR="0004347B" w:rsidRDefault="0004347B" w:rsidP="0004347B">
            <w:pPr>
              <w:ind w:left="574"/>
              <w:rPr>
                <w:color w:val="000000"/>
              </w:rPr>
            </w:pPr>
            <w:r>
              <w:t xml:space="preserve">leveranskedjor för kritiska råvaror, vilket kan främja samarbete och utveckling av processer i värdekedjan för kritiska råmaterials alla steg inklusive återvinning. </w:t>
            </w:r>
            <w:r>
              <w:rPr>
                <w:color w:val="000000"/>
              </w:rPr>
              <w:t xml:space="preserve"> </w:t>
            </w:r>
          </w:p>
          <w:p w14:paraId="3632D14C" w14:textId="77777777" w:rsidR="0004347B" w:rsidRDefault="0004347B" w:rsidP="0004347B">
            <w:pPr>
              <w:ind w:left="574"/>
            </w:pPr>
          </w:p>
          <w:p w14:paraId="02EB20A0" w14:textId="105FE34E" w:rsidR="0004347B" w:rsidRDefault="0004347B" w:rsidP="00F34B2A">
            <w:pPr>
              <w:ind w:left="574"/>
              <w:rPr>
                <w:color w:val="000000"/>
              </w:rPr>
            </w:pPr>
            <w:r>
              <w:t>Regeringen ställer sig inledningsvis tveksam till kommissionens förslag i avsnitt 4</w:t>
            </w:r>
            <w:r w:rsidRPr="00F34B2A">
              <w:rPr>
                <w:rFonts w:eastAsia="Yu Gothic UI"/>
                <w:iCs/>
              </w:rPr>
              <w:t xml:space="preserve">, </w:t>
            </w:r>
            <w:r w:rsidR="00F34B2A" w:rsidRPr="00F34B2A">
              <w:rPr>
                <w:rFonts w:eastAsia="Yu Gothic UI"/>
                <w:iCs/>
              </w:rPr>
              <w:t>Ö</w:t>
            </w:r>
            <w:r w:rsidRPr="00F34B2A">
              <w:rPr>
                <w:rFonts w:eastAsia="Yu Gothic UI"/>
                <w:iCs/>
              </w:rPr>
              <w:t>ka europeisk efterfrågan och skapa en varaktig marknad</w:t>
            </w:r>
            <w:r w:rsidRPr="00F34B2A">
              <w:rPr>
                <w:iCs/>
              </w:rPr>
              <w:t xml:space="preserve">, </w:t>
            </w:r>
            <w:r>
              <w:t>vad gäller ändringar som innebär att kommissionen ska föreslå diversifieringsåtgärder vid sårbarheter till stora företag som kan bli obligatoriska. Det kan finnas en risk att känslig företagsinformation centraliseras på EU-nivå och att medlemsstater hamnar i en informationskugga när företagsinformation går via direktkontakt mellan kommissionen och de nationella företagen. Det kan även finnas en risk att kommissionen utövar styrning på nationella företag med begränsad inblandning från medlemsstater.</w:t>
            </w:r>
            <w:r>
              <w:rPr>
                <w:color w:val="000000"/>
              </w:rPr>
              <w:t xml:space="preserve"> </w:t>
            </w:r>
          </w:p>
          <w:p w14:paraId="499FEA79" w14:textId="77777777" w:rsidR="00F34B2A" w:rsidRPr="00F34B2A" w:rsidRDefault="00F34B2A" w:rsidP="00F34B2A">
            <w:pPr>
              <w:ind w:left="574"/>
            </w:pPr>
          </w:p>
          <w:p w14:paraId="73270BB5" w14:textId="018F5D57" w:rsidR="0004347B" w:rsidRDefault="0004347B" w:rsidP="0004347B">
            <w:pPr>
              <w:spacing w:after="79"/>
              <w:ind w:left="574"/>
            </w:pPr>
            <w:r>
              <w:t xml:space="preserve">Regeringens ståndpunkt gällande kommissionens förslag på finansiering och finansiella instrument i avsnitt 2, </w:t>
            </w:r>
            <w:r w:rsidR="00F34B2A" w:rsidRPr="00F34B2A">
              <w:rPr>
                <w:rFonts w:eastAsia="Yu Gothic UI"/>
                <w:iCs/>
              </w:rPr>
              <w:t>F</w:t>
            </w:r>
            <w:r w:rsidRPr="00F34B2A">
              <w:rPr>
                <w:rFonts w:eastAsia="Yu Gothic UI"/>
                <w:iCs/>
              </w:rPr>
              <w:t>rämja och påskynda prioriterade projekt</w:t>
            </w:r>
            <w:r w:rsidRPr="00F34B2A">
              <w:rPr>
                <w:iCs/>
              </w:rPr>
              <w:t>,</w:t>
            </w:r>
            <w:r w:rsidRPr="0004347B">
              <w:t xml:space="preserve"> </w:t>
            </w:r>
            <w:r>
              <w:t xml:space="preserve">är att finansiering av </w:t>
            </w:r>
            <w:proofErr w:type="spellStart"/>
            <w:r>
              <w:t>RESourceEU</w:t>
            </w:r>
            <w:proofErr w:type="spellEnd"/>
            <w:r>
              <w:t xml:space="preserve"> behöver ske inom ram. Regeringens budgetrestriktiva hållning ligger fast och regeringen ska agera för att de ekonomiska konsekvenserna av förslag som följer av meddelandet begränsas både för statens budget och EU-budgeten. Regeringens ståndpunkt är att i det fall åtgärder i </w:t>
            </w:r>
            <w:proofErr w:type="spellStart"/>
            <w:r>
              <w:t>RESourceEU</w:t>
            </w:r>
            <w:proofErr w:type="spellEnd"/>
            <w:r>
              <w:t xml:space="preserve"> för med sig ökade kostnader som belastar EU:s innevarade långtidsbudget ska dessa finansieras genom omprioriteringar av medel inom och mellan befintliga ramar och program. Regeringen anser vidare att det är viktigt att åtgärder som följer av handlingsplanen genomförs på ett kostnadseffektivt sätt som drar nytta av existerande strukturer och insatser. </w:t>
            </w:r>
            <w:r>
              <w:rPr>
                <w:color w:val="000000"/>
              </w:rPr>
              <w:t xml:space="preserve"> </w:t>
            </w:r>
          </w:p>
          <w:p w14:paraId="6EB36258" w14:textId="3E42BC36" w:rsidR="0004347B" w:rsidRDefault="0004347B" w:rsidP="0004347B">
            <w:pPr>
              <w:ind w:left="574"/>
            </w:pPr>
            <w:r>
              <w:t>Regeringen är positiv till att skrot i större utsträckning ses som en strategisk resurs, där eventuella exportrestriktioner behöver kombineras med ökad återvinningskapacitet i EU. WTO</w:t>
            </w:r>
            <w:r w:rsidR="00F34B2A">
              <w:t>-</w:t>
            </w:r>
            <w:r>
              <w:t>förenligheten av eventuella åtgärder relaterade till export av skrot bör beaktas.</w:t>
            </w:r>
          </w:p>
          <w:p w14:paraId="3BF91810" w14:textId="0E80651A" w:rsidR="0004347B" w:rsidRDefault="0004347B" w:rsidP="0004347B">
            <w:pPr>
              <w:ind w:left="574"/>
            </w:pPr>
            <w:r>
              <w:t xml:space="preserve"> </w:t>
            </w:r>
            <w:r>
              <w:rPr>
                <w:color w:val="000000"/>
              </w:rPr>
              <w:t xml:space="preserve"> </w:t>
            </w:r>
          </w:p>
          <w:p w14:paraId="67C6BE88" w14:textId="77777777" w:rsidR="0004347B" w:rsidRDefault="0004347B" w:rsidP="0004347B">
            <w:pPr>
              <w:ind w:left="574"/>
            </w:pPr>
            <w:r>
              <w:t xml:space="preserve">Regeringen är positiv till att utöka märkningskrav till fler produktgrupper som innehåller permanenta magneter. Regeringen kan </w:t>
            </w:r>
          </w:p>
          <w:p w14:paraId="4EEBAB87" w14:textId="42202F63" w:rsidR="0004347B" w:rsidRDefault="0004347B" w:rsidP="0004347B">
            <w:pPr>
              <w:ind w:left="574"/>
            </w:pPr>
            <w:r>
              <w:t xml:space="preserve">acceptera att krav på deklaration och minimikrav för återvunnet </w:t>
            </w:r>
          </w:p>
          <w:p w14:paraId="5E1CFAA6" w14:textId="4A2D9419" w:rsidR="0004347B" w:rsidRDefault="0004347B" w:rsidP="0004347B">
            <w:pPr>
              <w:ind w:left="574"/>
              <w:rPr>
                <w:color w:val="000000"/>
              </w:rPr>
            </w:pPr>
            <w:r>
              <w:t xml:space="preserve">innehåll i permanenta magneter utökas till att omfatta avfall före konsumtionsledet men skulle föredra att särskilja dessa krav från krav på avfall efter konsumtionsledet.  </w:t>
            </w:r>
            <w:r>
              <w:rPr>
                <w:color w:val="000000"/>
              </w:rPr>
              <w:t xml:space="preserve"> </w:t>
            </w:r>
          </w:p>
          <w:p w14:paraId="51976A42" w14:textId="38D44463" w:rsidR="0004347B" w:rsidRDefault="0004347B" w:rsidP="0004347B">
            <w:pPr>
              <w:ind w:left="574"/>
              <w:rPr>
                <w:color w:val="000000"/>
              </w:rPr>
            </w:pPr>
          </w:p>
          <w:p w14:paraId="11342C5F" w14:textId="2B29F6B6" w:rsidR="0004347B" w:rsidRDefault="0004347B" w:rsidP="0004347B">
            <w:pPr>
              <w:ind w:left="574" w:hanging="567"/>
            </w:pPr>
            <w:r>
              <w:t>Ordföranden konstaterade att det fanns stöd för regeringens ståndpunkt.</w:t>
            </w:r>
          </w:p>
          <w:p w14:paraId="03EA7A10" w14:textId="55597866" w:rsidR="00567FC0" w:rsidRDefault="00567FC0" w:rsidP="0004347B">
            <w:pPr>
              <w:ind w:left="574" w:hanging="567"/>
            </w:pPr>
          </w:p>
          <w:p w14:paraId="646CD0EC" w14:textId="464FCA26" w:rsidR="00567FC0" w:rsidRDefault="00567FC0" w:rsidP="0004347B">
            <w:pPr>
              <w:ind w:left="574" w:hanging="567"/>
            </w:pPr>
            <w:r>
              <w:t>S</w:t>
            </w:r>
            <w:r w:rsidRPr="00567FC0">
              <w:t>-leda</w:t>
            </w:r>
            <w:r>
              <w:t>möterna</w:t>
            </w:r>
            <w:r w:rsidRPr="00567FC0">
              <w:t xml:space="preserve"> anmälde följande avvikande ståndpunkt:</w:t>
            </w:r>
          </w:p>
          <w:p w14:paraId="7E0ADB0F" w14:textId="0182C4B1" w:rsidR="00757407" w:rsidRDefault="00757407" w:rsidP="0004347B">
            <w:pPr>
              <w:ind w:left="574" w:hanging="567"/>
            </w:pPr>
          </w:p>
          <w:p w14:paraId="27989FAB" w14:textId="77777777" w:rsidR="00757407" w:rsidRDefault="00757407" w:rsidP="00757407">
            <w:pPr>
              <w:ind w:left="574"/>
              <w:rPr>
                <w:sz w:val="22"/>
                <w:szCs w:val="22"/>
              </w:rPr>
            </w:pPr>
            <w:r>
              <w:t>Vi delar regeringens syn om betydelsen av att stärka EU:s försörjningstrygghet av strategiska råmaterial. Samtidigt anser vi att regeringens ståndpunkt i högre grad bör tydliggöra Sveriges roll som en gruvnation och industriland i genomförandet av EU:s strategi för kritiska råmaterial. Sverige har betydande geologiska tillgångar och teknisk kompetens, vilket vi anser bör lyftas fram i regeringens ståndpunkt som en strategisk resurs inom EU. Vidare behöver frågan om återvinning ges en mer framträdande plats. Mot bakgrund av EU:s mål att minst 25 procent av de strategiska råmaterial som konsumeras i unionen ska komma från återvinning senast 2030 bör regeringen tydligare betona behovet av investeringar i återvinningskapacitet, innovation och industriell utveckling inom detta område.</w:t>
            </w:r>
          </w:p>
          <w:p w14:paraId="10C05FB1" w14:textId="17A568FD" w:rsidR="00757407" w:rsidRDefault="00757407" w:rsidP="00757407">
            <w:pPr>
              <w:ind w:left="574" w:hanging="574"/>
            </w:pPr>
            <w:r>
              <w:lastRenderedPageBreak/>
              <w:t>V-ledamoten anmälde följande avvikande ståndpunkt:</w:t>
            </w:r>
          </w:p>
          <w:p w14:paraId="3FB9745F" w14:textId="48B23EC5" w:rsidR="00757407" w:rsidRDefault="00757407" w:rsidP="00757407">
            <w:pPr>
              <w:ind w:left="574" w:hanging="574"/>
            </w:pPr>
          </w:p>
          <w:p w14:paraId="224EE265" w14:textId="77777777" w:rsidR="00757407" w:rsidRDefault="00757407" w:rsidP="00757407">
            <w:pPr>
              <w:ind w:left="574"/>
            </w:pPr>
            <w:r>
              <w:t xml:space="preserve">Jag delar uppfattningen att frågan om kritiskt råmaterial är strategisk avgörande för konkurrenskraften och klimatomställningen. Däremot anser jag att regeringens ståndpunkt är otillräcklig i flera delar. Jag anser att Sveriges roll inom gruvindustrin och dess </w:t>
            </w:r>
          </w:p>
          <w:p w14:paraId="5A806652" w14:textId="0AE22FC2" w:rsidR="00757407" w:rsidRDefault="00757407" w:rsidP="00757407">
            <w:pPr>
              <w:ind w:left="574"/>
            </w:pPr>
            <w:r>
              <w:t xml:space="preserve">ansvar i den europeiska råvaruförsörjningen tydligare bör redovisas i regeringens ståndpunkt samtidigt som det tydliggörs att höga krav på miljö, arbetsmiljö och lokal förankring ska säkerställas. Dessutom menar jag att återvinning och </w:t>
            </w:r>
            <w:proofErr w:type="spellStart"/>
            <w:r>
              <w:t>cirkularitet</w:t>
            </w:r>
            <w:proofErr w:type="spellEnd"/>
            <w:r>
              <w:t xml:space="preserve"> behöver ges en mer framträdande och styrande roll i ståndpunkten. EU:s mål om att minst 25 procent av strategiska råmaterial ska återvinnas till 2030 kräver kraftfulla investeringar i sekundära materialflöden och </w:t>
            </w:r>
          </w:p>
          <w:p w14:paraId="717CD30E" w14:textId="5CB9AF21" w:rsidR="00757407" w:rsidRDefault="00757407" w:rsidP="00757407">
            <w:pPr>
              <w:ind w:left="574"/>
            </w:pPr>
            <w:r>
              <w:t xml:space="preserve">teknikutveckling. Jag anser att regeringen tydligare bör prioritera dessa insatser. Jag motsätter mig även att miljölagstiftning urholkas i syfte att påskynda projekt. Översyner av vattendirektivet och kemikalielagstiftningen får inte innebära sänkta skyddsnivåer för miljö eller människors hälsa. En hållbar råvarustrategi måste vila på starka miljökrav och sociala villkor. Slutligen måste handel och internationella partnerskap för råvaruförsörjning förenas med </w:t>
            </w:r>
          </w:p>
          <w:p w14:paraId="3D992E77" w14:textId="19DDEA93" w:rsidR="00757407" w:rsidRDefault="00757407" w:rsidP="00757407">
            <w:pPr>
              <w:ind w:left="574"/>
              <w:rPr>
                <w:sz w:val="22"/>
                <w:szCs w:val="22"/>
              </w:rPr>
            </w:pPr>
            <w:r>
              <w:t>bindande krav på mänskliga rättigheter och miljöhänsyn. EU:s ökade råvarubehov får inte ske på bekostnad av ekosystem eller lokalsamhällen.</w:t>
            </w:r>
          </w:p>
          <w:p w14:paraId="38985B68" w14:textId="77777777" w:rsidR="00757407" w:rsidRDefault="00757407" w:rsidP="00757407"/>
          <w:p w14:paraId="791EF8BC" w14:textId="62DC6382" w:rsidR="00757407" w:rsidRDefault="00757407" w:rsidP="00757407">
            <w:r>
              <w:t>MP-ledamoten anmälde följande avvikande ståndpunkt:</w:t>
            </w:r>
          </w:p>
          <w:p w14:paraId="3BE26E29" w14:textId="78A8DF00" w:rsidR="00757407" w:rsidRDefault="00757407" w:rsidP="00757407"/>
          <w:p w14:paraId="05088597" w14:textId="77777777" w:rsidR="00757407" w:rsidRDefault="00757407" w:rsidP="00757407">
            <w:pPr>
              <w:ind w:left="574"/>
            </w:pPr>
            <w:r>
              <w:t xml:space="preserve">Jag delar bedömningen att frågan om kritiska metaller och mineral är av stor strategisk betydelse för Europas konkurrenskraft och </w:t>
            </w:r>
            <w:proofErr w:type="spellStart"/>
            <w:r>
              <w:t>resiliens</w:t>
            </w:r>
            <w:proofErr w:type="spellEnd"/>
            <w:r>
              <w:t xml:space="preserve">. Samtidigt måste arbetet med att stärka försörjningstryggheten tydligt utgå från höga klimat- och miljöambitioner. Jag anser att resurser i första hand bör styras mot återvinning, </w:t>
            </w:r>
            <w:proofErr w:type="spellStart"/>
            <w:r>
              <w:t>cirkularitet</w:t>
            </w:r>
            <w:proofErr w:type="spellEnd"/>
            <w:r>
              <w:t xml:space="preserve"> och effektivare resursanvändning. EU:s mål om ökad självförsörjning får inte ensidigt tolkas som en expansion av primär utvinning, utan bör i större utsträckning vila på sekundära råvaruflöden, innovation och minskat materialberoende. Jag motsätter mig att miljölagstiftningen luckras upp i syfte att påskynda tillståndsprocesser. Särskilt viktigt är att inte försvaga kemikalielagstiftningen eller </w:t>
            </w:r>
          </w:p>
          <w:p w14:paraId="342BE2DC" w14:textId="10194472" w:rsidR="00757407" w:rsidRDefault="00757407" w:rsidP="00757407">
            <w:pPr>
              <w:ind w:left="574"/>
              <w:rPr>
                <w:sz w:val="22"/>
                <w:szCs w:val="22"/>
              </w:rPr>
            </w:pPr>
            <w:r>
              <w:t xml:space="preserve">urholka vattendirektivet på ett sätt som riskerar att sänka miljöskyddet. </w:t>
            </w:r>
            <w:r w:rsidR="00D74A14" w:rsidRPr="00D74A14">
              <w:t>Jag motsätter mig därför helt att vattendirektivet öppnas upp för revidering</w:t>
            </w:r>
            <w:r w:rsidR="00D74A14">
              <w:t xml:space="preserve">. </w:t>
            </w:r>
            <w:r>
              <w:t>Klimat- och miljöambitioner måste integreras i genomförandet av handlingsplanen och inte betraktas som hinder. Vidare vill jag understryka att nya marknader och frihandelsavtal inte får bidra till utarmning av ekosystem, fördrivning av urfolk eller kränkningar av mänskliga rättigheter. Diversifiering av leverantörskedjor måste ske inom ramen för bindande hållbarhetskrav och respekt för internationella åtaganden.</w:t>
            </w:r>
          </w:p>
          <w:p w14:paraId="12AAD5CF" w14:textId="77777777" w:rsidR="00757407" w:rsidRDefault="00757407" w:rsidP="00757407"/>
          <w:p w14:paraId="42505EB5" w14:textId="4D90FB0B" w:rsidR="0004347B" w:rsidRDefault="0004347B" w:rsidP="00757407">
            <w:r>
              <w:t>Under överläggningen närvarade även en tjänsteman från EU-nämndenskansli.</w:t>
            </w:r>
          </w:p>
          <w:p w14:paraId="15C5B1B8" w14:textId="3D22EDBF" w:rsidR="0004347B" w:rsidRPr="004E4C48" w:rsidRDefault="0004347B" w:rsidP="0004347B">
            <w:pPr>
              <w:widowControl w:val="0"/>
              <w:tabs>
                <w:tab w:val="left" w:pos="1701"/>
              </w:tabs>
              <w:ind w:left="574" w:firstLine="574"/>
              <w:rPr>
                <w:b/>
                <w:bCs/>
                <w:shd w:val="clear" w:color="auto" w:fill="FFFFFF"/>
              </w:rPr>
            </w:pPr>
          </w:p>
        </w:tc>
      </w:tr>
      <w:tr w:rsidR="0004347B" w:rsidRPr="006C0F9A" w14:paraId="40DACBCE" w14:textId="77777777" w:rsidTr="00EB043C">
        <w:trPr>
          <w:trHeight w:val="709"/>
        </w:trPr>
        <w:tc>
          <w:tcPr>
            <w:tcW w:w="567" w:type="dxa"/>
          </w:tcPr>
          <w:p w14:paraId="45310360" w14:textId="4EEB2A5C" w:rsidR="0004347B" w:rsidRDefault="0004347B" w:rsidP="00DC0D46">
            <w:pPr>
              <w:tabs>
                <w:tab w:val="left" w:pos="1701"/>
              </w:tabs>
              <w:rPr>
                <w:b/>
                <w:snapToGrid w:val="0"/>
              </w:rPr>
            </w:pPr>
            <w:r>
              <w:rPr>
                <w:b/>
                <w:snapToGrid w:val="0"/>
              </w:rPr>
              <w:lastRenderedPageBreak/>
              <w:t xml:space="preserve">§ </w:t>
            </w:r>
            <w:r w:rsidR="00EB043C">
              <w:rPr>
                <w:b/>
                <w:snapToGrid w:val="0"/>
              </w:rPr>
              <w:t>7</w:t>
            </w:r>
          </w:p>
        </w:tc>
        <w:tc>
          <w:tcPr>
            <w:tcW w:w="7162" w:type="dxa"/>
          </w:tcPr>
          <w:p w14:paraId="2AF57F7F" w14:textId="77777777" w:rsidR="0004347B" w:rsidRDefault="0004347B" w:rsidP="0004347B">
            <w:pPr>
              <w:spacing w:after="200" w:line="280" w:lineRule="exact"/>
              <w:rPr>
                <w:iCs/>
              </w:rPr>
            </w:pPr>
            <w:r w:rsidRPr="0004347B">
              <w:rPr>
                <w:b/>
                <w:bCs/>
                <w:iCs/>
              </w:rPr>
              <w:t>Viktiga projekt av gemensamt europeisk intresse (s.k. IPCEI-projekt)</w:t>
            </w:r>
            <w:r w:rsidRPr="0004347B">
              <w:rPr>
                <w:b/>
                <w:bCs/>
                <w:iCs/>
              </w:rPr>
              <w:br/>
            </w:r>
            <w:r w:rsidRPr="0004347B">
              <w:rPr>
                <w:iCs/>
                <w:szCs w:val="23"/>
              </w:rPr>
              <w:br/>
              <w:t xml:space="preserve">Statssekreterare Simon Westerberg, biträdd av medarbetare från Klimat- </w:t>
            </w:r>
            <w:r w:rsidRPr="0004347B">
              <w:rPr>
                <w:iCs/>
                <w:szCs w:val="23"/>
              </w:rPr>
              <w:lastRenderedPageBreak/>
              <w:t>och näringslivsdepartementet</w:t>
            </w:r>
            <w:r>
              <w:rPr>
                <w:iCs/>
                <w:szCs w:val="23"/>
              </w:rPr>
              <w:t xml:space="preserve">, lämnade information och svarade på </w:t>
            </w:r>
            <w:r>
              <w:rPr>
                <w:iCs/>
                <w:szCs w:val="23"/>
              </w:rPr>
              <w:br/>
              <w:t xml:space="preserve">frågor om </w:t>
            </w:r>
            <w:r>
              <w:rPr>
                <w:iCs/>
              </w:rPr>
              <w:t>v</w:t>
            </w:r>
            <w:r w:rsidRPr="0004347B">
              <w:rPr>
                <w:iCs/>
              </w:rPr>
              <w:t>iktiga projekt av gemensamt europeisk intresse</w:t>
            </w:r>
            <w:r>
              <w:rPr>
                <w:iCs/>
              </w:rPr>
              <w:t>.</w:t>
            </w:r>
          </w:p>
          <w:p w14:paraId="045B6267" w14:textId="1C3DCCF8" w:rsidR="00EB043C" w:rsidRPr="00EB043C" w:rsidRDefault="00EB043C" w:rsidP="0004347B">
            <w:pPr>
              <w:spacing w:after="200" w:line="280" w:lineRule="exact"/>
              <w:rPr>
                <w:shd w:val="clear" w:color="auto" w:fill="FFFFFF"/>
              </w:rPr>
            </w:pPr>
            <w:r w:rsidRPr="00EB043C">
              <w:rPr>
                <w:shd w:val="clear" w:color="auto" w:fill="FFFFFF"/>
              </w:rPr>
              <w:t xml:space="preserve">Under </w:t>
            </w:r>
            <w:r>
              <w:rPr>
                <w:shd w:val="clear" w:color="auto" w:fill="FFFFFF"/>
              </w:rPr>
              <w:t>informationen</w:t>
            </w:r>
            <w:r w:rsidRPr="00EB043C">
              <w:rPr>
                <w:shd w:val="clear" w:color="auto" w:fill="FFFFFF"/>
              </w:rPr>
              <w:t xml:space="preserve"> närvarade även en tjänsteman från EU-nämndenskansli.</w:t>
            </w:r>
          </w:p>
        </w:tc>
      </w:tr>
      <w:tr w:rsidR="00E8329C" w:rsidRPr="006C0F9A" w14:paraId="3E813440" w14:textId="77777777" w:rsidTr="00F34B2A">
        <w:trPr>
          <w:trHeight w:val="2023"/>
        </w:trPr>
        <w:tc>
          <w:tcPr>
            <w:tcW w:w="567" w:type="dxa"/>
          </w:tcPr>
          <w:p w14:paraId="03455764" w14:textId="071C6CB5" w:rsidR="00E8329C" w:rsidRDefault="00E8329C" w:rsidP="00DC0D46">
            <w:pPr>
              <w:tabs>
                <w:tab w:val="left" w:pos="1701"/>
              </w:tabs>
              <w:rPr>
                <w:b/>
                <w:snapToGrid w:val="0"/>
              </w:rPr>
            </w:pPr>
            <w:r>
              <w:rPr>
                <w:b/>
                <w:snapToGrid w:val="0"/>
              </w:rPr>
              <w:lastRenderedPageBreak/>
              <w:t xml:space="preserve">§ </w:t>
            </w:r>
            <w:r w:rsidR="0004347B">
              <w:rPr>
                <w:b/>
                <w:snapToGrid w:val="0"/>
              </w:rPr>
              <w:t>8</w:t>
            </w:r>
          </w:p>
        </w:tc>
        <w:tc>
          <w:tcPr>
            <w:tcW w:w="7162" w:type="dxa"/>
          </w:tcPr>
          <w:p w14:paraId="4BCF3A0D" w14:textId="77777777" w:rsidR="0004347B" w:rsidRDefault="0004347B" w:rsidP="008E3832">
            <w:pPr>
              <w:widowControl w:val="0"/>
              <w:tabs>
                <w:tab w:val="left" w:pos="1701"/>
              </w:tabs>
              <w:rPr>
                <w:b/>
                <w:bCs/>
              </w:rPr>
            </w:pPr>
            <w:r w:rsidRPr="00FE695A">
              <w:rPr>
                <w:b/>
                <w:bCs/>
              </w:rPr>
              <w:t xml:space="preserve">Förslag till förordning </w:t>
            </w:r>
            <w:r>
              <w:rPr>
                <w:b/>
                <w:bCs/>
              </w:rPr>
              <w:t>och ändring av direktiv inom det europeiska nätpaketet</w:t>
            </w:r>
          </w:p>
          <w:p w14:paraId="4E2CBDE8" w14:textId="6BB517A0" w:rsidR="0004347B" w:rsidRDefault="0004347B" w:rsidP="0004347B">
            <w:pPr>
              <w:widowControl w:val="0"/>
              <w:tabs>
                <w:tab w:val="left" w:pos="1701"/>
              </w:tabs>
              <w:rPr>
                <w:szCs w:val="23"/>
              </w:rPr>
            </w:pPr>
            <w:r>
              <w:rPr>
                <w:b/>
                <w:bCs/>
              </w:rPr>
              <w:br/>
            </w:r>
            <w:r w:rsidRPr="003A18A1">
              <w:rPr>
                <w:szCs w:val="23"/>
              </w:rPr>
              <w:t xml:space="preserve">Utskottet inledde subsidiaritetsprövningen av COM(2025) </w:t>
            </w:r>
            <w:r>
              <w:rPr>
                <w:szCs w:val="23"/>
              </w:rPr>
              <w:t>1006 och COM(2025) 1007</w:t>
            </w:r>
            <w:r w:rsidRPr="003A18A1">
              <w:rPr>
                <w:szCs w:val="23"/>
              </w:rPr>
              <w:t>.</w:t>
            </w:r>
          </w:p>
          <w:p w14:paraId="5DBD1ADC" w14:textId="77777777" w:rsidR="00F34B2A" w:rsidRDefault="00F34B2A" w:rsidP="00EB043C">
            <w:pPr>
              <w:widowControl w:val="0"/>
              <w:tabs>
                <w:tab w:val="left" w:pos="1701"/>
              </w:tabs>
              <w:rPr>
                <w:szCs w:val="23"/>
              </w:rPr>
            </w:pPr>
          </w:p>
          <w:p w14:paraId="76FDF2CE" w14:textId="29DEA718" w:rsidR="00EB043C" w:rsidRDefault="00EB043C" w:rsidP="00EB043C">
            <w:pPr>
              <w:widowControl w:val="0"/>
              <w:tabs>
                <w:tab w:val="left" w:pos="1701"/>
              </w:tabs>
              <w:rPr>
                <w:szCs w:val="23"/>
              </w:rPr>
            </w:pPr>
            <w:r>
              <w:rPr>
                <w:szCs w:val="23"/>
              </w:rPr>
              <w:t>Ärendet bordlades.</w:t>
            </w:r>
          </w:p>
          <w:p w14:paraId="16365C57" w14:textId="7A759435" w:rsidR="00E8329C" w:rsidRDefault="00E8329C" w:rsidP="008E3832">
            <w:pPr>
              <w:widowControl w:val="0"/>
              <w:tabs>
                <w:tab w:val="left" w:pos="1701"/>
              </w:tabs>
              <w:rPr>
                <w:b/>
                <w:bCs/>
                <w:iCs/>
              </w:rPr>
            </w:pPr>
          </w:p>
        </w:tc>
      </w:tr>
      <w:tr w:rsidR="00E8329C" w:rsidRPr="006C0F9A" w14:paraId="72275929" w14:textId="77777777" w:rsidTr="004E4C48">
        <w:trPr>
          <w:trHeight w:val="1126"/>
        </w:trPr>
        <w:tc>
          <w:tcPr>
            <w:tcW w:w="567" w:type="dxa"/>
          </w:tcPr>
          <w:p w14:paraId="27DE3FE9" w14:textId="74083AF2" w:rsidR="00E8329C" w:rsidRDefault="00E8329C" w:rsidP="00DC0D46">
            <w:pPr>
              <w:tabs>
                <w:tab w:val="left" w:pos="1701"/>
              </w:tabs>
              <w:rPr>
                <w:b/>
                <w:snapToGrid w:val="0"/>
              </w:rPr>
            </w:pPr>
            <w:r>
              <w:rPr>
                <w:b/>
                <w:snapToGrid w:val="0"/>
              </w:rPr>
              <w:t xml:space="preserve">§ </w:t>
            </w:r>
            <w:r w:rsidR="0004347B">
              <w:rPr>
                <w:b/>
                <w:snapToGrid w:val="0"/>
              </w:rPr>
              <w:t>9</w:t>
            </w:r>
          </w:p>
        </w:tc>
        <w:tc>
          <w:tcPr>
            <w:tcW w:w="7162" w:type="dxa"/>
          </w:tcPr>
          <w:p w14:paraId="6FA70A3F" w14:textId="5C0D3F51" w:rsidR="00E8329C" w:rsidRDefault="00E8329C" w:rsidP="008E3832">
            <w:pPr>
              <w:widowControl w:val="0"/>
              <w:tabs>
                <w:tab w:val="left" w:pos="1701"/>
              </w:tabs>
              <w:rPr>
                <w:b/>
                <w:bCs/>
                <w:iCs/>
              </w:rPr>
            </w:pPr>
            <w:r w:rsidRPr="00E8329C">
              <w:rPr>
                <w:b/>
                <w:bCs/>
                <w:iCs/>
              </w:rPr>
              <w:t>Överläggning</w:t>
            </w:r>
            <w:r>
              <w:rPr>
                <w:b/>
                <w:bCs/>
                <w:iCs/>
              </w:rPr>
              <w:t>ar</w:t>
            </w:r>
            <w:r w:rsidRPr="00E8329C">
              <w:rPr>
                <w:b/>
                <w:bCs/>
                <w:iCs/>
              </w:rPr>
              <w:t xml:space="preserve"> om EU-frågor</w:t>
            </w:r>
          </w:p>
          <w:p w14:paraId="3589B8F0" w14:textId="77777777" w:rsidR="00E8329C" w:rsidRDefault="00E8329C" w:rsidP="008E3832">
            <w:pPr>
              <w:widowControl w:val="0"/>
              <w:tabs>
                <w:tab w:val="left" w:pos="1701"/>
              </w:tabs>
              <w:rPr>
                <w:b/>
                <w:bCs/>
                <w:iCs/>
              </w:rPr>
            </w:pPr>
          </w:p>
          <w:p w14:paraId="13CB5497" w14:textId="77777777" w:rsidR="0004347B" w:rsidRDefault="00E8329C" w:rsidP="00E8329C">
            <w:pPr>
              <w:widowControl w:val="0"/>
              <w:tabs>
                <w:tab w:val="left" w:pos="1701"/>
              </w:tabs>
              <w:rPr>
                <w:iCs/>
              </w:rPr>
            </w:pPr>
            <w:r w:rsidRPr="00984DA5">
              <w:rPr>
                <w:iCs/>
              </w:rPr>
              <w:t xml:space="preserve">Utskottet beslutade att överlägga med regeringen om </w:t>
            </w:r>
            <w:r w:rsidR="00A6511B" w:rsidRPr="00A6511B">
              <w:rPr>
                <w:iCs/>
              </w:rPr>
              <w:t>faktapromemoriorna</w:t>
            </w:r>
            <w:r w:rsidR="00A6511B">
              <w:rPr>
                <w:iCs/>
              </w:rPr>
              <w:t xml:space="preserve"> </w:t>
            </w:r>
            <w:r w:rsidRPr="00030510">
              <w:rPr>
                <w:iCs/>
              </w:rPr>
              <w:t>202</w:t>
            </w:r>
            <w:r>
              <w:rPr>
                <w:iCs/>
              </w:rPr>
              <w:t>5</w:t>
            </w:r>
            <w:r w:rsidRPr="00030510">
              <w:rPr>
                <w:iCs/>
              </w:rPr>
              <w:t>/2</w:t>
            </w:r>
            <w:r>
              <w:rPr>
                <w:iCs/>
              </w:rPr>
              <w:t>6</w:t>
            </w:r>
            <w:r w:rsidRPr="00030510">
              <w:rPr>
                <w:iCs/>
              </w:rPr>
              <w:t>:FPM</w:t>
            </w:r>
            <w:r w:rsidR="0004347B">
              <w:rPr>
                <w:iCs/>
              </w:rPr>
              <w:t>62</w:t>
            </w:r>
            <w:r>
              <w:rPr>
                <w:iCs/>
              </w:rPr>
              <w:t xml:space="preserve"> </w:t>
            </w:r>
            <w:r w:rsidR="0004347B">
              <w:rPr>
                <w:iCs/>
              </w:rPr>
              <w:t xml:space="preserve">Europeiska nätpaketet och </w:t>
            </w:r>
            <w:r w:rsidRPr="00E8329C">
              <w:rPr>
                <w:iCs/>
              </w:rPr>
              <w:t>2025/26:FPM</w:t>
            </w:r>
            <w:r w:rsidR="0004347B">
              <w:rPr>
                <w:iCs/>
              </w:rPr>
              <w:t>68</w:t>
            </w:r>
          </w:p>
          <w:p w14:paraId="1D17B0E5" w14:textId="0D0C78A5" w:rsidR="00E8329C" w:rsidRDefault="0004347B" w:rsidP="00E8329C">
            <w:pPr>
              <w:widowControl w:val="0"/>
              <w:tabs>
                <w:tab w:val="left" w:pos="1701"/>
              </w:tabs>
              <w:rPr>
                <w:iCs/>
              </w:rPr>
            </w:pPr>
            <w:r>
              <w:rPr>
                <w:iCs/>
              </w:rPr>
              <w:t>Batteristrategin.</w:t>
            </w:r>
          </w:p>
          <w:p w14:paraId="144690A2" w14:textId="79CF3456" w:rsidR="00E8329C" w:rsidRPr="00E8329C" w:rsidRDefault="00E8329C" w:rsidP="00E8329C">
            <w:pPr>
              <w:widowControl w:val="0"/>
              <w:tabs>
                <w:tab w:val="left" w:pos="1701"/>
              </w:tabs>
              <w:rPr>
                <w:iCs/>
              </w:rPr>
            </w:pPr>
          </w:p>
        </w:tc>
      </w:tr>
      <w:tr w:rsidR="00E8329C" w:rsidRPr="006C0F9A" w14:paraId="5FCE8BD1" w14:textId="77777777" w:rsidTr="004E4C48">
        <w:trPr>
          <w:trHeight w:val="1126"/>
        </w:trPr>
        <w:tc>
          <w:tcPr>
            <w:tcW w:w="567" w:type="dxa"/>
          </w:tcPr>
          <w:p w14:paraId="24D2B9B4" w14:textId="1A9AD106" w:rsidR="00E8329C" w:rsidRDefault="00E8329C" w:rsidP="00DC0D46">
            <w:pPr>
              <w:tabs>
                <w:tab w:val="left" w:pos="1701"/>
              </w:tabs>
              <w:rPr>
                <w:b/>
                <w:snapToGrid w:val="0"/>
              </w:rPr>
            </w:pPr>
            <w:r>
              <w:rPr>
                <w:b/>
                <w:snapToGrid w:val="0"/>
              </w:rPr>
              <w:t xml:space="preserve">§ </w:t>
            </w:r>
            <w:r w:rsidR="0004347B">
              <w:rPr>
                <w:b/>
                <w:snapToGrid w:val="0"/>
              </w:rPr>
              <w:t>10</w:t>
            </w:r>
          </w:p>
        </w:tc>
        <w:tc>
          <w:tcPr>
            <w:tcW w:w="7162" w:type="dxa"/>
          </w:tcPr>
          <w:p w14:paraId="28EC97A7" w14:textId="163C7541" w:rsidR="0004347B" w:rsidRPr="0092285F" w:rsidRDefault="0004347B" w:rsidP="0004347B">
            <w:pPr>
              <w:widowControl w:val="0"/>
              <w:tabs>
                <w:tab w:val="left" w:pos="1701"/>
              </w:tabs>
              <w:rPr>
                <w:b/>
                <w:bCs/>
                <w:iCs/>
              </w:rPr>
            </w:pPr>
            <w:r w:rsidRPr="00ED4D92">
              <w:rPr>
                <w:b/>
                <w:bCs/>
              </w:rPr>
              <w:t>Inbjudan OECD 11–13 mars 2026</w:t>
            </w:r>
          </w:p>
          <w:p w14:paraId="1782B90A" w14:textId="77777777" w:rsidR="0004347B" w:rsidRPr="0004347B" w:rsidRDefault="0004347B" w:rsidP="0004347B">
            <w:pPr>
              <w:widowControl w:val="0"/>
              <w:tabs>
                <w:tab w:val="left" w:pos="1701"/>
              </w:tabs>
              <w:rPr>
                <w:iCs/>
              </w:rPr>
            </w:pPr>
          </w:p>
          <w:p w14:paraId="3194F3D6" w14:textId="57E19E8D" w:rsidR="0004347B" w:rsidRDefault="0004347B" w:rsidP="00EB043C">
            <w:pPr>
              <w:widowControl w:val="0"/>
              <w:tabs>
                <w:tab w:val="left" w:pos="1701"/>
              </w:tabs>
              <w:rPr>
                <w:iCs/>
              </w:rPr>
            </w:pPr>
            <w:r w:rsidRPr="0004347B">
              <w:rPr>
                <w:iCs/>
              </w:rPr>
              <w:t xml:space="preserve">Utskottet beslutade att </w:t>
            </w:r>
            <w:r w:rsidR="00015112">
              <w:rPr>
                <w:iCs/>
              </w:rPr>
              <w:t xml:space="preserve">inte delta. </w:t>
            </w:r>
          </w:p>
          <w:p w14:paraId="432AE636" w14:textId="6927A940" w:rsidR="00EB043C" w:rsidRPr="00E8329C" w:rsidRDefault="00EB043C" w:rsidP="00EB043C">
            <w:pPr>
              <w:widowControl w:val="0"/>
              <w:tabs>
                <w:tab w:val="left" w:pos="1701"/>
              </w:tabs>
              <w:rPr>
                <w:b/>
                <w:bCs/>
                <w:iCs/>
              </w:rPr>
            </w:pPr>
          </w:p>
        </w:tc>
      </w:tr>
      <w:tr w:rsidR="00BA2A26" w:rsidRPr="006C0F9A" w14:paraId="6C686C2B" w14:textId="77777777" w:rsidTr="004E4C48">
        <w:trPr>
          <w:trHeight w:val="1126"/>
        </w:trPr>
        <w:tc>
          <w:tcPr>
            <w:tcW w:w="567" w:type="dxa"/>
          </w:tcPr>
          <w:p w14:paraId="69DA43C1" w14:textId="4A56DC5D" w:rsidR="00BA2A26" w:rsidRDefault="00BA2A26" w:rsidP="00DC0D46">
            <w:pPr>
              <w:tabs>
                <w:tab w:val="left" w:pos="1701"/>
              </w:tabs>
              <w:rPr>
                <w:b/>
                <w:snapToGrid w:val="0"/>
              </w:rPr>
            </w:pPr>
            <w:r>
              <w:rPr>
                <w:b/>
                <w:snapToGrid w:val="0"/>
              </w:rPr>
              <w:t>§ 11</w:t>
            </w:r>
          </w:p>
        </w:tc>
        <w:tc>
          <w:tcPr>
            <w:tcW w:w="7162" w:type="dxa"/>
          </w:tcPr>
          <w:p w14:paraId="2749D22A" w14:textId="56A8338A" w:rsidR="00BA2A26" w:rsidRDefault="00BA2A26" w:rsidP="00BA2A26">
            <w:pPr>
              <w:widowControl w:val="0"/>
              <w:tabs>
                <w:tab w:val="left" w:pos="1701"/>
              </w:tabs>
              <w:rPr>
                <w:b/>
                <w:bCs/>
              </w:rPr>
            </w:pPr>
            <w:r w:rsidRPr="00BA2A26">
              <w:rPr>
                <w:b/>
                <w:bCs/>
              </w:rPr>
              <w:t>Anmälan av inkomna skrivelser</w:t>
            </w:r>
          </w:p>
          <w:p w14:paraId="0DCE1C8A" w14:textId="77777777" w:rsidR="00BA2A26" w:rsidRPr="00BA2A26" w:rsidRDefault="00BA2A26" w:rsidP="00BA2A26">
            <w:pPr>
              <w:widowControl w:val="0"/>
              <w:tabs>
                <w:tab w:val="left" w:pos="1701"/>
              </w:tabs>
              <w:rPr>
                <w:b/>
                <w:bCs/>
              </w:rPr>
            </w:pPr>
          </w:p>
          <w:p w14:paraId="4E0AF19E" w14:textId="276E0EC0" w:rsidR="00BA2A26" w:rsidRDefault="00BA2A26" w:rsidP="00BA2A26">
            <w:pPr>
              <w:widowControl w:val="0"/>
              <w:tabs>
                <w:tab w:val="left" w:pos="1701"/>
              </w:tabs>
            </w:pPr>
            <w:r>
              <w:t>Inkomna skrivelser anmäldes (d</w:t>
            </w:r>
            <w:r w:rsidRPr="00BA2A26">
              <w:t>nr 1131</w:t>
            </w:r>
            <w:r>
              <w:t>–</w:t>
            </w:r>
            <w:r w:rsidRPr="00BA2A26">
              <w:t>2025/26</w:t>
            </w:r>
            <w:r w:rsidR="008A7173">
              <w:t xml:space="preserve">, </w:t>
            </w:r>
            <w:r>
              <w:t>d</w:t>
            </w:r>
            <w:r w:rsidRPr="00BA2A26">
              <w:t>nr 1236–2025/26</w:t>
            </w:r>
            <w:r w:rsidR="008A7173">
              <w:t xml:space="preserve"> och dnr </w:t>
            </w:r>
            <w:r w:rsidR="008A7173" w:rsidRPr="008A7173">
              <w:t>1308</w:t>
            </w:r>
            <w:r w:rsidR="00EB043C" w:rsidRPr="00EB043C">
              <w:t>–</w:t>
            </w:r>
            <w:r w:rsidR="008A7173" w:rsidRPr="008A7173">
              <w:t>2025/26</w:t>
            </w:r>
            <w:r>
              <w:t>).</w:t>
            </w:r>
          </w:p>
          <w:p w14:paraId="756630BB" w14:textId="09D51172" w:rsidR="00BA2A26" w:rsidRPr="00BA2A26" w:rsidRDefault="00BA2A26" w:rsidP="00BA2A26">
            <w:pPr>
              <w:widowControl w:val="0"/>
              <w:tabs>
                <w:tab w:val="left" w:pos="1701"/>
              </w:tabs>
            </w:pPr>
          </w:p>
        </w:tc>
      </w:tr>
      <w:tr w:rsidR="002E505E" w:rsidRPr="006C0F9A" w14:paraId="33046147" w14:textId="77777777" w:rsidTr="001324AA">
        <w:trPr>
          <w:trHeight w:val="950"/>
        </w:trPr>
        <w:tc>
          <w:tcPr>
            <w:tcW w:w="567" w:type="dxa"/>
          </w:tcPr>
          <w:p w14:paraId="226051D7" w14:textId="2C9D2021" w:rsidR="002E505E" w:rsidRPr="006C0F9A" w:rsidRDefault="002E505E" w:rsidP="002E505E">
            <w:pPr>
              <w:tabs>
                <w:tab w:val="left" w:pos="1701"/>
              </w:tabs>
              <w:rPr>
                <w:b/>
                <w:snapToGrid w:val="0"/>
              </w:rPr>
            </w:pPr>
            <w:r w:rsidRPr="006C0F9A">
              <w:rPr>
                <w:b/>
                <w:snapToGrid w:val="0"/>
              </w:rPr>
              <w:t xml:space="preserve">§ </w:t>
            </w:r>
            <w:r w:rsidR="00BA2A26">
              <w:rPr>
                <w:b/>
                <w:snapToGrid w:val="0"/>
              </w:rPr>
              <w:t>1</w:t>
            </w:r>
            <w:r w:rsidR="00BD1FE4">
              <w:rPr>
                <w:b/>
                <w:snapToGrid w:val="0"/>
              </w:rPr>
              <w:t>2</w:t>
            </w:r>
          </w:p>
        </w:tc>
        <w:tc>
          <w:tcPr>
            <w:tcW w:w="7162" w:type="dxa"/>
          </w:tcPr>
          <w:p w14:paraId="1A717359" w14:textId="22CEF21D" w:rsidR="002E505E" w:rsidRPr="006C0F9A" w:rsidRDefault="002E505E" w:rsidP="002E505E">
            <w:pPr>
              <w:widowControl w:val="0"/>
              <w:tabs>
                <w:tab w:val="left" w:pos="1701"/>
              </w:tabs>
              <w:rPr>
                <w:b/>
              </w:rPr>
            </w:pPr>
            <w:r w:rsidRPr="006C0F9A">
              <w:rPr>
                <w:b/>
              </w:rPr>
              <w:t>Nästa sammanträde</w:t>
            </w:r>
            <w:r>
              <w:rPr>
                <w:b/>
              </w:rPr>
              <w:br/>
            </w:r>
          </w:p>
          <w:p w14:paraId="64307BA5" w14:textId="42F4307F" w:rsidR="002E505E" w:rsidRPr="006C0F9A" w:rsidRDefault="002E505E" w:rsidP="002E505E">
            <w:pPr>
              <w:spacing w:after="200" w:line="280" w:lineRule="exact"/>
              <w:rPr>
                <w:bCs/>
              </w:rPr>
            </w:pPr>
            <w:r w:rsidRPr="000451FD">
              <w:rPr>
                <w:bCs/>
              </w:rPr>
              <w:t xml:space="preserve">Nästa sammanträde äger rum </w:t>
            </w:r>
            <w:r w:rsidR="004E4C48">
              <w:rPr>
                <w:bCs/>
              </w:rPr>
              <w:t>t</w:t>
            </w:r>
            <w:r w:rsidR="00B82097">
              <w:rPr>
                <w:bCs/>
              </w:rPr>
              <w:t>is</w:t>
            </w:r>
            <w:r w:rsidRPr="000451FD">
              <w:rPr>
                <w:bCs/>
              </w:rPr>
              <w:t xml:space="preserve">dagen den </w:t>
            </w:r>
            <w:r w:rsidR="00BA2A26">
              <w:rPr>
                <w:bCs/>
              </w:rPr>
              <w:t>24</w:t>
            </w:r>
            <w:r w:rsidR="00265189">
              <w:rPr>
                <w:bCs/>
              </w:rPr>
              <w:t xml:space="preserve"> februari</w:t>
            </w:r>
            <w:r w:rsidR="00B82097">
              <w:rPr>
                <w:bCs/>
              </w:rPr>
              <w:t xml:space="preserve"> </w:t>
            </w:r>
            <w:r w:rsidRPr="000451FD">
              <w:rPr>
                <w:bCs/>
              </w:rPr>
              <w:t>202</w:t>
            </w:r>
            <w:r w:rsidR="00B82097">
              <w:rPr>
                <w:bCs/>
              </w:rPr>
              <w:t>6</w:t>
            </w:r>
            <w:r w:rsidR="00BA2A26">
              <w:rPr>
                <w:bCs/>
              </w:rPr>
              <w:t xml:space="preserve"> </w:t>
            </w:r>
            <w:r w:rsidRPr="000451FD">
              <w:rPr>
                <w:bCs/>
              </w:rPr>
              <w:t>kl. 1</w:t>
            </w:r>
            <w:r w:rsidR="00A0589F">
              <w:rPr>
                <w:bCs/>
              </w:rPr>
              <w:t>1</w:t>
            </w:r>
            <w:r w:rsidRPr="000451FD">
              <w:rPr>
                <w:bCs/>
              </w:rPr>
              <w:t>.00.</w:t>
            </w:r>
          </w:p>
        </w:tc>
      </w:tr>
      <w:tr w:rsidR="002E505E" w:rsidRPr="006C0F9A" w14:paraId="448A3638" w14:textId="77777777" w:rsidTr="001324AA">
        <w:tc>
          <w:tcPr>
            <w:tcW w:w="7729" w:type="dxa"/>
            <w:gridSpan w:val="2"/>
          </w:tcPr>
          <w:p w14:paraId="1A3C2D8F" w14:textId="77777777" w:rsidR="002E505E" w:rsidRDefault="002E505E" w:rsidP="002E505E">
            <w:pPr>
              <w:tabs>
                <w:tab w:val="left" w:pos="1701"/>
              </w:tabs>
            </w:pPr>
          </w:p>
          <w:p w14:paraId="255F458B" w14:textId="77777777" w:rsidR="002E505E" w:rsidRDefault="002E505E" w:rsidP="002E505E">
            <w:pPr>
              <w:tabs>
                <w:tab w:val="left" w:pos="1701"/>
              </w:tabs>
            </w:pPr>
          </w:p>
          <w:p w14:paraId="413E452E" w14:textId="77777777" w:rsidR="00265189" w:rsidRDefault="00265189" w:rsidP="002E505E">
            <w:pPr>
              <w:tabs>
                <w:tab w:val="left" w:pos="1701"/>
              </w:tabs>
            </w:pPr>
          </w:p>
          <w:p w14:paraId="00DBC1D3" w14:textId="5D0072F1" w:rsidR="002E505E" w:rsidRPr="006C0F9A" w:rsidRDefault="002E505E" w:rsidP="002E505E">
            <w:pPr>
              <w:tabs>
                <w:tab w:val="left" w:pos="1701"/>
              </w:tabs>
            </w:pPr>
            <w:r w:rsidRPr="006C0F9A">
              <w:t>Vid protokollet</w:t>
            </w:r>
          </w:p>
          <w:p w14:paraId="09A7756D" w14:textId="77777777" w:rsidR="002E505E" w:rsidRPr="006C0F9A" w:rsidRDefault="002E505E" w:rsidP="002E505E">
            <w:pPr>
              <w:tabs>
                <w:tab w:val="left" w:pos="1701"/>
              </w:tabs>
            </w:pPr>
          </w:p>
          <w:p w14:paraId="78508BCB" w14:textId="77777777" w:rsidR="002E505E" w:rsidRPr="006C0F9A" w:rsidRDefault="002E505E" w:rsidP="002E505E">
            <w:pPr>
              <w:tabs>
                <w:tab w:val="left" w:pos="1701"/>
              </w:tabs>
            </w:pPr>
          </w:p>
          <w:p w14:paraId="450FF51A" w14:textId="77777777" w:rsidR="002E505E" w:rsidRPr="006C0F9A" w:rsidRDefault="002E505E" w:rsidP="002E505E">
            <w:pPr>
              <w:tabs>
                <w:tab w:val="left" w:pos="1701"/>
              </w:tabs>
            </w:pPr>
            <w:r w:rsidRPr="006C0F9A">
              <w:t>Bibi Junttila</w:t>
            </w:r>
          </w:p>
          <w:p w14:paraId="103ABC8B" w14:textId="77777777" w:rsidR="002E505E" w:rsidRPr="006C0F9A" w:rsidRDefault="002E505E" w:rsidP="002E505E">
            <w:pPr>
              <w:tabs>
                <w:tab w:val="left" w:pos="1701"/>
              </w:tabs>
            </w:pPr>
          </w:p>
          <w:p w14:paraId="385FC8A9" w14:textId="77777777" w:rsidR="002E505E" w:rsidRPr="006C0F9A" w:rsidRDefault="002E505E" w:rsidP="002E505E">
            <w:pPr>
              <w:tabs>
                <w:tab w:val="left" w:pos="1701"/>
              </w:tabs>
            </w:pPr>
          </w:p>
          <w:p w14:paraId="4DA1BCA8" w14:textId="42EEC5ED" w:rsidR="002E505E" w:rsidRPr="006C0F9A" w:rsidRDefault="002E505E" w:rsidP="002E505E">
            <w:pPr>
              <w:tabs>
                <w:tab w:val="left" w:pos="1701"/>
              </w:tabs>
            </w:pPr>
            <w:r w:rsidRPr="006C0F9A">
              <w:t xml:space="preserve">Justeras den </w:t>
            </w:r>
            <w:r w:rsidR="00FF14C6">
              <w:t>24</w:t>
            </w:r>
            <w:r w:rsidR="00265189">
              <w:t xml:space="preserve"> februari</w:t>
            </w:r>
            <w:r>
              <w:t xml:space="preserve"> </w:t>
            </w:r>
            <w:r w:rsidRPr="006C0F9A">
              <w:t>202</w:t>
            </w:r>
            <w:r w:rsidR="00CD12E4">
              <w:t>6</w:t>
            </w:r>
          </w:p>
          <w:p w14:paraId="50CF5AE3" w14:textId="77777777" w:rsidR="002E505E" w:rsidRPr="006C0F9A" w:rsidRDefault="002E505E" w:rsidP="002E505E">
            <w:pPr>
              <w:tabs>
                <w:tab w:val="left" w:pos="1701"/>
              </w:tabs>
            </w:pPr>
          </w:p>
          <w:p w14:paraId="3DDE98D9" w14:textId="77777777" w:rsidR="002E505E" w:rsidRPr="006C0F9A" w:rsidRDefault="002E505E" w:rsidP="002E505E">
            <w:pPr>
              <w:tabs>
                <w:tab w:val="left" w:pos="1701"/>
              </w:tabs>
            </w:pPr>
          </w:p>
          <w:p w14:paraId="540E52C5" w14:textId="4239BDB3" w:rsidR="002E505E" w:rsidRPr="006C0F9A" w:rsidRDefault="002E505E" w:rsidP="002E505E">
            <w:pPr>
              <w:tabs>
                <w:tab w:val="left" w:pos="1701"/>
              </w:tabs>
            </w:pPr>
            <w:r w:rsidRPr="006C0F9A">
              <w:t>Tobias Andersson</w:t>
            </w:r>
            <w:r>
              <w:br/>
            </w:r>
          </w:p>
        </w:tc>
      </w:tr>
    </w:tbl>
    <w:p w14:paraId="537A56E6" w14:textId="77777777" w:rsidR="00D472C7" w:rsidRDefault="00D472C7" w:rsidP="00443980">
      <w:bookmarkStart w:id="0" w:name="_Hlk97030853"/>
      <w:bookmarkStart w:id="1" w:name="_Hlk146185070"/>
    </w:p>
    <w:p w14:paraId="77885130" w14:textId="77777777" w:rsidR="00BD1FE4" w:rsidRDefault="00BD1FE4">
      <w:r>
        <w:br w:type="page"/>
      </w:r>
    </w:p>
    <w:p w14:paraId="34D231D7" w14:textId="61FE657D" w:rsidR="00141DEF" w:rsidRDefault="00255BCF" w:rsidP="00443980">
      <w:r>
        <w:lastRenderedPageBreak/>
        <w:br/>
      </w:r>
    </w:p>
    <w:tbl>
      <w:tblPr>
        <w:tblW w:w="9580" w:type="dxa"/>
        <w:tblInd w:w="21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397"/>
        <w:gridCol w:w="431"/>
        <w:gridCol w:w="425"/>
        <w:gridCol w:w="283"/>
        <w:gridCol w:w="426"/>
        <w:gridCol w:w="425"/>
        <w:gridCol w:w="604"/>
        <w:gridCol w:w="388"/>
        <w:gridCol w:w="11"/>
      </w:tblGrid>
      <w:tr w:rsidR="001D165A" w14:paraId="66CEFB4D" w14:textId="77777777" w:rsidTr="00630C03">
        <w:tc>
          <w:tcPr>
            <w:tcW w:w="3190" w:type="dxa"/>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Pr>
          <w:p w14:paraId="7CF80EFD" w14:textId="77777777" w:rsidR="001D165A" w:rsidRDefault="001D165A" w:rsidP="00FD0762">
            <w:pPr>
              <w:tabs>
                <w:tab w:val="left" w:pos="1701"/>
              </w:tabs>
              <w:rPr>
                <w:b/>
                <w:sz w:val="20"/>
              </w:rPr>
            </w:pPr>
          </w:p>
        </w:tc>
        <w:tc>
          <w:tcPr>
            <w:tcW w:w="1854" w:type="dxa"/>
            <w:gridSpan w:val="5"/>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778EB4F9"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125585">
              <w:rPr>
                <w:sz w:val="20"/>
              </w:rPr>
              <w:t>1</w:t>
            </w:r>
            <w:r w:rsidR="00FF14C6">
              <w:rPr>
                <w:sz w:val="20"/>
              </w:rPr>
              <w:t>8</w:t>
            </w:r>
          </w:p>
        </w:tc>
      </w:tr>
      <w:tr w:rsidR="001D165A" w14:paraId="0DF86746" w14:textId="77777777" w:rsidTr="00630C03">
        <w:tc>
          <w:tcPr>
            <w:tcW w:w="3190" w:type="dxa"/>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Pr>
          <w:p w14:paraId="606EF182" w14:textId="0065F1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6E2B44">
              <w:rPr>
                <w:sz w:val="22"/>
                <w:szCs w:val="22"/>
              </w:rPr>
              <w:t>–</w:t>
            </w:r>
            <w:r w:rsidR="00BD1FE4">
              <w:rPr>
                <w:sz w:val="22"/>
                <w:szCs w:val="22"/>
              </w:rPr>
              <w:t>12</w:t>
            </w:r>
          </w:p>
        </w:tc>
        <w:tc>
          <w:tcPr>
            <w:tcW w:w="818" w:type="dxa"/>
            <w:gridSpan w:val="2"/>
          </w:tcPr>
          <w:p w14:paraId="1B33DFD2" w14:textId="38C19C0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Pr>
          <w:p w14:paraId="301E3BBB" w14:textId="687ECDF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45" w:type="dxa"/>
            <w:gridSpan w:val="2"/>
          </w:tcPr>
          <w:p w14:paraId="12E63081" w14:textId="0CAD2C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Pr>
          <w:p w14:paraId="23DF87DA" w14:textId="24CDF7EE"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1003" w:type="dxa"/>
            <w:gridSpan w:val="3"/>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630C03">
        <w:trPr>
          <w:gridAfter w:val="1"/>
          <w:wAfter w:w="11" w:type="dxa"/>
        </w:trPr>
        <w:tc>
          <w:tcPr>
            <w:tcW w:w="3190" w:type="dxa"/>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Pr>
          <w:p w14:paraId="0D94B8A1" w14:textId="67DC89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D7BAB4B" w14:textId="07EB4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630C03">
        <w:trPr>
          <w:gridAfter w:val="1"/>
          <w:wAfter w:w="11" w:type="dxa"/>
        </w:trPr>
        <w:tc>
          <w:tcPr>
            <w:tcW w:w="3190" w:type="dxa"/>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630C03">
        <w:trPr>
          <w:gridAfter w:val="1"/>
          <w:wAfter w:w="11" w:type="dxa"/>
        </w:trPr>
        <w:tc>
          <w:tcPr>
            <w:tcW w:w="3190" w:type="dxa"/>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Pr>
          <w:p w14:paraId="5F24ACA1" w14:textId="497D87FA"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0C436AC" w14:textId="768AD3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9DC392" w14:textId="3430A9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1C98D9F" w14:textId="7D4AA54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4C0846F6" w14:textId="7EF44D6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5310E" w:rsidRPr="00EB043C" w14:paraId="21E23237" w14:textId="77777777" w:rsidTr="00630C03">
        <w:trPr>
          <w:gridAfter w:val="1"/>
          <w:wAfter w:w="11" w:type="dxa"/>
        </w:trPr>
        <w:tc>
          <w:tcPr>
            <w:tcW w:w="3190" w:type="dxa"/>
          </w:tcPr>
          <w:p w14:paraId="6B816ACF" w14:textId="15C50485"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sidRPr="00F5310E">
              <w:rPr>
                <w:sz w:val="20"/>
                <w:lang w:val="en-US"/>
              </w:rPr>
              <w:t xml:space="preserve">Anders </w:t>
            </w:r>
            <w:proofErr w:type="spellStart"/>
            <w:r w:rsidRPr="00F5310E">
              <w:rPr>
                <w:sz w:val="20"/>
                <w:lang w:val="en-US"/>
              </w:rPr>
              <w:t>Ådahl</w:t>
            </w:r>
            <w:proofErr w:type="spellEnd"/>
            <w:r w:rsidRPr="00F5310E">
              <w:rPr>
                <w:sz w:val="20"/>
                <w:lang w:val="en-US"/>
              </w:rPr>
              <w:t xml:space="preserve"> (C), vice </w:t>
            </w:r>
            <w:proofErr w:type="spellStart"/>
            <w:r w:rsidRPr="00F5310E">
              <w:rPr>
                <w:sz w:val="20"/>
                <w:lang w:val="en-US"/>
              </w:rPr>
              <w:t>o</w:t>
            </w:r>
            <w:r>
              <w:rPr>
                <w:sz w:val="20"/>
                <w:lang w:val="en-US"/>
              </w:rPr>
              <w:t>rdf</w:t>
            </w:r>
            <w:proofErr w:type="spellEnd"/>
            <w:r>
              <w:rPr>
                <w:sz w:val="20"/>
                <w:lang w:val="en-US"/>
              </w:rPr>
              <w:t>.</w:t>
            </w:r>
          </w:p>
        </w:tc>
        <w:tc>
          <w:tcPr>
            <w:tcW w:w="449" w:type="dxa"/>
          </w:tcPr>
          <w:p w14:paraId="5EEB854D" w14:textId="6FD663AD" w:rsidR="00F5310E" w:rsidRPr="00F5310E"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0C65CFCA"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38E132AE" w14:textId="46EAD44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3261FCD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42D0CA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F4B795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0D7B2FF7"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49EBC81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7568A88B"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B16DC8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717D10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7BB0881"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D422C9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4EB52360"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161AEC26"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630C03">
        <w:trPr>
          <w:gridAfter w:val="1"/>
          <w:wAfter w:w="11" w:type="dxa"/>
        </w:trPr>
        <w:tc>
          <w:tcPr>
            <w:tcW w:w="3190" w:type="dxa"/>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Pr>
          <w:p w14:paraId="3366335F" w14:textId="0EBAC63B"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563F8A2D" w14:textId="39DE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0B5930A" w14:textId="367618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4B2F61DB" w14:textId="1007DC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25E2374D" w14:textId="77298C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630C03">
        <w:trPr>
          <w:gridAfter w:val="1"/>
          <w:wAfter w:w="11" w:type="dxa"/>
        </w:trPr>
        <w:tc>
          <w:tcPr>
            <w:tcW w:w="3190" w:type="dxa"/>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Pr>
          <w:p w14:paraId="03DD9B83" w14:textId="2E538BF1"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0D4FA10A" w14:textId="29B263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750724A" w14:textId="2795922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4D34E95" w14:textId="01C38D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973B1CE" w14:textId="0F2E64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630C03">
        <w:trPr>
          <w:gridAfter w:val="1"/>
          <w:wAfter w:w="11" w:type="dxa"/>
        </w:trPr>
        <w:tc>
          <w:tcPr>
            <w:tcW w:w="3190" w:type="dxa"/>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Pr>
          <w:p w14:paraId="4CE452AC" w14:textId="562C7377"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073920D" w14:textId="42E941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32B0EC" w14:textId="5DCDB71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C4657E0" w14:textId="58ED13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CB8D627" w14:textId="2E3596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630C03">
        <w:trPr>
          <w:gridAfter w:val="1"/>
          <w:wAfter w:w="11" w:type="dxa"/>
        </w:trPr>
        <w:tc>
          <w:tcPr>
            <w:tcW w:w="3190" w:type="dxa"/>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Pr>
          <w:p w14:paraId="119454CF" w14:textId="0256910C"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72D56A63" w14:textId="3B9CD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416FA42" w14:textId="1C653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7E4E4C8" w14:textId="4A0C2CA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8EC02F" w14:textId="758352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630C03">
        <w:trPr>
          <w:gridAfter w:val="1"/>
          <w:wAfter w:w="11" w:type="dxa"/>
        </w:trPr>
        <w:tc>
          <w:tcPr>
            <w:tcW w:w="3190" w:type="dxa"/>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Pr>
          <w:p w14:paraId="723B6279" w14:textId="4E0733A7"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7B0A1F0" w14:textId="0B0E30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B526917" w14:textId="7BB326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1D12B3F" w14:textId="4B451D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5813955" w14:textId="0328B2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630C03">
        <w:trPr>
          <w:gridAfter w:val="1"/>
          <w:wAfter w:w="11" w:type="dxa"/>
        </w:trPr>
        <w:tc>
          <w:tcPr>
            <w:tcW w:w="3190" w:type="dxa"/>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Pr>
          <w:p w14:paraId="7F2A689D" w14:textId="055573A7"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27E68A7" w14:textId="3A5A19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287A17" w14:textId="6F95AFC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90579A9" w14:textId="383A14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7CA9A69" w14:textId="39060D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630C03">
        <w:trPr>
          <w:gridAfter w:val="1"/>
          <w:wAfter w:w="11" w:type="dxa"/>
        </w:trPr>
        <w:tc>
          <w:tcPr>
            <w:tcW w:w="3190" w:type="dxa"/>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Pr>
          <w:p w14:paraId="37DC03D7" w14:textId="3A4279F4"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24ADABE" w14:textId="2D9586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EBFCC9" w14:textId="4973E7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27B14CD" w14:textId="29EB7D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F4A1DDC" w14:textId="2B59AA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630C03">
        <w:trPr>
          <w:gridAfter w:val="1"/>
          <w:wAfter w:w="11" w:type="dxa"/>
        </w:trPr>
        <w:tc>
          <w:tcPr>
            <w:tcW w:w="3190" w:type="dxa"/>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Pr>
          <w:p w14:paraId="3AE85469" w14:textId="234D4688"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5A20467" w14:textId="5C6466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7829684" w14:textId="675B8B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76264B" w14:textId="7EFECE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B5BB87" w14:textId="3D1238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630C03">
        <w:trPr>
          <w:gridAfter w:val="1"/>
          <w:wAfter w:w="11" w:type="dxa"/>
        </w:trPr>
        <w:tc>
          <w:tcPr>
            <w:tcW w:w="3190" w:type="dxa"/>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Pr>
          <w:p w14:paraId="6FE2AD41" w14:textId="2361C0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57AE0EB" w14:textId="12C45E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E8CC899" w14:textId="439476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98CC2C8" w14:textId="086FC9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9CFC165" w14:textId="32C9F2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630C03">
        <w:trPr>
          <w:gridAfter w:val="1"/>
          <w:wAfter w:w="11" w:type="dxa"/>
        </w:trPr>
        <w:tc>
          <w:tcPr>
            <w:tcW w:w="3190" w:type="dxa"/>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Pr>
          <w:p w14:paraId="162330C2" w14:textId="66978E6B"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8C8234" w14:textId="127AA70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01B1D47" w14:textId="45DA35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6F1FFF2" w14:textId="7A31AC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2C1D2BC" w14:textId="6A6D32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630C03">
        <w:trPr>
          <w:gridAfter w:val="1"/>
          <w:wAfter w:w="11" w:type="dxa"/>
        </w:trPr>
        <w:tc>
          <w:tcPr>
            <w:tcW w:w="3190" w:type="dxa"/>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Pr>
          <w:p w14:paraId="3506A5F9" w14:textId="5F3F95DB"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35F66BE" w14:textId="0665A3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3FD303B" w14:textId="1C0ED9E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AA41324" w14:textId="2B943B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2157091A" w14:textId="62F9FE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630C03">
        <w:trPr>
          <w:gridAfter w:val="1"/>
          <w:wAfter w:w="11" w:type="dxa"/>
        </w:trPr>
        <w:tc>
          <w:tcPr>
            <w:tcW w:w="3190" w:type="dxa"/>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Pr>
          <w:p w14:paraId="7F8A02B2" w14:textId="2564DD7C"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63146BE0" w14:textId="0437E9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630C03">
        <w:trPr>
          <w:gridAfter w:val="1"/>
          <w:wAfter w:w="11" w:type="dxa"/>
        </w:trPr>
        <w:tc>
          <w:tcPr>
            <w:tcW w:w="3190" w:type="dxa"/>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Pr>
          <w:p w14:paraId="7CA30006" w14:textId="2991993E"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0306767" w14:textId="6FF7EE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31C6FB2" w14:textId="4D357E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F457081" w14:textId="1F40FB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B606DE8" w14:textId="013668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630C03">
        <w:trPr>
          <w:gridAfter w:val="1"/>
          <w:wAfter w:w="11" w:type="dxa"/>
        </w:trPr>
        <w:tc>
          <w:tcPr>
            <w:tcW w:w="3190" w:type="dxa"/>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Pr>
          <w:p w14:paraId="25A2B47F" w14:textId="51B0A608"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7ED43B6" w14:textId="652177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B1D0955" w14:textId="45811E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4A1001F" w14:textId="6FB93E4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55360CA" w14:textId="46240A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630C03">
        <w:trPr>
          <w:gridAfter w:val="1"/>
          <w:wAfter w:w="11" w:type="dxa"/>
        </w:trPr>
        <w:tc>
          <w:tcPr>
            <w:tcW w:w="3190" w:type="dxa"/>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Pr>
          <w:p w14:paraId="25A2BC52" w14:textId="00DE57D4"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EE2E086" w14:textId="15794E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4E2448C" w14:textId="6CC7CA7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7D0EEB4" w14:textId="5104AC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6F94A19" w14:textId="403875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630C03">
        <w:trPr>
          <w:gridAfter w:val="1"/>
          <w:wAfter w:w="11" w:type="dxa"/>
        </w:trPr>
        <w:tc>
          <w:tcPr>
            <w:tcW w:w="3190" w:type="dxa"/>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630C03">
        <w:trPr>
          <w:gridAfter w:val="1"/>
          <w:wAfter w:w="11" w:type="dxa"/>
        </w:trPr>
        <w:tc>
          <w:tcPr>
            <w:tcW w:w="3190" w:type="dxa"/>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Pr>
          <w:p w14:paraId="2A49C47D" w14:textId="0404C8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AE7D274" w14:textId="69BEAA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ECE12A0" w14:textId="46C3404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E7F2F79" w14:textId="0410BF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630C03">
        <w:trPr>
          <w:gridAfter w:val="1"/>
          <w:wAfter w:w="11" w:type="dxa"/>
        </w:trPr>
        <w:tc>
          <w:tcPr>
            <w:tcW w:w="3190" w:type="dxa"/>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Pr>
          <w:p w14:paraId="202D0A56" w14:textId="441972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C50DBAB" w14:textId="1E5328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97AAB3" w14:textId="6DCAF6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BC7F996" w14:textId="6B9929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CDD2EF7" w14:textId="3484F4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630C03">
        <w:trPr>
          <w:gridAfter w:val="1"/>
          <w:wAfter w:w="11" w:type="dxa"/>
        </w:trPr>
        <w:tc>
          <w:tcPr>
            <w:tcW w:w="3190" w:type="dxa"/>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B043C" w14:paraId="2A0CF4BE" w14:textId="77777777" w:rsidTr="00630C03">
        <w:trPr>
          <w:gridAfter w:val="1"/>
          <w:wAfter w:w="11" w:type="dxa"/>
        </w:trPr>
        <w:tc>
          <w:tcPr>
            <w:tcW w:w="3190" w:type="dxa"/>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Pr>
          <w:p w14:paraId="7EF91ABC" w14:textId="6CDC081A" w:rsidR="001D165A" w:rsidRPr="00F8082F"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Pr>
          <w:p w14:paraId="16B1D73F" w14:textId="529F12D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45EE1583" w14:textId="7C06BD7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Pr>
          <w:p w14:paraId="2092DA06" w14:textId="347BC685"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7" w:type="dxa"/>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1" w:type="dxa"/>
          </w:tcPr>
          <w:p w14:paraId="19D4C925" w14:textId="775289C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630C03">
        <w:trPr>
          <w:gridAfter w:val="1"/>
          <w:wAfter w:w="11" w:type="dxa"/>
        </w:trPr>
        <w:tc>
          <w:tcPr>
            <w:tcW w:w="3190" w:type="dxa"/>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630C03">
        <w:trPr>
          <w:gridAfter w:val="1"/>
          <w:wAfter w:w="11" w:type="dxa"/>
        </w:trPr>
        <w:tc>
          <w:tcPr>
            <w:tcW w:w="3190" w:type="dxa"/>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630C03">
        <w:trPr>
          <w:gridAfter w:val="1"/>
          <w:wAfter w:w="11" w:type="dxa"/>
        </w:trPr>
        <w:tc>
          <w:tcPr>
            <w:tcW w:w="3190" w:type="dxa"/>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630C03">
        <w:trPr>
          <w:gridAfter w:val="1"/>
          <w:wAfter w:w="11" w:type="dxa"/>
        </w:trPr>
        <w:tc>
          <w:tcPr>
            <w:tcW w:w="3190" w:type="dxa"/>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630C03">
        <w:trPr>
          <w:gridAfter w:val="1"/>
          <w:wAfter w:w="11" w:type="dxa"/>
        </w:trPr>
        <w:tc>
          <w:tcPr>
            <w:tcW w:w="3190" w:type="dxa"/>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630C03">
        <w:trPr>
          <w:gridAfter w:val="1"/>
          <w:wAfter w:w="11" w:type="dxa"/>
        </w:trPr>
        <w:tc>
          <w:tcPr>
            <w:tcW w:w="3190" w:type="dxa"/>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Pr>
          <w:p w14:paraId="500DFB3C" w14:textId="2869F3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22642B98" w14:textId="3C2F6D5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9CCD6D0" w14:textId="47E1CA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630C03">
        <w:trPr>
          <w:gridAfter w:val="1"/>
          <w:wAfter w:w="11" w:type="dxa"/>
        </w:trPr>
        <w:tc>
          <w:tcPr>
            <w:tcW w:w="3190" w:type="dxa"/>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630C03">
        <w:trPr>
          <w:gridAfter w:val="1"/>
          <w:wAfter w:w="11" w:type="dxa"/>
        </w:trPr>
        <w:tc>
          <w:tcPr>
            <w:tcW w:w="3190" w:type="dxa"/>
          </w:tcPr>
          <w:p w14:paraId="448EEBC2" w14:textId="41B650DD" w:rsidR="001D165A" w:rsidRDefault="000C73D0" w:rsidP="00FD0762">
            <w:pPr>
              <w:tabs>
                <w:tab w:val="left" w:pos="1985"/>
              </w:tabs>
              <w:rPr>
                <w:snapToGrid w:val="0"/>
                <w:color w:val="000000"/>
                <w:sz w:val="20"/>
              </w:rPr>
            </w:pPr>
            <w:r>
              <w:rPr>
                <w:snapToGrid w:val="0"/>
                <w:color w:val="000000"/>
                <w:sz w:val="20"/>
              </w:rPr>
              <w:t xml:space="preserve">Håkan </w:t>
            </w:r>
            <w:proofErr w:type="spellStart"/>
            <w:r>
              <w:rPr>
                <w:snapToGrid w:val="0"/>
                <w:color w:val="000000"/>
                <w:sz w:val="20"/>
              </w:rPr>
              <w:t>Svenneling</w:t>
            </w:r>
            <w:proofErr w:type="spellEnd"/>
            <w:r w:rsidR="001D165A" w:rsidRPr="005C4C7B">
              <w:rPr>
                <w:snapToGrid w:val="0"/>
                <w:color w:val="000000"/>
                <w:sz w:val="20"/>
              </w:rPr>
              <w:t xml:space="preserve"> (V)</w:t>
            </w:r>
          </w:p>
        </w:tc>
        <w:tc>
          <w:tcPr>
            <w:tcW w:w="449" w:type="dxa"/>
          </w:tcPr>
          <w:p w14:paraId="39F75129" w14:textId="5B905A9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B7CBFF1" w14:textId="01E8D0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228019C" w14:textId="72CB77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92BF33" w14:textId="07ACF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630C03">
        <w:trPr>
          <w:gridAfter w:val="1"/>
          <w:wAfter w:w="11" w:type="dxa"/>
        </w:trPr>
        <w:tc>
          <w:tcPr>
            <w:tcW w:w="3190" w:type="dxa"/>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Pr>
          <w:p w14:paraId="736FB1DE" w14:textId="502FAE1A" w:rsidR="001D165A"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EE0BC0B" w14:textId="4AD24E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A7DF282" w14:textId="29D866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DE72812" w14:textId="17CB1A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E5827E5" w14:textId="76723E4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630C03">
        <w:trPr>
          <w:gridAfter w:val="1"/>
          <w:wAfter w:w="11" w:type="dxa"/>
        </w:trPr>
        <w:tc>
          <w:tcPr>
            <w:tcW w:w="3190" w:type="dxa"/>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Pr>
          <w:p w14:paraId="0CE1085D" w14:textId="6D06D9B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3111289" w14:textId="14E3E2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55B5F" w14:textId="099ADB8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4F5E3BF" w14:textId="111264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E71B3D6" w14:textId="65733D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630C03">
        <w:trPr>
          <w:gridAfter w:val="1"/>
          <w:wAfter w:w="11" w:type="dxa"/>
        </w:trPr>
        <w:tc>
          <w:tcPr>
            <w:tcW w:w="3190" w:type="dxa"/>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630C03">
        <w:trPr>
          <w:gridAfter w:val="1"/>
          <w:wAfter w:w="11" w:type="dxa"/>
        </w:trPr>
        <w:tc>
          <w:tcPr>
            <w:tcW w:w="3190" w:type="dxa"/>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Pr>
          <w:p w14:paraId="4D439C68" w14:textId="6DD3B1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767DB16" w14:textId="5EAEA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7606572" w14:textId="586500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A5F84DF" w14:textId="056395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630C03">
        <w:trPr>
          <w:gridAfter w:val="1"/>
          <w:wAfter w:w="11" w:type="dxa"/>
        </w:trPr>
        <w:tc>
          <w:tcPr>
            <w:tcW w:w="3190" w:type="dxa"/>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Pr>
          <w:p w14:paraId="064EAEAF" w14:textId="50370CF6" w:rsidR="004E1691" w:rsidRDefault="00EB043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C0216DF" w14:textId="1259435D"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68609F3" w14:textId="6D592032"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95B19C4" w14:textId="20E84EA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630C03">
        <w:trPr>
          <w:gridAfter w:val="1"/>
          <w:wAfter w:w="11" w:type="dxa"/>
        </w:trPr>
        <w:tc>
          <w:tcPr>
            <w:tcW w:w="3190" w:type="dxa"/>
          </w:tcPr>
          <w:p w14:paraId="7AA7EF15" w14:textId="77777777" w:rsidR="001D165A" w:rsidRDefault="001D165A" w:rsidP="00FD0762">
            <w:pPr>
              <w:rPr>
                <w:sz w:val="20"/>
              </w:rPr>
            </w:pPr>
            <w:r w:rsidRPr="007E2968">
              <w:rPr>
                <w:sz w:val="20"/>
              </w:rPr>
              <w:t>Mattias Karlsson i Norrhult (SD)</w:t>
            </w:r>
          </w:p>
        </w:tc>
        <w:tc>
          <w:tcPr>
            <w:tcW w:w="449" w:type="dxa"/>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630C03">
        <w:trPr>
          <w:gridAfter w:val="1"/>
          <w:wAfter w:w="11" w:type="dxa"/>
        </w:trPr>
        <w:tc>
          <w:tcPr>
            <w:tcW w:w="3190" w:type="dxa"/>
          </w:tcPr>
          <w:p w14:paraId="1CABCE56" w14:textId="77777777" w:rsidR="001D165A" w:rsidRDefault="001D165A" w:rsidP="00FD0762">
            <w:pPr>
              <w:rPr>
                <w:sz w:val="20"/>
              </w:rPr>
            </w:pPr>
            <w:r w:rsidRPr="007E2968">
              <w:rPr>
                <w:sz w:val="20"/>
              </w:rPr>
              <w:t>Ulf Lindholm (SD)</w:t>
            </w:r>
          </w:p>
        </w:tc>
        <w:tc>
          <w:tcPr>
            <w:tcW w:w="449" w:type="dxa"/>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4EDA188F" w14:textId="77777777" w:rsidTr="00630C03">
        <w:trPr>
          <w:gridAfter w:val="1"/>
          <w:wAfter w:w="11" w:type="dxa"/>
        </w:trPr>
        <w:tc>
          <w:tcPr>
            <w:tcW w:w="3190" w:type="dxa"/>
          </w:tcPr>
          <w:p w14:paraId="2FC282DE" w14:textId="4695CE03" w:rsidR="000C73D0" w:rsidRPr="007E2968" w:rsidRDefault="000C73D0" w:rsidP="00FD0762">
            <w:pPr>
              <w:rPr>
                <w:sz w:val="20"/>
              </w:rPr>
            </w:pPr>
            <w:r>
              <w:rPr>
                <w:sz w:val="20"/>
              </w:rPr>
              <w:t xml:space="preserve">Samuel </w:t>
            </w:r>
            <w:r w:rsidRPr="000C73D0">
              <w:rPr>
                <w:sz w:val="20"/>
              </w:rPr>
              <w:t>Gonzalez Westling</w:t>
            </w:r>
            <w:r>
              <w:rPr>
                <w:sz w:val="20"/>
              </w:rPr>
              <w:t xml:space="preserve"> (V)</w:t>
            </w:r>
          </w:p>
        </w:tc>
        <w:tc>
          <w:tcPr>
            <w:tcW w:w="449" w:type="dxa"/>
          </w:tcPr>
          <w:p w14:paraId="54235CF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B2FD5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CAD2175"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E96A49"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9F31C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44C50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C4695E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AF2619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F95C18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2F422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30A66C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116B7F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9D45D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F8E312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CFFDD5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D12E4" w14:paraId="1DEFDFCE" w14:textId="77777777" w:rsidTr="00630C03">
        <w:trPr>
          <w:gridAfter w:val="1"/>
          <w:wAfter w:w="11" w:type="dxa"/>
        </w:trPr>
        <w:tc>
          <w:tcPr>
            <w:tcW w:w="3190" w:type="dxa"/>
          </w:tcPr>
          <w:p w14:paraId="642CDBAA" w14:textId="4410165D" w:rsidR="00CD12E4" w:rsidRDefault="00CD12E4" w:rsidP="00FD0762">
            <w:pPr>
              <w:rPr>
                <w:sz w:val="20"/>
              </w:rPr>
            </w:pPr>
            <w:r w:rsidRPr="00CD12E4">
              <w:rPr>
                <w:sz w:val="20"/>
              </w:rPr>
              <w:t xml:space="preserve">Catarina </w:t>
            </w:r>
            <w:proofErr w:type="spellStart"/>
            <w:r w:rsidRPr="00CD12E4">
              <w:rPr>
                <w:sz w:val="20"/>
              </w:rPr>
              <w:t>Deremar</w:t>
            </w:r>
            <w:proofErr w:type="spellEnd"/>
            <w:r>
              <w:rPr>
                <w:sz w:val="20"/>
              </w:rPr>
              <w:t xml:space="preserve"> (C)</w:t>
            </w:r>
          </w:p>
        </w:tc>
        <w:tc>
          <w:tcPr>
            <w:tcW w:w="449" w:type="dxa"/>
          </w:tcPr>
          <w:p w14:paraId="27F3E512" w14:textId="36F251F1"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2A7B4FC"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6D71266"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E987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0F79FC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6B9B89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DEA3E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E64456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7C7FDFA"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E672D12"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738EFC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5419F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B73C1D7"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2E00AA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8068A2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630C03">
        <w:trPr>
          <w:gridAfter w:val="1"/>
          <w:wAfter w:w="11" w:type="dxa"/>
        </w:trPr>
        <w:tc>
          <w:tcPr>
            <w:tcW w:w="3190" w:type="dxa"/>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630C03">
        <w:trPr>
          <w:gridAfter w:val="1"/>
          <w:wAfter w:w="11" w:type="dxa"/>
        </w:trPr>
        <w:tc>
          <w:tcPr>
            <w:tcW w:w="3190" w:type="dxa"/>
          </w:tcPr>
          <w:p w14:paraId="429D9785" w14:textId="77777777" w:rsidR="001D165A" w:rsidRDefault="001D165A" w:rsidP="00FD0762">
            <w:pPr>
              <w:rPr>
                <w:sz w:val="20"/>
              </w:rPr>
            </w:pPr>
            <w:r w:rsidRPr="007E2968">
              <w:rPr>
                <w:sz w:val="20"/>
              </w:rPr>
              <w:t>Cecilia Engström (KD)</w:t>
            </w:r>
          </w:p>
        </w:tc>
        <w:tc>
          <w:tcPr>
            <w:tcW w:w="449" w:type="dxa"/>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630C03">
        <w:trPr>
          <w:gridAfter w:val="1"/>
          <w:wAfter w:w="11" w:type="dxa"/>
        </w:trPr>
        <w:tc>
          <w:tcPr>
            <w:tcW w:w="3190" w:type="dxa"/>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630C03">
        <w:trPr>
          <w:gridAfter w:val="1"/>
          <w:wAfter w:w="11" w:type="dxa"/>
        </w:trPr>
        <w:tc>
          <w:tcPr>
            <w:tcW w:w="3190" w:type="dxa"/>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630C03">
        <w:trPr>
          <w:gridAfter w:val="1"/>
          <w:wAfter w:w="11" w:type="dxa"/>
        </w:trPr>
        <w:tc>
          <w:tcPr>
            <w:tcW w:w="3190" w:type="dxa"/>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630C03">
        <w:trPr>
          <w:gridAfter w:val="1"/>
          <w:wAfter w:w="11" w:type="dxa"/>
        </w:trPr>
        <w:tc>
          <w:tcPr>
            <w:tcW w:w="3190" w:type="dxa"/>
          </w:tcPr>
          <w:p w14:paraId="426D8B8D" w14:textId="31715DB1" w:rsidR="001D165A" w:rsidRPr="007E2968" w:rsidRDefault="00246B5F" w:rsidP="00FD0762">
            <w:pPr>
              <w:rPr>
                <w:sz w:val="20"/>
              </w:rPr>
            </w:pPr>
            <w:r>
              <w:rPr>
                <w:sz w:val="20"/>
              </w:rPr>
              <w:t>Mats Persson (L)</w:t>
            </w:r>
          </w:p>
        </w:tc>
        <w:tc>
          <w:tcPr>
            <w:tcW w:w="449" w:type="dxa"/>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630C03">
        <w:trPr>
          <w:gridAfter w:val="1"/>
          <w:wAfter w:w="11" w:type="dxa"/>
        </w:trPr>
        <w:tc>
          <w:tcPr>
            <w:tcW w:w="3190" w:type="dxa"/>
          </w:tcPr>
          <w:p w14:paraId="10478B7C" w14:textId="0CC827D0" w:rsidR="001D165A" w:rsidRPr="00A139B7" w:rsidRDefault="001D165A" w:rsidP="00FD0762">
            <w:pPr>
              <w:rPr>
                <w:sz w:val="20"/>
              </w:rPr>
            </w:pPr>
            <w:r>
              <w:rPr>
                <w:sz w:val="20"/>
              </w:rPr>
              <w:t>Andrea Andersson Tay (V)</w:t>
            </w:r>
          </w:p>
        </w:tc>
        <w:tc>
          <w:tcPr>
            <w:tcW w:w="449" w:type="dxa"/>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630C03">
        <w:trPr>
          <w:trHeight w:val="263"/>
        </w:trPr>
        <w:tc>
          <w:tcPr>
            <w:tcW w:w="3190" w:type="dxa"/>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630C03">
        <w:trPr>
          <w:trHeight w:val="262"/>
        </w:trPr>
        <w:tc>
          <w:tcPr>
            <w:tcW w:w="3190" w:type="dxa"/>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F736F1"/>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9A20" w14:textId="77777777" w:rsidR="003110BC" w:rsidRDefault="003110BC" w:rsidP="002130F1">
      <w:r>
        <w:separator/>
      </w:r>
    </w:p>
  </w:endnote>
  <w:endnote w:type="continuationSeparator" w:id="0">
    <w:p w14:paraId="67FA5DC4" w14:textId="77777777" w:rsidR="003110BC" w:rsidRDefault="003110BC"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charset w:val="00"/>
    <w:family w:val="auto"/>
    <w:pitch w:val="default"/>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EE72" w14:textId="77777777" w:rsidR="003110BC" w:rsidRDefault="003110BC" w:rsidP="002130F1">
      <w:r>
        <w:separator/>
      </w:r>
    </w:p>
  </w:footnote>
  <w:footnote w:type="continuationSeparator" w:id="0">
    <w:p w14:paraId="3DE415B2" w14:textId="77777777" w:rsidR="003110BC" w:rsidRDefault="003110BC"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15C"/>
    <w:rsid w:val="00000277"/>
    <w:rsid w:val="00002533"/>
    <w:rsid w:val="000026C9"/>
    <w:rsid w:val="00004C74"/>
    <w:rsid w:val="00004FFC"/>
    <w:rsid w:val="000051C9"/>
    <w:rsid w:val="0000535A"/>
    <w:rsid w:val="00005653"/>
    <w:rsid w:val="00005D4A"/>
    <w:rsid w:val="000064DE"/>
    <w:rsid w:val="00006695"/>
    <w:rsid w:val="0000794F"/>
    <w:rsid w:val="000102DD"/>
    <w:rsid w:val="0001039A"/>
    <w:rsid w:val="000116C9"/>
    <w:rsid w:val="00011C19"/>
    <w:rsid w:val="00012E9F"/>
    <w:rsid w:val="000135E0"/>
    <w:rsid w:val="00013CDE"/>
    <w:rsid w:val="00013E52"/>
    <w:rsid w:val="00014FE4"/>
    <w:rsid w:val="00015112"/>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302"/>
    <w:rsid w:val="00032D19"/>
    <w:rsid w:val="0003355B"/>
    <w:rsid w:val="0003414D"/>
    <w:rsid w:val="0003427E"/>
    <w:rsid w:val="00035407"/>
    <w:rsid w:val="00036024"/>
    <w:rsid w:val="0003709C"/>
    <w:rsid w:val="000401E7"/>
    <w:rsid w:val="00040301"/>
    <w:rsid w:val="00041F79"/>
    <w:rsid w:val="00042475"/>
    <w:rsid w:val="000424DB"/>
    <w:rsid w:val="000427D7"/>
    <w:rsid w:val="0004347B"/>
    <w:rsid w:val="00043B99"/>
    <w:rsid w:val="00043F21"/>
    <w:rsid w:val="000442DA"/>
    <w:rsid w:val="00044E80"/>
    <w:rsid w:val="00044F5A"/>
    <w:rsid w:val="000451FD"/>
    <w:rsid w:val="00045281"/>
    <w:rsid w:val="00045A8A"/>
    <w:rsid w:val="00047D77"/>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05D"/>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1B55"/>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63E8"/>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20E"/>
    <w:rsid w:val="000C3B08"/>
    <w:rsid w:val="000C6059"/>
    <w:rsid w:val="000C711E"/>
    <w:rsid w:val="000C73D0"/>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84E"/>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A6F"/>
    <w:rsid w:val="00103B78"/>
    <w:rsid w:val="00103FCA"/>
    <w:rsid w:val="0010468C"/>
    <w:rsid w:val="00104B70"/>
    <w:rsid w:val="001050C1"/>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5585"/>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646A"/>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5858"/>
    <w:rsid w:val="001861E1"/>
    <w:rsid w:val="0018740A"/>
    <w:rsid w:val="0018780F"/>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6F4E"/>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5BAB"/>
    <w:rsid w:val="001E625D"/>
    <w:rsid w:val="001E682F"/>
    <w:rsid w:val="001E6EE5"/>
    <w:rsid w:val="001F0CF0"/>
    <w:rsid w:val="001F11CE"/>
    <w:rsid w:val="001F23DE"/>
    <w:rsid w:val="001F24AF"/>
    <w:rsid w:val="001F294A"/>
    <w:rsid w:val="001F3345"/>
    <w:rsid w:val="001F38DE"/>
    <w:rsid w:val="001F3C7B"/>
    <w:rsid w:val="001F3F7F"/>
    <w:rsid w:val="001F4A9E"/>
    <w:rsid w:val="001F51AE"/>
    <w:rsid w:val="001F5EA6"/>
    <w:rsid w:val="001F61FD"/>
    <w:rsid w:val="001F6A18"/>
    <w:rsid w:val="001F6AC9"/>
    <w:rsid w:val="001F7E84"/>
    <w:rsid w:val="002006D8"/>
    <w:rsid w:val="00201383"/>
    <w:rsid w:val="00201442"/>
    <w:rsid w:val="00201E75"/>
    <w:rsid w:val="002029F3"/>
    <w:rsid w:val="0020368B"/>
    <w:rsid w:val="0020387B"/>
    <w:rsid w:val="00203984"/>
    <w:rsid w:val="00204401"/>
    <w:rsid w:val="002054AD"/>
    <w:rsid w:val="002056F1"/>
    <w:rsid w:val="00206555"/>
    <w:rsid w:val="002073AB"/>
    <w:rsid w:val="00207671"/>
    <w:rsid w:val="00210C6F"/>
    <w:rsid w:val="00210FD3"/>
    <w:rsid w:val="00211F78"/>
    <w:rsid w:val="00212993"/>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8BD"/>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70E"/>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6E6D"/>
    <w:rsid w:val="00257715"/>
    <w:rsid w:val="00257D2B"/>
    <w:rsid w:val="0026023A"/>
    <w:rsid w:val="00261CB9"/>
    <w:rsid w:val="00263A00"/>
    <w:rsid w:val="00263B38"/>
    <w:rsid w:val="002644D4"/>
    <w:rsid w:val="00265027"/>
    <w:rsid w:val="00265189"/>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1E0F"/>
    <w:rsid w:val="002E23EC"/>
    <w:rsid w:val="002E24EE"/>
    <w:rsid w:val="002E2BF0"/>
    <w:rsid w:val="002E489D"/>
    <w:rsid w:val="002E505E"/>
    <w:rsid w:val="002E70A1"/>
    <w:rsid w:val="002E7359"/>
    <w:rsid w:val="002E766A"/>
    <w:rsid w:val="002E7D83"/>
    <w:rsid w:val="002F053B"/>
    <w:rsid w:val="002F1AA0"/>
    <w:rsid w:val="002F211F"/>
    <w:rsid w:val="002F2740"/>
    <w:rsid w:val="002F6A2C"/>
    <w:rsid w:val="002F72BA"/>
    <w:rsid w:val="00300673"/>
    <w:rsid w:val="00300D60"/>
    <w:rsid w:val="00301197"/>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0BC"/>
    <w:rsid w:val="00311C95"/>
    <w:rsid w:val="00312470"/>
    <w:rsid w:val="00312AA0"/>
    <w:rsid w:val="00313162"/>
    <w:rsid w:val="00313C01"/>
    <w:rsid w:val="003146D5"/>
    <w:rsid w:val="00316738"/>
    <w:rsid w:val="00317369"/>
    <w:rsid w:val="00317A58"/>
    <w:rsid w:val="00320856"/>
    <w:rsid w:val="0032171A"/>
    <w:rsid w:val="00321B7B"/>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50B"/>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1850"/>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176"/>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8A1"/>
    <w:rsid w:val="003A19F2"/>
    <w:rsid w:val="003A2CAF"/>
    <w:rsid w:val="003A33A5"/>
    <w:rsid w:val="003A4229"/>
    <w:rsid w:val="003A4D53"/>
    <w:rsid w:val="003A5140"/>
    <w:rsid w:val="003A54BB"/>
    <w:rsid w:val="003A5D52"/>
    <w:rsid w:val="003A5E05"/>
    <w:rsid w:val="003A769B"/>
    <w:rsid w:val="003B2611"/>
    <w:rsid w:val="003B2E37"/>
    <w:rsid w:val="003B2E56"/>
    <w:rsid w:val="003B3B53"/>
    <w:rsid w:val="003B434C"/>
    <w:rsid w:val="003B4690"/>
    <w:rsid w:val="003B489B"/>
    <w:rsid w:val="003B4F9D"/>
    <w:rsid w:val="003B5BC8"/>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007"/>
    <w:rsid w:val="003F7880"/>
    <w:rsid w:val="00400D3D"/>
    <w:rsid w:val="00403845"/>
    <w:rsid w:val="004038AB"/>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980"/>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43BB"/>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4C48"/>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4F"/>
    <w:rsid w:val="0050267B"/>
    <w:rsid w:val="00502903"/>
    <w:rsid w:val="00503730"/>
    <w:rsid w:val="0050457F"/>
    <w:rsid w:val="00504794"/>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12F"/>
    <w:rsid w:val="005154DC"/>
    <w:rsid w:val="0051579C"/>
    <w:rsid w:val="00515A76"/>
    <w:rsid w:val="00516300"/>
    <w:rsid w:val="00516584"/>
    <w:rsid w:val="00516FF9"/>
    <w:rsid w:val="005201F5"/>
    <w:rsid w:val="005204D0"/>
    <w:rsid w:val="00520D18"/>
    <w:rsid w:val="005216BE"/>
    <w:rsid w:val="00522BDD"/>
    <w:rsid w:val="0052392E"/>
    <w:rsid w:val="00523B38"/>
    <w:rsid w:val="00523CB0"/>
    <w:rsid w:val="005242EE"/>
    <w:rsid w:val="00524421"/>
    <w:rsid w:val="00525094"/>
    <w:rsid w:val="005257A9"/>
    <w:rsid w:val="00525C18"/>
    <w:rsid w:val="00525DC6"/>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396"/>
    <w:rsid w:val="00540C42"/>
    <w:rsid w:val="0054319F"/>
    <w:rsid w:val="00544729"/>
    <w:rsid w:val="00544E5D"/>
    <w:rsid w:val="00544ED2"/>
    <w:rsid w:val="0054546C"/>
    <w:rsid w:val="00545D9F"/>
    <w:rsid w:val="0054639F"/>
    <w:rsid w:val="0054689B"/>
    <w:rsid w:val="0054697F"/>
    <w:rsid w:val="00546FD2"/>
    <w:rsid w:val="00552D94"/>
    <w:rsid w:val="005530FA"/>
    <w:rsid w:val="00553952"/>
    <w:rsid w:val="00553D8C"/>
    <w:rsid w:val="005545F9"/>
    <w:rsid w:val="005562F4"/>
    <w:rsid w:val="00556956"/>
    <w:rsid w:val="005606BF"/>
    <w:rsid w:val="00560A6B"/>
    <w:rsid w:val="0056221F"/>
    <w:rsid w:val="0056244F"/>
    <w:rsid w:val="0056325B"/>
    <w:rsid w:val="00563720"/>
    <w:rsid w:val="00563EFF"/>
    <w:rsid w:val="005640CE"/>
    <w:rsid w:val="0056490E"/>
    <w:rsid w:val="0056532C"/>
    <w:rsid w:val="005655D2"/>
    <w:rsid w:val="00565818"/>
    <w:rsid w:val="0056716F"/>
    <w:rsid w:val="00567FC0"/>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3A6"/>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3A"/>
    <w:rsid w:val="005A6F68"/>
    <w:rsid w:val="005A7765"/>
    <w:rsid w:val="005A7BA9"/>
    <w:rsid w:val="005B08BA"/>
    <w:rsid w:val="005B12F1"/>
    <w:rsid w:val="005B224B"/>
    <w:rsid w:val="005B2DE1"/>
    <w:rsid w:val="005B31DA"/>
    <w:rsid w:val="005B4D28"/>
    <w:rsid w:val="005B556C"/>
    <w:rsid w:val="005B611C"/>
    <w:rsid w:val="005B64B8"/>
    <w:rsid w:val="005B65FF"/>
    <w:rsid w:val="005C023B"/>
    <w:rsid w:val="005C039B"/>
    <w:rsid w:val="005C1C9A"/>
    <w:rsid w:val="005C1E6F"/>
    <w:rsid w:val="005C2EFE"/>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4884"/>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05E"/>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B70"/>
    <w:rsid w:val="00617E5F"/>
    <w:rsid w:val="00617E79"/>
    <w:rsid w:val="00620408"/>
    <w:rsid w:val="0062054A"/>
    <w:rsid w:val="00621FB0"/>
    <w:rsid w:val="00625EE7"/>
    <w:rsid w:val="00625EF0"/>
    <w:rsid w:val="0062608C"/>
    <w:rsid w:val="006272EA"/>
    <w:rsid w:val="0062734D"/>
    <w:rsid w:val="00627B8E"/>
    <w:rsid w:val="00630C03"/>
    <w:rsid w:val="00631263"/>
    <w:rsid w:val="00631285"/>
    <w:rsid w:val="0063143F"/>
    <w:rsid w:val="00631646"/>
    <w:rsid w:val="006326B2"/>
    <w:rsid w:val="00632E52"/>
    <w:rsid w:val="00633103"/>
    <w:rsid w:val="0063458E"/>
    <w:rsid w:val="00634EDF"/>
    <w:rsid w:val="00635C4B"/>
    <w:rsid w:val="006375C2"/>
    <w:rsid w:val="00640471"/>
    <w:rsid w:val="00640953"/>
    <w:rsid w:val="006416E2"/>
    <w:rsid w:val="0064175B"/>
    <w:rsid w:val="00641F49"/>
    <w:rsid w:val="0064286F"/>
    <w:rsid w:val="00642E1E"/>
    <w:rsid w:val="0064466B"/>
    <w:rsid w:val="006454AD"/>
    <w:rsid w:val="00645A5D"/>
    <w:rsid w:val="00645A75"/>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4B10"/>
    <w:rsid w:val="00665057"/>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0BA8"/>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7EB"/>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08"/>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BCE"/>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2B44"/>
    <w:rsid w:val="006E3FEC"/>
    <w:rsid w:val="006E4D26"/>
    <w:rsid w:val="006E5047"/>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4EB9"/>
    <w:rsid w:val="0071542B"/>
    <w:rsid w:val="0071591F"/>
    <w:rsid w:val="00716AAE"/>
    <w:rsid w:val="007171A5"/>
    <w:rsid w:val="00720924"/>
    <w:rsid w:val="0072119B"/>
    <w:rsid w:val="007216BA"/>
    <w:rsid w:val="00721D54"/>
    <w:rsid w:val="0072255C"/>
    <w:rsid w:val="007229F0"/>
    <w:rsid w:val="00722AE3"/>
    <w:rsid w:val="00723B37"/>
    <w:rsid w:val="00723D2E"/>
    <w:rsid w:val="007242CC"/>
    <w:rsid w:val="00725833"/>
    <w:rsid w:val="00725D72"/>
    <w:rsid w:val="0072640B"/>
    <w:rsid w:val="00726CFA"/>
    <w:rsid w:val="007276F4"/>
    <w:rsid w:val="007278D7"/>
    <w:rsid w:val="00727AF8"/>
    <w:rsid w:val="007315BE"/>
    <w:rsid w:val="0073165B"/>
    <w:rsid w:val="007317C1"/>
    <w:rsid w:val="007323BF"/>
    <w:rsid w:val="0073273E"/>
    <w:rsid w:val="00732C84"/>
    <w:rsid w:val="007338B1"/>
    <w:rsid w:val="00733AB6"/>
    <w:rsid w:val="00734085"/>
    <w:rsid w:val="007344DC"/>
    <w:rsid w:val="00735DA8"/>
    <w:rsid w:val="0073632C"/>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407"/>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6C67"/>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4D66"/>
    <w:rsid w:val="007C576B"/>
    <w:rsid w:val="007C5B19"/>
    <w:rsid w:val="007C74B4"/>
    <w:rsid w:val="007C750D"/>
    <w:rsid w:val="007D0422"/>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706"/>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7EA"/>
    <w:rsid w:val="00860CB9"/>
    <w:rsid w:val="00860F11"/>
    <w:rsid w:val="0086180D"/>
    <w:rsid w:val="00861C9C"/>
    <w:rsid w:val="00861FED"/>
    <w:rsid w:val="0086247F"/>
    <w:rsid w:val="00862B83"/>
    <w:rsid w:val="00862BA2"/>
    <w:rsid w:val="00862DAB"/>
    <w:rsid w:val="008637E0"/>
    <w:rsid w:val="00863D85"/>
    <w:rsid w:val="00864020"/>
    <w:rsid w:val="00864939"/>
    <w:rsid w:val="00864C54"/>
    <w:rsid w:val="00864E94"/>
    <w:rsid w:val="00865C28"/>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4B27"/>
    <w:rsid w:val="008951B1"/>
    <w:rsid w:val="008966EA"/>
    <w:rsid w:val="00897380"/>
    <w:rsid w:val="008A03E0"/>
    <w:rsid w:val="008A0508"/>
    <w:rsid w:val="008A114A"/>
    <w:rsid w:val="008A1800"/>
    <w:rsid w:val="008A278E"/>
    <w:rsid w:val="008A2C3F"/>
    <w:rsid w:val="008A32BA"/>
    <w:rsid w:val="008A33B3"/>
    <w:rsid w:val="008A3A72"/>
    <w:rsid w:val="008A3B81"/>
    <w:rsid w:val="008A3BD7"/>
    <w:rsid w:val="008A4611"/>
    <w:rsid w:val="008A50E3"/>
    <w:rsid w:val="008A67DD"/>
    <w:rsid w:val="008A7173"/>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0F1"/>
    <w:rsid w:val="008E1FB2"/>
    <w:rsid w:val="008E2536"/>
    <w:rsid w:val="008E2702"/>
    <w:rsid w:val="008E2F4C"/>
    <w:rsid w:val="008E3832"/>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175A1"/>
    <w:rsid w:val="00920FCA"/>
    <w:rsid w:val="0092285F"/>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46026"/>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C8A"/>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29C4"/>
    <w:rsid w:val="00993231"/>
    <w:rsid w:val="00993873"/>
    <w:rsid w:val="009940A2"/>
    <w:rsid w:val="009940E9"/>
    <w:rsid w:val="00994329"/>
    <w:rsid w:val="00994AA3"/>
    <w:rsid w:val="00994ECE"/>
    <w:rsid w:val="0099609F"/>
    <w:rsid w:val="009966D6"/>
    <w:rsid w:val="00997BC8"/>
    <w:rsid w:val="009A1763"/>
    <w:rsid w:val="009A1A9C"/>
    <w:rsid w:val="009A1BFD"/>
    <w:rsid w:val="009A26AA"/>
    <w:rsid w:val="009A5B64"/>
    <w:rsid w:val="009A60B5"/>
    <w:rsid w:val="009A62F0"/>
    <w:rsid w:val="009A62F8"/>
    <w:rsid w:val="009A6AE8"/>
    <w:rsid w:val="009A70F0"/>
    <w:rsid w:val="009A714D"/>
    <w:rsid w:val="009B0293"/>
    <w:rsid w:val="009B0587"/>
    <w:rsid w:val="009B0DA4"/>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6169"/>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0E95"/>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589F"/>
    <w:rsid w:val="00A06186"/>
    <w:rsid w:val="00A06DDC"/>
    <w:rsid w:val="00A06F10"/>
    <w:rsid w:val="00A07620"/>
    <w:rsid w:val="00A07759"/>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0FD"/>
    <w:rsid w:val="00A6311B"/>
    <w:rsid w:val="00A6384C"/>
    <w:rsid w:val="00A63874"/>
    <w:rsid w:val="00A64150"/>
    <w:rsid w:val="00A642E5"/>
    <w:rsid w:val="00A64789"/>
    <w:rsid w:val="00A6511B"/>
    <w:rsid w:val="00A6563E"/>
    <w:rsid w:val="00A656AA"/>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2CD7"/>
    <w:rsid w:val="00A737ED"/>
    <w:rsid w:val="00A73AE2"/>
    <w:rsid w:val="00A73B1C"/>
    <w:rsid w:val="00A74486"/>
    <w:rsid w:val="00A7449E"/>
    <w:rsid w:val="00A74A3A"/>
    <w:rsid w:val="00A74BB7"/>
    <w:rsid w:val="00A74EB6"/>
    <w:rsid w:val="00A75E66"/>
    <w:rsid w:val="00A76108"/>
    <w:rsid w:val="00A76413"/>
    <w:rsid w:val="00A769E6"/>
    <w:rsid w:val="00A76AD4"/>
    <w:rsid w:val="00A77306"/>
    <w:rsid w:val="00A77CDC"/>
    <w:rsid w:val="00A80B5B"/>
    <w:rsid w:val="00A81062"/>
    <w:rsid w:val="00A8106F"/>
    <w:rsid w:val="00A81205"/>
    <w:rsid w:val="00A81420"/>
    <w:rsid w:val="00A819AF"/>
    <w:rsid w:val="00A835DD"/>
    <w:rsid w:val="00A83CAF"/>
    <w:rsid w:val="00A8463C"/>
    <w:rsid w:val="00A8693F"/>
    <w:rsid w:val="00A87973"/>
    <w:rsid w:val="00A90278"/>
    <w:rsid w:val="00A903B6"/>
    <w:rsid w:val="00A90913"/>
    <w:rsid w:val="00A91108"/>
    <w:rsid w:val="00A91B64"/>
    <w:rsid w:val="00A9209F"/>
    <w:rsid w:val="00A923D9"/>
    <w:rsid w:val="00A92639"/>
    <w:rsid w:val="00A92DA8"/>
    <w:rsid w:val="00A9433A"/>
    <w:rsid w:val="00A9447B"/>
    <w:rsid w:val="00A94CB0"/>
    <w:rsid w:val="00A967CE"/>
    <w:rsid w:val="00A96B80"/>
    <w:rsid w:val="00A97E6D"/>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07C9"/>
    <w:rsid w:val="00AD2C28"/>
    <w:rsid w:val="00AD2C9F"/>
    <w:rsid w:val="00AD355C"/>
    <w:rsid w:val="00AD3CEF"/>
    <w:rsid w:val="00AD431B"/>
    <w:rsid w:val="00AD4CC4"/>
    <w:rsid w:val="00AD5CC2"/>
    <w:rsid w:val="00AD5E3D"/>
    <w:rsid w:val="00AD5FE5"/>
    <w:rsid w:val="00AE0881"/>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5A85"/>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205E"/>
    <w:rsid w:val="00B33138"/>
    <w:rsid w:val="00B3356F"/>
    <w:rsid w:val="00B338B9"/>
    <w:rsid w:val="00B35D99"/>
    <w:rsid w:val="00B371CD"/>
    <w:rsid w:val="00B37289"/>
    <w:rsid w:val="00B37318"/>
    <w:rsid w:val="00B37415"/>
    <w:rsid w:val="00B3779E"/>
    <w:rsid w:val="00B403C6"/>
    <w:rsid w:val="00B40E6A"/>
    <w:rsid w:val="00B423C8"/>
    <w:rsid w:val="00B42703"/>
    <w:rsid w:val="00B4288F"/>
    <w:rsid w:val="00B4307E"/>
    <w:rsid w:val="00B43157"/>
    <w:rsid w:val="00B432F7"/>
    <w:rsid w:val="00B434D3"/>
    <w:rsid w:val="00B44051"/>
    <w:rsid w:val="00B441EB"/>
    <w:rsid w:val="00B44C74"/>
    <w:rsid w:val="00B44F8A"/>
    <w:rsid w:val="00B46BAB"/>
    <w:rsid w:val="00B51109"/>
    <w:rsid w:val="00B52324"/>
    <w:rsid w:val="00B523FA"/>
    <w:rsid w:val="00B52791"/>
    <w:rsid w:val="00B530D2"/>
    <w:rsid w:val="00B532E0"/>
    <w:rsid w:val="00B543EA"/>
    <w:rsid w:val="00B545F6"/>
    <w:rsid w:val="00B54CA9"/>
    <w:rsid w:val="00B54D33"/>
    <w:rsid w:val="00B55952"/>
    <w:rsid w:val="00B559D8"/>
    <w:rsid w:val="00B55D3F"/>
    <w:rsid w:val="00B55D49"/>
    <w:rsid w:val="00B564FF"/>
    <w:rsid w:val="00B56E86"/>
    <w:rsid w:val="00B61274"/>
    <w:rsid w:val="00B6171E"/>
    <w:rsid w:val="00B62FE1"/>
    <w:rsid w:val="00B641A3"/>
    <w:rsid w:val="00B6555F"/>
    <w:rsid w:val="00B65826"/>
    <w:rsid w:val="00B66664"/>
    <w:rsid w:val="00B66723"/>
    <w:rsid w:val="00B670B4"/>
    <w:rsid w:val="00B67165"/>
    <w:rsid w:val="00B7077E"/>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097"/>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A26"/>
    <w:rsid w:val="00BA2B17"/>
    <w:rsid w:val="00BA2F1A"/>
    <w:rsid w:val="00BA4196"/>
    <w:rsid w:val="00BA4321"/>
    <w:rsid w:val="00BA5094"/>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1FE4"/>
    <w:rsid w:val="00BD24CA"/>
    <w:rsid w:val="00BD2613"/>
    <w:rsid w:val="00BD2704"/>
    <w:rsid w:val="00BD28ED"/>
    <w:rsid w:val="00BD2D33"/>
    <w:rsid w:val="00BD352C"/>
    <w:rsid w:val="00BD3923"/>
    <w:rsid w:val="00BD3EED"/>
    <w:rsid w:val="00BD4358"/>
    <w:rsid w:val="00BD4AD1"/>
    <w:rsid w:val="00BD55A8"/>
    <w:rsid w:val="00BD5712"/>
    <w:rsid w:val="00BD6D34"/>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EB3"/>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8B8"/>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2FDE"/>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3EBF"/>
    <w:rsid w:val="00C74A2D"/>
    <w:rsid w:val="00C75056"/>
    <w:rsid w:val="00C7540A"/>
    <w:rsid w:val="00C75BD7"/>
    <w:rsid w:val="00C75ECE"/>
    <w:rsid w:val="00C76190"/>
    <w:rsid w:val="00C76CA9"/>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75E"/>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2E4"/>
    <w:rsid w:val="00CD1393"/>
    <w:rsid w:val="00CD70F2"/>
    <w:rsid w:val="00CD777A"/>
    <w:rsid w:val="00CD79A1"/>
    <w:rsid w:val="00CE0DCC"/>
    <w:rsid w:val="00CE1A34"/>
    <w:rsid w:val="00CE1D31"/>
    <w:rsid w:val="00CE2965"/>
    <w:rsid w:val="00CE3C3B"/>
    <w:rsid w:val="00CE4C2A"/>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4D96"/>
    <w:rsid w:val="00D250BC"/>
    <w:rsid w:val="00D25315"/>
    <w:rsid w:val="00D255F7"/>
    <w:rsid w:val="00D25687"/>
    <w:rsid w:val="00D266CC"/>
    <w:rsid w:val="00D26829"/>
    <w:rsid w:val="00D269F1"/>
    <w:rsid w:val="00D26D90"/>
    <w:rsid w:val="00D273B9"/>
    <w:rsid w:val="00D27745"/>
    <w:rsid w:val="00D27A24"/>
    <w:rsid w:val="00D30B3B"/>
    <w:rsid w:val="00D313D6"/>
    <w:rsid w:val="00D31BB3"/>
    <w:rsid w:val="00D31C7E"/>
    <w:rsid w:val="00D32006"/>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2C7"/>
    <w:rsid w:val="00D476BB"/>
    <w:rsid w:val="00D47C3B"/>
    <w:rsid w:val="00D47F33"/>
    <w:rsid w:val="00D47FF3"/>
    <w:rsid w:val="00D5019A"/>
    <w:rsid w:val="00D50BF1"/>
    <w:rsid w:val="00D51ACC"/>
    <w:rsid w:val="00D52365"/>
    <w:rsid w:val="00D526D8"/>
    <w:rsid w:val="00D536F5"/>
    <w:rsid w:val="00D5373C"/>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A14"/>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1AE5"/>
    <w:rsid w:val="00DB28EE"/>
    <w:rsid w:val="00DB4445"/>
    <w:rsid w:val="00DB5BD3"/>
    <w:rsid w:val="00DB6832"/>
    <w:rsid w:val="00DB7849"/>
    <w:rsid w:val="00DB79BF"/>
    <w:rsid w:val="00DB79DB"/>
    <w:rsid w:val="00DC0588"/>
    <w:rsid w:val="00DC0764"/>
    <w:rsid w:val="00DC0D46"/>
    <w:rsid w:val="00DC12B5"/>
    <w:rsid w:val="00DC2572"/>
    <w:rsid w:val="00DC3521"/>
    <w:rsid w:val="00DC3C52"/>
    <w:rsid w:val="00DC445D"/>
    <w:rsid w:val="00DC493B"/>
    <w:rsid w:val="00DC4AD6"/>
    <w:rsid w:val="00DC5404"/>
    <w:rsid w:val="00DC570C"/>
    <w:rsid w:val="00DC5B99"/>
    <w:rsid w:val="00DC62C5"/>
    <w:rsid w:val="00DC73EB"/>
    <w:rsid w:val="00DC76BA"/>
    <w:rsid w:val="00DC7760"/>
    <w:rsid w:val="00DC7AA9"/>
    <w:rsid w:val="00DD02CB"/>
    <w:rsid w:val="00DD04DA"/>
    <w:rsid w:val="00DD0BCA"/>
    <w:rsid w:val="00DD0DD5"/>
    <w:rsid w:val="00DD0F94"/>
    <w:rsid w:val="00DD18AE"/>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55C"/>
    <w:rsid w:val="00DF5B16"/>
    <w:rsid w:val="00DF632E"/>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2B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77F2A"/>
    <w:rsid w:val="00E80DEC"/>
    <w:rsid w:val="00E818C0"/>
    <w:rsid w:val="00E82448"/>
    <w:rsid w:val="00E8329C"/>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5D33"/>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B043C"/>
    <w:rsid w:val="00EB0BB3"/>
    <w:rsid w:val="00EB3542"/>
    <w:rsid w:val="00EB354F"/>
    <w:rsid w:val="00EB3A71"/>
    <w:rsid w:val="00EB3D78"/>
    <w:rsid w:val="00EB43A9"/>
    <w:rsid w:val="00EB53E3"/>
    <w:rsid w:val="00EB56A5"/>
    <w:rsid w:val="00EB583E"/>
    <w:rsid w:val="00EB5A37"/>
    <w:rsid w:val="00EB5B96"/>
    <w:rsid w:val="00EB61B4"/>
    <w:rsid w:val="00EB69EB"/>
    <w:rsid w:val="00EB6D11"/>
    <w:rsid w:val="00EB6DD7"/>
    <w:rsid w:val="00EB718F"/>
    <w:rsid w:val="00EB7534"/>
    <w:rsid w:val="00EB7C18"/>
    <w:rsid w:val="00EC06B7"/>
    <w:rsid w:val="00EC0BB8"/>
    <w:rsid w:val="00EC1072"/>
    <w:rsid w:val="00EC139E"/>
    <w:rsid w:val="00EC2F92"/>
    <w:rsid w:val="00EC318D"/>
    <w:rsid w:val="00EC35A2"/>
    <w:rsid w:val="00EC3E07"/>
    <w:rsid w:val="00EC3F43"/>
    <w:rsid w:val="00EC4F5D"/>
    <w:rsid w:val="00EC5D7B"/>
    <w:rsid w:val="00EC5ECC"/>
    <w:rsid w:val="00EC6162"/>
    <w:rsid w:val="00EC61EB"/>
    <w:rsid w:val="00EC71C7"/>
    <w:rsid w:val="00EC7C2C"/>
    <w:rsid w:val="00EC7F4F"/>
    <w:rsid w:val="00ED0162"/>
    <w:rsid w:val="00ED0585"/>
    <w:rsid w:val="00ED0CAB"/>
    <w:rsid w:val="00ED0E00"/>
    <w:rsid w:val="00ED0E48"/>
    <w:rsid w:val="00ED1096"/>
    <w:rsid w:val="00ED1A28"/>
    <w:rsid w:val="00ED2E4F"/>
    <w:rsid w:val="00ED44A6"/>
    <w:rsid w:val="00ED4E77"/>
    <w:rsid w:val="00ED5715"/>
    <w:rsid w:val="00ED5EB9"/>
    <w:rsid w:val="00ED610A"/>
    <w:rsid w:val="00ED6990"/>
    <w:rsid w:val="00ED75FB"/>
    <w:rsid w:val="00EE172A"/>
    <w:rsid w:val="00EE1B74"/>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072F"/>
    <w:rsid w:val="00F11EDB"/>
    <w:rsid w:val="00F12FAE"/>
    <w:rsid w:val="00F13BB9"/>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38C"/>
    <w:rsid w:val="00F316BC"/>
    <w:rsid w:val="00F32420"/>
    <w:rsid w:val="00F32421"/>
    <w:rsid w:val="00F333E1"/>
    <w:rsid w:val="00F34B2A"/>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27EE"/>
    <w:rsid w:val="00F5310E"/>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1FAA"/>
    <w:rsid w:val="00F62DAB"/>
    <w:rsid w:val="00F63A31"/>
    <w:rsid w:val="00F63B32"/>
    <w:rsid w:val="00F63BF0"/>
    <w:rsid w:val="00F6561B"/>
    <w:rsid w:val="00F65DF8"/>
    <w:rsid w:val="00F6649D"/>
    <w:rsid w:val="00F67641"/>
    <w:rsid w:val="00F71145"/>
    <w:rsid w:val="00F71751"/>
    <w:rsid w:val="00F717BD"/>
    <w:rsid w:val="00F722A8"/>
    <w:rsid w:val="00F72B09"/>
    <w:rsid w:val="00F72DB1"/>
    <w:rsid w:val="00F73627"/>
    <w:rsid w:val="00F736F1"/>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60CE"/>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2F5"/>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3BA"/>
    <w:rsid w:val="00FE58C1"/>
    <w:rsid w:val="00FE5979"/>
    <w:rsid w:val="00FE6FD2"/>
    <w:rsid w:val="00FE7BEF"/>
    <w:rsid w:val="00FE7E2D"/>
    <w:rsid w:val="00FE7ED5"/>
    <w:rsid w:val="00FF0198"/>
    <w:rsid w:val="00FF04EE"/>
    <w:rsid w:val="00FF0520"/>
    <w:rsid w:val="00FF087C"/>
    <w:rsid w:val="00FF10BB"/>
    <w:rsid w:val="00FF12AD"/>
    <w:rsid w:val="00FF14C6"/>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75E"/>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08428029">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186376">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45013135">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7944849">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1612</Words>
  <Characters>11332</Characters>
  <Application>Microsoft Office Word</Application>
  <DocSecurity>0</DocSecurity>
  <Lines>1259</Lines>
  <Paragraphs>208</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3</cp:revision>
  <cp:lastPrinted>2026-02-19T10:09:00Z</cp:lastPrinted>
  <dcterms:created xsi:type="dcterms:W3CDTF">2026-02-19T10:10:00Z</dcterms:created>
  <dcterms:modified xsi:type="dcterms:W3CDTF">2026-02-23T13:06:00Z</dcterms:modified>
</cp:coreProperties>
</file>