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4F0AD-D084-4665-88F9-453F8E16865C}"/>
</file>

<file path=customXml/itemProps2.xml><?xml version="1.0" encoding="utf-8"?>
<ds:datastoreItem xmlns:ds="http://schemas.openxmlformats.org/officeDocument/2006/customXml" ds:itemID="{859F64E2-E66C-4545-8CDF-84FF8CD3A308}"/>
</file>

<file path=customXml/itemProps3.xml><?xml version="1.0" encoding="utf-8"?>
<ds:datastoreItem xmlns:ds="http://schemas.openxmlformats.org/officeDocument/2006/customXml" ds:itemID="{93E08653-3378-4D12-9CDE-FABBF86818DD}"/>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