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0A6EE84C" w14:textId="357B0E40" w:rsidR="004A7BB2" w:rsidRDefault="004A7BB2" w:rsidP="0096348C">
      <w:pPr>
        <w:rPr>
          <w:szCs w:val="24"/>
        </w:rPr>
      </w:pPr>
    </w:p>
    <w:p w14:paraId="15565086" w14:textId="77777777" w:rsidR="00E2477B" w:rsidRDefault="00E2477B" w:rsidP="0096348C">
      <w:pPr>
        <w:rPr>
          <w:szCs w:val="24"/>
        </w:rPr>
      </w:pPr>
    </w:p>
    <w:p w14:paraId="60B70375" w14:textId="77777777" w:rsidR="004A7BB2" w:rsidRPr="00D10746" w:rsidRDefault="004A7BB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69A3C02C"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A81E36">
              <w:rPr>
                <w:b/>
                <w:szCs w:val="24"/>
              </w:rPr>
              <w:t>4</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6EE09013"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C15DFC" w:rsidRPr="00D10746">
              <w:rPr>
                <w:szCs w:val="24"/>
              </w:rPr>
              <w:t>0</w:t>
            </w:r>
            <w:r w:rsidR="00EB2F7A">
              <w:rPr>
                <w:szCs w:val="24"/>
              </w:rPr>
              <w:t>9</w:t>
            </w:r>
            <w:r w:rsidR="00955E92">
              <w:rPr>
                <w:szCs w:val="24"/>
              </w:rPr>
              <w:t>-</w:t>
            </w:r>
            <w:r w:rsidR="00EE52BE">
              <w:rPr>
                <w:szCs w:val="24"/>
              </w:rPr>
              <w:t>2</w:t>
            </w:r>
            <w:r w:rsidR="00A81E36">
              <w:rPr>
                <w:szCs w:val="24"/>
              </w:rPr>
              <w:t>8</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199E69E3" w14:textId="3E9FA231" w:rsidR="00804B3A" w:rsidRPr="00D10746" w:rsidRDefault="00297960" w:rsidP="00EE1733">
            <w:pPr>
              <w:rPr>
                <w:szCs w:val="24"/>
              </w:rPr>
            </w:pPr>
            <w:r w:rsidRPr="00804B3A">
              <w:rPr>
                <w:szCs w:val="24"/>
              </w:rPr>
              <w:t>1</w:t>
            </w:r>
            <w:r w:rsidR="00A81E36">
              <w:rPr>
                <w:szCs w:val="24"/>
              </w:rPr>
              <w:t>1</w:t>
            </w:r>
            <w:r w:rsidR="0024734C" w:rsidRPr="00804B3A">
              <w:rPr>
                <w:szCs w:val="24"/>
              </w:rPr>
              <w:t>.</w:t>
            </w:r>
            <w:r w:rsidR="00241C3E">
              <w:rPr>
                <w:szCs w:val="24"/>
              </w:rPr>
              <w:t>0</w:t>
            </w:r>
            <w:r w:rsidR="00DB0979" w:rsidRPr="00804B3A">
              <w:rPr>
                <w:szCs w:val="24"/>
              </w:rPr>
              <w:t>0</w:t>
            </w:r>
            <w:r w:rsidR="00953995" w:rsidRPr="004A7BB2">
              <w:rPr>
                <w:szCs w:val="24"/>
              </w:rPr>
              <w:t>–</w:t>
            </w:r>
            <w:r w:rsidR="009C3536" w:rsidRPr="009C3536">
              <w:rPr>
                <w:szCs w:val="24"/>
              </w:rPr>
              <w:t>11</w:t>
            </w:r>
            <w:r w:rsidR="00CA5D22" w:rsidRPr="009C3536">
              <w:rPr>
                <w:szCs w:val="24"/>
              </w:rPr>
              <w:t>.</w:t>
            </w:r>
            <w:r w:rsidR="009C3536" w:rsidRPr="009C3536">
              <w:rPr>
                <w:szCs w:val="24"/>
              </w:rPr>
              <w:t>55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2338EFFC" w14:textId="0ECC09D0" w:rsidR="0006179E" w:rsidRDefault="0006179E" w:rsidP="00D15874">
      <w:pPr>
        <w:tabs>
          <w:tab w:val="left" w:pos="1418"/>
        </w:tabs>
        <w:rPr>
          <w:snapToGrid w:val="0"/>
          <w:szCs w:val="24"/>
        </w:rPr>
      </w:pPr>
    </w:p>
    <w:p w14:paraId="44A13652" w14:textId="77777777" w:rsidR="00722AE0" w:rsidRPr="00D10746" w:rsidRDefault="00722AE0"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5F4AB0" w:rsidRPr="00D10746" w14:paraId="17EC3645" w14:textId="77777777" w:rsidTr="00804B3A">
        <w:tc>
          <w:tcPr>
            <w:tcW w:w="567" w:type="dxa"/>
          </w:tcPr>
          <w:p w14:paraId="54E20EB0" w14:textId="24F1D203" w:rsidR="0086408F" w:rsidRPr="00D10746" w:rsidRDefault="009137F0" w:rsidP="0096348C">
            <w:pPr>
              <w:tabs>
                <w:tab w:val="left" w:pos="1701"/>
              </w:tabs>
              <w:rPr>
                <w:b/>
                <w:snapToGrid w:val="0"/>
                <w:szCs w:val="24"/>
              </w:rPr>
            </w:pPr>
            <w:r w:rsidRPr="00D10746">
              <w:rPr>
                <w:b/>
                <w:snapToGrid w:val="0"/>
                <w:szCs w:val="24"/>
              </w:rPr>
              <w:t>§</w:t>
            </w:r>
            <w:r w:rsidR="00684918">
              <w:rPr>
                <w:b/>
                <w:snapToGrid w:val="0"/>
                <w:szCs w:val="24"/>
              </w:rPr>
              <w:t xml:space="preserve"> </w:t>
            </w:r>
            <w:r w:rsidRPr="00D10746">
              <w:rPr>
                <w:b/>
                <w:snapToGrid w:val="0"/>
                <w:szCs w:val="24"/>
              </w:rPr>
              <w:t>1</w:t>
            </w:r>
          </w:p>
        </w:tc>
        <w:tc>
          <w:tcPr>
            <w:tcW w:w="7159" w:type="dxa"/>
          </w:tcPr>
          <w:p w14:paraId="0AC9A80F" w14:textId="77777777" w:rsidR="00737F4C" w:rsidRPr="00D10746" w:rsidRDefault="00737F4C" w:rsidP="00737F4C">
            <w:pPr>
              <w:rPr>
                <w:b/>
                <w:bCs/>
                <w:szCs w:val="24"/>
              </w:rPr>
            </w:pPr>
            <w:r w:rsidRPr="00D10746">
              <w:rPr>
                <w:b/>
                <w:bCs/>
                <w:szCs w:val="24"/>
              </w:rPr>
              <w:t>Medgivande att delta på distans</w:t>
            </w:r>
          </w:p>
          <w:p w14:paraId="7540ED96" w14:textId="77777777" w:rsidR="00737F4C" w:rsidRPr="00D10746" w:rsidRDefault="00737F4C" w:rsidP="00737F4C">
            <w:pPr>
              <w:rPr>
                <w:bCs/>
                <w:szCs w:val="24"/>
              </w:rPr>
            </w:pPr>
          </w:p>
          <w:p w14:paraId="5D76990A" w14:textId="53E2DD01" w:rsidR="007B78E7" w:rsidRPr="009C3536" w:rsidRDefault="00737F4C" w:rsidP="00737F4C">
            <w:pPr>
              <w:ind w:right="69"/>
              <w:rPr>
                <w:szCs w:val="24"/>
              </w:rPr>
            </w:pPr>
            <w:r w:rsidRPr="009C3536">
              <w:rPr>
                <w:bCs/>
                <w:szCs w:val="24"/>
              </w:rPr>
              <w:t>Utskottet medgav deltagande på distans för följande ordinarie ledamöter och suppleanter</w:t>
            </w:r>
            <w:r w:rsidRPr="009C3536">
              <w:rPr>
                <w:szCs w:val="24"/>
              </w:rPr>
              <w:t>:</w:t>
            </w:r>
            <w:r w:rsidR="006D6CBA" w:rsidRPr="009C3536">
              <w:rPr>
                <w:szCs w:val="24"/>
              </w:rPr>
              <w:t xml:space="preserve"> </w:t>
            </w:r>
            <w:r w:rsidR="00524134" w:rsidRPr="009C3536">
              <w:rPr>
                <w:szCs w:val="24"/>
              </w:rPr>
              <w:t>Kristina Nilsson (S)</w:t>
            </w:r>
            <w:r w:rsidR="00CD2B8A" w:rsidRPr="009C3536">
              <w:rPr>
                <w:szCs w:val="24"/>
              </w:rPr>
              <w:t xml:space="preserve">, </w:t>
            </w:r>
            <w:r w:rsidRPr="009C3536">
              <w:rPr>
                <w:szCs w:val="24"/>
              </w:rPr>
              <w:t xml:space="preserve">Ann-Christin Ahlberg (S), Johan Hultberg (M), </w:t>
            </w:r>
            <w:r w:rsidR="00D66CD9" w:rsidRPr="009C3536">
              <w:rPr>
                <w:szCs w:val="24"/>
              </w:rPr>
              <w:t>Per Ramhorn (SD), Mikael Dahlqvist (S)</w:t>
            </w:r>
            <w:r w:rsidRPr="009C3536">
              <w:rPr>
                <w:szCs w:val="24"/>
              </w:rPr>
              <w:t xml:space="preserve">, </w:t>
            </w:r>
            <w:r w:rsidR="00DE3E9A" w:rsidRPr="009C3536">
              <w:rPr>
                <w:szCs w:val="24"/>
              </w:rPr>
              <w:t>Sofia Nilsson (C)</w:t>
            </w:r>
            <w:r w:rsidR="006D6CBA" w:rsidRPr="009C3536">
              <w:rPr>
                <w:szCs w:val="24"/>
              </w:rPr>
              <w:t xml:space="preserve">, </w:t>
            </w:r>
            <w:r w:rsidR="009D656C" w:rsidRPr="009C3536">
              <w:rPr>
                <w:szCs w:val="24"/>
              </w:rPr>
              <w:t>Karin Rågsjö (V)</w:t>
            </w:r>
            <w:r w:rsidRPr="009C3536">
              <w:rPr>
                <w:szCs w:val="24"/>
              </w:rPr>
              <w:t xml:space="preserve">, </w:t>
            </w:r>
            <w:r w:rsidR="00CE4BF5" w:rsidRPr="009C3536">
              <w:rPr>
                <w:szCs w:val="24"/>
              </w:rPr>
              <w:t xml:space="preserve">Carina Ståhl Herrstedt (SD), </w:t>
            </w:r>
            <w:r w:rsidR="00955E92" w:rsidRPr="009C3536">
              <w:rPr>
                <w:szCs w:val="24"/>
              </w:rPr>
              <w:t>Yasmine Bladelius (S)</w:t>
            </w:r>
            <w:r w:rsidR="00B739D5" w:rsidRPr="009C3536">
              <w:rPr>
                <w:szCs w:val="24"/>
              </w:rPr>
              <w:t>,</w:t>
            </w:r>
            <w:r w:rsidR="00E74387" w:rsidRPr="009C3536">
              <w:rPr>
                <w:szCs w:val="24"/>
              </w:rPr>
              <w:t xml:space="preserve"> </w:t>
            </w:r>
            <w:r w:rsidR="00C52734" w:rsidRPr="009C3536">
              <w:rPr>
                <w:szCs w:val="24"/>
              </w:rPr>
              <w:t xml:space="preserve">Dag Larsson (S), </w:t>
            </w:r>
            <w:r w:rsidR="00A83815" w:rsidRPr="009C3536">
              <w:rPr>
                <w:szCs w:val="24"/>
              </w:rPr>
              <w:t xml:space="preserve">Lina Nordquist (L), </w:t>
            </w:r>
            <w:r w:rsidRPr="009C3536">
              <w:rPr>
                <w:szCs w:val="24"/>
              </w:rPr>
              <w:t xml:space="preserve">Christina </w:t>
            </w:r>
            <w:r w:rsidR="00A814F3" w:rsidRPr="009C3536">
              <w:rPr>
                <w:szCs w:val="24"/>
              </w:rPr>
              <w:t xml:space="preserve">Tapper </w:t>
            </w:r>
            <w:r w:rsidRPr="009C3536">
              <w:rPr>
                <w:szCs w:val="24"/>
              </w:rPr>
              <w:t>Östberg (SD)</w:t>
            </w:r>
            <w:r w:rsidR="00BB3A2A" w:rsidRPr="009C3536">
              <w:rPr>
                <w:szCs w:val="24"/>
              </w:rPr>
              <w:t xml:space="preserve">, </w:t>
            </w:r>
            <w:r w:rsidR="00EB2F7A" w:rsidRPr="009C3536">
              <w:rPr>
                <w:szCs w:val="24"/>
              </w:rPr>
              <w:t xml:space="preserve">Nicklas Attefjord (MP), </w:t>
            </w:r>
            <w:r w:rsidR="0019500B" w:rsidRPr="009C3536">
              <w:rPr>
                <w:szCs w:val="24"/>
              </w:rPr>
              <w:t xml:space="preserve">Pia Steensland (KD), </w:t>
            </w:r>
            <w:r w:rsidRPr="009C3536">
              <w:rPr>
                <w:szCs w:val="24"/>
              </w:rPr>
              <w:t>Mats Wiking (S)</w:t>
            </w:r>
            <w:r w:rsidR="00614FE1" w:rsidRPr="009C3536">
              <w:rPr>
                <w:szCs w:val="24"/>
              </w:rPr>
              <w:t xml:space="preserve">, </w:t>
            </w:r>
            <w:r w:rsidR="00C52734" w:rsidRPr="009C3536">
              <w:rPr>
                <w:szCs w:val="24"/>
              </w:rPr>
              <w:t xml:space="preserve">Ulrika Jörgensen (M), </w:t>
            </w:r>
            <w:r w:rsidR="005A628D" w:rsidRPr="009C3536">
              <w:rPr>
                <w:szCs w:val="24"/>
              </w:rPr>
              <w:t xml:space="preserve">John </w:t>
            </w:r>
            <w:proofErr w:type="spellStart"/>
            <w:r w:rsidR="005A628D" w:rsidRPr="009C3536">
              <w:rPr>
                <w:szCs w:val="24"/>
              </w:rPr>
              <w:t>Weinerhall</w:t>
            </w:r>
            <w:proofErr w:type="spellEnd"/>
            <w:r w:rsidR="005A628D" w:rsidRPr="009C3536">
              <w:rPr>
                <w:szCs w:val="24"/>
              </w:rPr>
              <w:t xml:space="preserve"> (M), </w:t>
            </w:r>
            <w:r w:rsidR="00610A81" w:rsidRPr="009C3536">
              <w:rPr>
                <w:szCs w:val="24"/>
              </w:rPr>
              <w:t>Clara Aranda</w:t>
            </w:r>
            <w:r w:rsidR="009D656C" w:rsidRPr="009C3536">
              <w:rPr>
                <w:szCs w:val="24"/>
              </w:rPr>
              <w:t xml:space="preserve"> (</w:t>
            </w:r>
            <w:r w:rsidR="00610A81" w:rsidRPr="009C3536">
              <w:rPr>
                <w:szCs w:val="24"/>
              </w:rPr>
              <w:t>SD</w:t>
            </w:r>
            <w:r w:rsidR="009D656C" w:rsidRPr="009C3536">
              <w:rPr>
                <w:szCs w:val="24"/>
              </w:rPr>
              <w:t>)</w:t>
            </w:r>
            <w:r w:rsidR="00EB2F7A" w:rsidRPr="009C3536">
              <w:rPr>
                <w:szCs w:val="24"/>
              </w:rPr>
              <w:t>,</w:t>
            </w:r>
            <w:r w:rsidR="007F49A6" w:rsidRPr="009C3536">
              <w:rPr>
                <w:szCs w:val="24"/>
              </w:rPr>
              <w:t xml:space="preserve"> </w:t>
            </w:r>
            <w:r w:rsidR="00C52734" w:rsidRPr="009C3536">
              <w:rPr>
                <w:szCs w:val="24"/>
              </w:rPr>
              <w:t xml:space="preserve">Barbro Westerholm (L) </w:t>
            </w:r>
            <w:r w:rsidR="007F49A6" w:rsidRPr="009C3536">
              <w:rPr>
                <w:szCs w:val="24"/>
              </w:rPr>
              <w:t xml:space="preserve">och </w:t>
            </w:r>
            <w:r w:rsidR="009C3536" w:rsidRPr="009C3536">
              <w:rPr>
                <w:szCs w:val="24"/>
              </w:rPr>
              <w:t>Juno Blom</w:t>
            </w:r>
            <w:r w:rsidR="00A62379" w:rsidRPr="009C3536">
              <w:rPr>
                <w:szCs w:val="24"/>
              </w:rPr>
              <w:t xml:space="preserve"> (</w:t>
            </w:r>
            <w:r w:rsidR="009C3536" w:rsidRPr="009C3536">
              <w:rPr>
                <w:szCs w:val="24"/>
              </w:rPr>
              <w:t>L</w:t>
            </w:r>
            <w:r w:rsidR="00A62379" w:rsidRPr="009C3536">
              <w:rPr>
                <w:szCs w:val="24"/>
              </w:rPr>
              <w:t>)</w:t>
            </w:r>
            <w:r w:rsidR="00DB64D7" w:rsidRPr="009C3536">
              <w:rPr>
                <w:szCs w:val="24"/>
              </w:rPr>
              <w:t>.</w:t>
            </w:r>
          </w:p>
          <w:p w14:paraId="70DB0C00" w14:textId="5D582C1C" w:rsidR="008846CB" w:rsidRPr="007F49A6" w:rsidRDefault="008846CB" w:rsidP="00737F4C">
            <w:pPr>
              <w:ind w:right="69"/>
              <w:rPr>
                <w:szCs w:val="24"/>
              </w:rPr>
            </w:pPr>
          </w:p>
          <w:p w14:paraId="4887F44C" w14:textId="36128594" w:rsidR="00CA5D22" w:rsidRDefault="007F49A6" w:rsidP="00CA5D22">
            <w:pPr>
              <w:ind w:right="69"/>
              <w:rPr>
                <w:szCs w:val="24"/>
              </w:rPr>
            </w:pPr>
            <w:r w:rsidRPr="009C3536">
              <w:rPr>
                <w:szCs w:val="24"/>
              </w:rPr>
              <w:t>Tre</w:t>
            </w:r>
            <w:r w:rsidR="00A62379" w:rsidRPr="009C3536">
              <w:rPr>
                <w:szCs w:val="24"/>
              </w:rPr>
              <w:t xml:space="preserve"> t</w:t>
            </w:r>
            <w:r w:rsidR="00A62379" w:rsidRPr="007F49A6">
              <w:rPr>
                <w:szCs w:val="24"/>
              </w:rPr>
              <w:t>jänstem</w:t>
            </w:r>
            <w:r w:rsidR="00EB2F7A" w:rsidRPr="007F49A6">
              <w:rPr>
                <w:szCs w:val="24"/>
              </w:rPr>
              <w:t>ä</w:t>
            </w:r>
            <w:r w:rsidR="00A62379" w:rsidRPr="007F49A6">
              <w:rPr>
                <w:szCs w:val="24"/>
              </w:rPr>
              <w:t>n</w:t>
            </w:r>
            <w:r w:rsidR="00CA5D22" w:rsidRPr="007F49A6">
              <w:rPr>
                <w:szCs w:val="24"/>
              </w:rPr>
              <w:t xml:space="preserve"> från utskottets kansli</w:t>
            </w:r>
            <w:r w:rsidR="008E34E1">
              <w:rPr>
                <w:szCs w:val="24"/>
              </w:rPr>
              <w:t xml:space="preserve"> </w:t>
            </w:r>
            <w:r w:rsidR="00CA5D22" w:rsidRPr="007F49A6">
              <w:rPr>
                <w:szCs w:val="24"/>
              </w:rPr>
              <w:t>var uppkopplade på distans.</w:t>
            </w:r>
          </w:p>
          <w:p w14:paraId="44FADBD1" w14:textId="66CFC8D9" w:rsidR="008E34E1" w:rsidRDefault="008E34E1" w:rsidP="00CA5D22">
            <w:pPr>
              <w:ind w:right="69"/>
              <w:rPr>
                <w:szCs w:val="24"/>
              </w:rPr>
            </w:pPr>
          </w:p>
          <w:p w14:paraId="13C2A836" w14:textId="77777777" w:rsidR="008E34E1" w:rsidRPr="002B3266" w:rsidRDefault="008E34E1" w:rsidP="008E34E1">
            <w:pPr>
              <w:ind w:right="69"/>
              <w:rPr>
                <w:szCs w:val="24"/>
              </w:rPr>
            </w:pPr>
            <w:r w:rsidRPr="002B3266">
              <w:rPr>
                <w:szCs w:val="24"/>
              </w:rPr>
              <w:t>En tjänsteman från EU-nämndens kansli var uppkopplad på distans under punkterna 2–3.</w:t>
            </w:r>
          </w:p>
          <w:p w14:paraId="4C3B3EFC" w14:textId="07694980" w:rsidR="00157F82" w:rsidRPr="00D10746" w:rsidRDefault="00157F82" w:rsidP="00EB2F7A">
            <w:pPr>
              <w:ind w:right="69"/>
              <w:rPr>
                <w:bCs/>
                <w:szCs w:val="24"/>
              </w:rPr>
            </w:pPr>
          </w:p>
        </w:tc>
      </w:tr>
      <w:tr w:rsidR="00184457" w:rsidRPr="00D10746" w14:paraId="418AE7E6" w14:textId="77777777" w:rsidTr="00804B3A">
        <w:tc>
          <w:tcPr>
            <w:tcW w:w="567" w:type="dxa"/>
          </w:tcPr>
          <w:p w14:paraId="07C4264B" w14:textId="4FF6849D" w:rsidR="00184457" w:rsidRPr="00D10746" w:rsidRDefault="00184457" w:rsidP="0096348C">
            <w:pPr>
              <w:tabs>
                <w:tab w:val="left" w:pos="1701"/>
              </w:tabs>
              <w:rPr>
                <w:b/>
                <w:snapToGrid w:val="0"/>
                <w:szCs w:val="24"/>
              </w:rPr>
            </w:pPr>
            <w:r>
              <w:rPr>
                <w:b/>
                <w:snapToGrid w:val="0"/>
                <w:szCs w:val="24"/>
              </w:rPr>
              <w:t>§ 2</w:t>
            </w:r>
          </w:p>
        </w:tc>
        <w:tc>
          <w:tcPr>
            <w:tcW w:w="7159" w:type="dxa"/>
          </w:tcPr>
          <w:p w14:paraId="2A229748" w14:textId="0FFCB8DE" w:rsidR="00C52734" w:rsidRPr="00C52734" w:rsidRDefault="00C52734" w:rsidP="00C52734">
            <w:pPr>
              <w:rPr>
                <w:b/>
                <w:color w:val="000000"/>
                <w:szCs w:val="24"/>
              </w:rPr>
            </w:pPr>
            <w:r w:rsidRPr="00C52734">
              <w:rPr>
                <w:b/>
                <w:color w:val="000000"/>
                <w:szCs w:val="24"/>
              </w:rPr>
              <w:t xml:space="preserve">EU-information från Socialdepartementet  </w:t>
            </w:r>
          </w:p>
          <w:p w14:paraId="370CEAF8" w14:textId="77777777" w:rsidR="00C52734" w:rsidRDefault="00C52734" w:rsidP="00C52734">
            <w:pPr>
              <w:rPr>
                <w:color w:val="000000"/>
                <w:szCs w:val="24"/>
              </w:rPr>
            </w:pPr>
          </w:p>
          <w:p w14:paraId="04F6939E" w14:textId="6EE7A9DD" w:rsidR="00184457" w:rsidRDefault="00C52734" w:rsidP="00C52734">
            <w:pPr>
              <w:rPr>
                <w:color w:val="000000"/>
                <w:szCs w:val="24"/>
              </w:rPr>
            </w:pPr>
            <w:r w:rsidRPr="00C52734">
              <w:rPr>
                <w:color w:val="000000"/>
                <w:szCs w:val="24"/>
              </w:rPr>
              <w:t>Statssekreterare Maja Fjaestad</w:t>
            </w:r>
            <w:r>
              <w:rPr>
                <w:color w:val="000000"/>
                <w:szCs w:val="24"/>
              </w:rPr>
              <w:t>, Socialdepartementet, med medarbetare</w:t>
            </w:r>
            <w:r w:rsidRPr="00C52734">
              <w:rPr>
                <w:color w:val="000000"/>
                <w:szCs w:val="24"/>
              </w:rPr>
              <w:t xml:space="preserve"> informera</w:t>
            </w:r>
            <w:r>
              <w:rPr>
                <w:color w:val="000000"/>
                <w:szCs w:val="24"/>
              </w:rPr>
              <w:t>de på distans</w:t>
            </w:r>
            <w:r w:rsidRPr="00C52734">
              <w:rPr>
                <w:color w:val="000000"/>
                <w:szCs w:val="24"/>
              </w:rPr>
              <w:t xml:space="preserve"> om aktuella EU-frågor.</w:t>
            </w:r>
          </w:p>
          <w:p w14:paraId="0AFDB163" w14:textId="55EF51CE" w:rsidR="00E2477B" w:rsidRPr="00D10746" w:rsidRDefault="00E2477B" w:rsidP="00C52734">
            <w:pPr>
              <w:rPr>
                <w:b/>
                <w:bCs/>
                <w:szCs w:val="24"/>
              </w:rPr>
            </w:pPr>
          </w:p>
        </w:tc>
      </w:tr>
      <w:tr w:rsidR="007C30FA" w:rsidRPr="00D10746" w14:paraId="67C96BDA" w14:textId="77777777" w:rsidTr="00804B3A">
        <w:tc>
          <w:tcPr>
            <w:tcW w:w="567" w:type="dxa"/>
          </w:tcPr>
          <w:p w14:paraId="3E7F1E7B" w14:textId="29E4C802" w:rsidR="007C30FA" w:rsidRDefault="007C30FA" w:rsidP="007C30FA">
            <w:pPr>
              <w:tabs>
                <w:tab w:val="left" w:pos="1701"/>
              </w:tabs>
              <w:rPr>
                <w:b/>
                <w:snapToGrid w:val="0"/>
                <w:szCs w:val="24"/>
              </w:rPr>
            </w:pPr>
            <w:r>
              <w:rPr>
                <w:b/>
                <w:snapToGrid w:val="0"/>
                <w:szCs w:val="24"/>
              </w:rPr>
              <w:t>§ 3</w:t>
            </w:r>
          </w:p>
        </w:tc>
        <w:tc>
          <w:tcPr>
            <w:tcW w:w="7159" w:type="dxa"/>
          </w:tcPr>
          <w:p w14:paraId="60FCD53E" w14:textId="77777777" w:rsidR="007C30FA" w:rsidRPr="00377EAC" w:rsidRDefault="007C30FA" w:rsidP="007C30FA">
            <w:pPr>
              <w:rPr>
                <w:b/>
                <w:bCs/>
                <w:szCs w:val="24"/>
              </w:rPr>
            </w:pPr>
            <w:r w:rsidRPr="00377EAC">
              <w:rPr>
                <w:b/>
                <w:bCs/>
                <w:szCs w:val="24"/>
              </w:rPr>
              <w:t>Överläggning - under förutsättning av utskottets beslut - med företrädare för regeringen</w:t>
            </w:r>
          </w:p>
          <w:p w14:paraId="5E8D9A31" w14:textId="77777777" w:rsidR="007C30FA" w:rsidRPr="00377EAC" w:rsidRDefault="007C30FA" w:rsidP="007C30FA">
            <w:pPr>
              <w:rPr>
                <w:b/>
                <w:bCs/>
                <w:szCs w:val="24"/>
              </w:rPr>
            </w:pPr>
          </w:p>
          <w:p w14:paraId="79612E80" w14:textId="77777777" w:rsidR="007C30FA" w:rsidRPr="00377EAC" w:rsidRDefault="007C30FA" w:rsidP="007C30FA">
            <w:pPr>
              <w:rPr>
                <w:rStyle w:val="bold"/>
                <w:rFonts w:eastAsia="Calibri"/>
                <w:bCs/>
                <w:szCs w:val="24"/>
                <w:lang w:eastAsia="en-US"/>
              </w:rPr>
            </w:pPr>
            <w:r w:rsidRPr="00377EAC">
              <w:rPr>
                <w:rStyle w:val="bold"/>
                <w:rFonts w:eastAsia="Calibri"/>
                <w:bCs/>
                <w:szCs w:val="24"/>
                <w:lang w:eastAsia="en-US"/>
              </w:rPr>
              <w:t xml:space="preserve">Utskottet beslutade med stöd av 7 kap. 12 § riksdagsordningen att överlägga med regeringen och överlade därefter med </w:t>
            </w:r>
            <w:r w:rsidRPr="00377EAC">
              <w:t>s</w:t>
            </w:r>
            <w:r w:rsidRPr="00377EAC">
              <w:rPr>
                <w:szCs w:val="24"/>
              </w:rPr>
              <w:t>tatssekreterare Maja Fjaestad</w:t>
            </w:r>
            <w:r w:rsidRPr="00377EAC">
              <w:rPr>
                <w:rStyle w:val="bold"/>
                <w:rFonts w:eastAsia="Calibri"/>
                <w:bCs/>
                <w:szCs w:val="24"/>
                <w:lang w:eastAsia="en-US"/>
              </w:rPr>
              <w:t>, Socialdepartementet, med medarbetare på distans.</w:t>
            </w:r>
          </w:p>
          <w:p w14:paraId="2041E980" w14:textId="77777777" w:rsidR="007C30FA" w:rsidRPr="00377EAC" w:rsidRDefault="007C30FA" w:rsidP="007C30FA">
            <w:pPr>
              <w:rPr>
                <w:rStyle w:val="bold"/>
                <w:rFonts w:eastAsia="Calibri"/>
                <w:bCs/>
                <w:szCs w:val="24"/>
                <w:lang w:eastAsia="en-US"/>
              </w:rPr>
            </w:pPr>
            <w:r w:rsidRPr="00377EAC">
              <w:rPr>
                <w:rStyle w:val="bold"/>
                <w:rFonts w:eastAsia="Calibri"/>
                <w:bCs/>
                <w:szCs w:val="24"/>
                <w:lang w:eastAsia="en-US"/>
              </w:rPr>
              <w:t xml:space="preserve"> </w:t>
            </w:r>
          </w:p>
          <w:p w14:paraId="1BA796DD" w14:textId="778E55CD" w:rsidR="007C30FA" w:rsidRPr="00527F69" w:rsidRDefault="007C30FA" w:rsidP="007C30FA">
            <w:pPr>
              <w:tabs>
                <w:tab w:val="left" w:pos="1701"/>
              </w:tabs>
              <w:rPr>
                <w:rStyle w:val="bold"/>
                <w:rFonts w:eastAsia="Calibri"/>
                <w:bCs/>
                <w:szCs w:val="24"/>
                <w:lang w:eastAsia="en-US"/>
              </w:rPr>
            </w:pPr>
            <w:r w:rsidRPr="00527F69">
              <w:rPr>
                <w:rStyle w:val="bold"/>
                <w:rFonts w:eastAsia="Calibri"/>
                <w:bCs/>
                <w:szCs w:val="24"/>
                <w:lang w:eastAsia="en-US"/>
              </w:rPr>
              <w:t>Underlaget utgjordes av kommissionens</w:t>
            </w:r>
            <w:r w:rsidR="00887F04" w:rsidRPr="00527F69">
              <w:rPr>
                <w:rStyle w:val="bold"/>
                <w:rFonts w:eastAsia="Calibri"/>
                <w:bCs/>
                <w:szCs w:val="24"/>
                <w:lang w:eastAsia="en-US"/>
              </w:rPr>
              <w:t xml:space="preserve"> meddelande som introducerar den europeiska myndigheten för beredskap vid hälsokriser </w:t>
            </w:r>
            <w:r w:rsidR="00527F69" w:rsidRPr="00527F69">
              <w:rPr>
                <w:rStyle w:val="bold"/>
                <w:rFonts w:eastAsia="Calibri"/>
                <w:bCs/>
                <w:szCs w:val="24"/>
                <w:lang w:eastAsia="en-US"/>
              </w:rPr>
              <w:t xml:space="preserve">HERA, </w:t>
            </w:r>
            <w:proofErr w:type="gramStart"/>
            <w:r w:rsidR="00527F69" w:rsidRPr="00527F69">
              <w:rPr>
                <w:rStyle w:val="bold"/>
                <w:rFonts w:eastAsia="Calibri"/>
                <w:bCs/>
                <w:szCs w:val="24"/>
                <w:lang w:eastAsia="en-US"/>
              </w:rPr>
              <w:t>COM(</w:t>
            </w:r>
            <w:proofErr w:type="gramEnd"/>
            <w:r w:rsidR="00527F69" w:rsidRPr="00527F69">
              <w:rPr>
                <w:rStyle w:val="bold"/>
                <w:rFonts w:eastAsia="Calibri"/>
                <w:bCs/>
                <w:szCs w:val="24"/>
                <w:lang w:eastAsia="en-US"/>
              </w:rPr>
              <w:t>2021) 576</w:t>
            </w:r>
            <w:r w:rsidR="00887F04" w:rsidRPr="00527F69">
              <w:rPr>
                <w:rStyle w:val="bold"/>
                <w:rFonts w:eastAsia="Calibri"/>
                <w:bCs/>
                <w:szCs w:val="24"/>
                <w:lang w:eastAsia="en-US"/>
              </w:rPr>
              <w:t xml:space="preserve"> samt </w:t>
            </w:r>
            <w:r w:rsidR="00527F69" w:rsidRPr="00527F69">
              <w:rPr>
                <w:rStyle w:val="bold"/>
                <w:rFonts w:eastAsia="Calibri"/>
                <w:bCs/>
                <w:szCs w:val="24"/>
                <w:lang w:eastAsia="en-US"/>
              </w:rPr>
              <w:t xml:space="preserve">kommissionens </w:t>
            </w:r>
            <w:r w:rsidR="00887F04" w:rsidRPr="00527F69">
              <w:rPr>
                <w:rStyle w:val="bold"/>
                <w:rFonts w:eastAsia="Calibri"/>
                <w:bCs/>
                <w:szCs w:val="24"/>
                <w:lang w:eastAsia="en-US"/>
              </w:rPr>
              <w:t>förslag till en rådsförordning om ett ramverk för åtgärder för att säkerställa tillgången till krisrelevanta medicinska motåtgärder i händelse av en hälsokris på unionsnivå</w:t>
            </w:r>
            <w:r w:rsidR="00527F69" w:rsidRPr="00527F69">
              <w:rPr>
                <w:rStyle w:val="bold"/>
                <w:rFonts w:eastAsia="Calibri"/>
                <w:bCs/>
                <w:szCs w:val="24"/>
                <w:lang w:eastAsia="en-US"/>
              </w:rPr>
              <w:t>, COM(2021) 577</w:t>
            </w:r>
            <w:r w:rsidR="00887F04" w:rsidRPr="00527F69">
              <w:rPr>
                <w:rStyle w:val="bold"/>
                <w:rFonts w:eastAsia="Calibri"/>
                <w:bCs/>
                <w:szCs w:val="24"/>
                <w:lang w:eastAsia="en-US"/>
              </w:rPr>
              <w:t xml:space="preserve"> </w:t>
            </w:r>
            <w:r w:rsidRPr="00527F69">
              <w:t xml:space="preserve">och </w:t>
            </w:r>
            <w:r w:rsidRPr="00527F69">
              <w:rPr>
                <w:rStyle w:val="bold"/>
                <w:rFonts w:eastAsia="Calibri"/>
                <w:bCs/>
                <w:szCs w:val="24"/>
                <w:lang w:eastAsia="en-US"/>
              </w:rPr>
              <w:t xml:space="preserve">en överläggningspromemoria från Socialdepartementet (dnr. </w:t>
            </w:r>
            <w:r w:rsidR="005A628D" w:rsidRPr="00527F69">
              <w:rPr>
                <w:rStyle w:val="bold"/>
                <w:rFonts w:eastAsia="Calibri"/>
                <w:bCs/>
                <w:szCs w:val="24"/>
                <w:lang w:eastAsia="en-US"/>
              </w:rPr>
              <w:t>154</w:t>
            </w:r>
            <w:r w:rsidRPr="00527F69">
              <w:rPr>
                <w:rStyle w:val="bold"/>
                <w:rFonts w:eastAsia="Calibri"/>
                <w:bCs/>
                <w:szCs w:val="24"/>
                <w:lang w:eastAsia="en-US"/>
              </w:rPr>
              <w:t>–2021/22).</w:t>
            </w:r>
          </w:p>
          <w:p w14:paraId="07535B14" w14:textId="77777777" w:rsidR="007C30FA" w:rsidRPr="00937EFE" w:rsidRDefault="007C30FA" w:rsidP="007C30FA">
            <w:pPr>
              <w:tabs>
                <w:tab w:val="left" w:pos="1701"/>
              </w:tabs>
              <w:rPr>
                <w:rStyle w:val="bold"/>
                <w:rFonts w:eastAsia="Calibri"/>
                <w:bCs/>
                <w:color w:val="FF0000"/>
                <w:szCs w:val="24"/>
                <w:lang w:eastAsia="en-US"/>
              </w:rPr>
            </w:pPr>
          </w:p>
          <w:p w14:paraId="23D9C9FC" w14:textId="77777777" w:rsidR="007C30FA" w:rsidRPr="00937EFE" w:rsidRDefault="007C30FA" w:rsidP="007C30FA">
            <w:pPr>
              <w:tabs>
                <w:tab w:val="left" w:pos="1701"/>
              </w:tabs>
              <w:rPr>
                <w:rStyle w:val="bold"/>
                <w:rFonts w:eastAsia="Calibri"/>
                <w:bCs/>
                <w:color w:val="FF0000"/>
                <w:szCs w:val="24"/>
                <w:lang w:eastAsia="en-US"/>
              </w:rPr>
            </w:pPr>
            <w:r w:rsidRPr="004749C9">
              <w:rPr>
                <w:rStyle w:val="bold"/>
                <w:rFonts w:eastAsia="Calibri"/>
                <w:bCs/>
                <w:szCs w:val="24"/>
                <w:lang w:eastAsia="en-US"/>
              </w:rPr>
              <w:t>Stats</w:t>
            </w:r>
            <w:r>
              <w:rPr>
                <w:rStyle w:val="bold"/>
                <w:rFonts w:eastAsia="Calibri"/>
                <w:bCs/>
                <w:szCs w:val="24"/>
                <w:lang w:eastAsia="en-US"/>
              </w:rPr>
              <w:t>sekreteraren</w:t>
            </w:r>
            <w:r w:rsidRPr="004749C9">
              <w:rPr>
                <w:rStyle w:val="bold"/>
                <w:rFonts w:eastAsia="Calibri"/>
                <w:bCs/>
                <w:szCs w:val="24"/>
                <w:lang w:eastAsia="en-US"/>
              </w:rPr>
              <w:t xml:space="preserve"> redogjorde för regeringens ståndpunkt i enlighet med överläggningspromemorian:</w:t>
            </w:r>
          </w:p>
          <w:p w14:paraId="75269977" w14:textId="77777777" w:rsidR="007C30FA" w:rsidRPr="00937EFE" w:rsidRDefault="007C30FA" w:rsidP="007C30FA">
            <w:pPr>
              <w:tabs>
                <w:tab w:val="left" w:pos="1701"/>
              </w:tabs>
              <w:rPr>
                <w:rStyle w:val="bold"/>
                <w:rFonts w:eastAsia="Calibri"/>
                <w:bCs/>
                <w:color w:val="FF0000"/>
                <w:szCs w:val="24"/>
                <w:lang w:eastAsia="en-US"/>
              </w:rPr>
            </w:pPr>
          </w:p>
          <w:p w14:paraId="2303AFB8" w14:textId="51B9579D" w:rsidR="00887F04" w:rsidRPr="00527F69" w:rsidRDefault="00887F04" w:rsidP="00887F04">
            <w:pPr>
              <w:tabs>
                <w:tab w:val="left" w:pos="1701"/>
              </w:tabs>
              <w:ind w:left="280" w:right="495"/>
              <w:rPr>
                <w:rStyle w:val="bold"/>
                <w:rFonts w:eastAsia="Calibri"/>
                <w:bCs/>
                <w:i/>
                <w:sz w:val="22"/>
                <w:szCs w:val="22"/>
                <w:lang w:eastAsia="en-US"/>
              </w:rPr>
            </w:pPr>
            <w:r w:rsidRPr="00527F69">
              <w:rPr>
                <w:rStyle w:val="bold"/>
                <w:rFonts w:eastAsia="Calibri"/>
                <w:bCs/>
                <w:i/>
                <w:sz w:val="22"/>
                <w:szCs w:val="22"/>
                <w:lang w:eastAsia="en-US"/>
              </w:rPr>
              <w:lastRenderedPageBreak/>
              <w:t>Europeiska kommissionens meddelande som introducerar den europeiska myndigheten för beredskap vid hälsokriser, Hera:</w:t>
            </w:r>
          </w:p>
          <w:p w14:paraId="5F78F8A3" w14:textId="77777777" w:rsidR="00887F04" w:rsidRPr="00527F69" w:rsidRDefault="00887F04" w:rsidP="00887F04">
            <w:pPr>
              <w:tabs>
                <w:tab w:val="left" w:pos="1701"/>
              </w:tabs>
              <w:ind w:left="280" w:right="495"/>
              <w:rPr>
                <w:rStyle w:val="bold"/>
                <w:rFonts w:eastAsia="Calibri"/>
                <w:bCs/>
                <w:sz w:val="22"/>
                <w:szCs w:val="22"/>
                <w:lang w:eastAsia="en-US"/>
              </w:rPr>
            </w:pPr>
          </w:p>
          <w:p w14:paraId="2F8E0D64" w14:textId="65E18AFC" w:rsidR="00887F04" w:rsidRPr="00527F69" w:rsidRDefault="00887F04" w:rsidP="00887F04">
            <w:pPr>
              <w:tabs>
                <w:tab w:val="left" w:pos="1701"/>
              </w:tabs>
              <w:ind w:left="280" w:right="495"/>
              <w:rPr>
                <w:rStyle w:val="bold"/>
                <w:rFonts w:eastAsia="Calibri"/>
                <w:bCs/>
                <w:sz w:val="22"/>
                <w:szCs w:val="22"/>
                <w:lang w:eastAsia="en-US"/>
              </w:rPr>
            </w:pPr>
            <w:r w:rsidRPr="00527F69">
              <w:rPr>
                <w:rStyle w:val="bold"/>
                <w:rFonts w:eastAsia="Calibri"/>
                <w:bCs/>
                <w:sz w:val="22"/>
                <w:szCs w:val="22"/>
                <w:lang w:eastAsia="en-US"/>
              </w:rPr>
              <w:t>Regeringen välkomnar kommissionens avsikt att stärka samarbetet mellan medlemsstaterna för att gemensamt bekämpa framtida gränsöverskridande hälsokriser. Det är i det sammanhanget viktigt att beakta hela bredden av sådana gränsöverskridande hälsohot då vi inte vet hur nästa hälsohot kommer se ut. I detta avseende kan Hera bidra genom analys och kartläggning. Regeringen avser verka för att även frågan om antimikrobiell resistens omfattas av Heras arbete. Vidare anser regeringen att det är viktigt att inför och under hälsokriser säkra tillgången på medicinska motåtgärder. Regeringen ställer sig därför bakom behovet att stödja forskning, utveckling, produktion och distribution av kritiska produkter inom EU. Regeringen anser också att diversifiering och motståndskraft i globala medicinska försörjningskedjor är viktigt. En utgångspunkt i regeringens arbete är att kompetensfördelningen på hälsoområdet ska respekteras och att arbetet har ett europeiskt mervärde. Regeringen avser vidare bevaka frågan om hur Heras verksamhet förhåller sig till mandaten för den europeiska smittskyddsmyndigheten ECDC och den europeiska läkemedelsmyndigheten EMA i syfte att bidra med synergier samtidigt som överlappning och otydlighet i förhållande till befintliga strukturer och institutioner undviks. Regeringen ser också behov av samverkan med globala organisationer som WHO, FAO och OIE som verkar inom dessa frågor.</w:t>
            </w:r>
          </w:p>
          <w:p w14:paraId="77A48220" w14:textId="77777777" w:rsidR="00887F04" w:rsidRPr="00527F69" w:rsidRDefault="00887F04" w:rsidP="00887F04">
            <w:pPr>
              <w:tabs>
                <w:tab w:val="left" w:pos="1701"/>
              </w:tabs>
              <w:ind w:left="280" w:right="495"/>
              <w:rPr>
                <w:rStyle w:val="bold"/>
                <w:rFonts w:eastAsia="Calibri"/>
                <w:bCs/>
                <w:sz w:val="22"/>
                <w:szCs w:val="22"/>
                <w:lang w:eastAsia="en-US"/>
              </w:rPr>
            </w:pPr>
          </w:p>
          <w:p w14:paraId="77F4BBA8" w14:textId="78B55443" w:rsidR="00887F04" w:rsidRPr="00527F69" w:rsidRDefault="00887F04" w:rsidP="00887F04">
            <w:pPr>
              <w:tabs>
                <w:tab w:val="left" w:pos="1701"/>
              </w:tabs>
              <w:ind w:left="280" w:right="495"/>
              <w:rPr>
                <w:rStyle w:val="bold"/>
                <w:rFonts w:eastAsia="Calibri"/>
                <w:bCs/>
                <w:i/>
                <w:sz w:val="22"/>
                <w:szCs w:val="22"/>
                <w:lang w:eastAsia="en-US"/>
              </w:rPr>
            </w:pPr>
            <w:r w:rsidRPr="00527F69">
              <w:rPr>
                <w:rStyle w:val="bold"/>
                <w:rFonts w:eastAsia="Calibri"/>
                <w:bCs/>
                <w:i/>
                <w:sz w:val="22"/>
                <w:szCs w:val="22"/>
                <w:lang w:eastAsia="en-US"/>
              </w:rPr>
              <w:t>Förslag till en rådsförordning om ett ramverk för åtgärder för att säkerställa tillgången till krisrelevanta medicinska motåtgärder i händelse av en hälsokris på unionsnivå:</w:t>
            </w:r>
          </w:p>
          <w:p w14:paraId="02D01C3D" w14:textId="77777777" w:rsidR="00887F04" w:rsidRPr="00527F69" w:rsidRDefault="00887F04" w:rsidP="00887F04">
            <w:pPr>
              <w:tabs>
                <w:tab w:val="left" w:pos="1701"/>
              </w:tabs>
              <w:ind w:left="280" w:right="495"/>
              <w:rPr>
                <w:rStyle w:val="bold"/>
                <w:rFonts w:eastAsia="Calibri"/>
                <w:bCs/>
                <w:sz w:val="22"/>
                <w:szCs w:val="22"/>
                <w:lang w:eastAsia="en-US"/>
              </w:rPr>
            </w:pPr>
          </w:p>
          <w:p w14:paraId="04D7FB8C" w14:textId="77777777" w:rsidR="00887F04" w:rsidRPr="00527F69" w:rsidRDefault="00887F04" w:rsidP="00887F04">
            <w:pPr>
              <w:tabs>
                <w:tab w:val="left" w:pos="1701"/>
              </w:tabs>
              <w:ind w:left="280" w:right="495"/>
              <w:rPr>
                <w:rStyle w:val="bold"/>
                <w:rFonts w:eastAsia="Calibri"/>
                <w:bCs/>
                <w:sz w:val="22"/>
                <w:szCs w:val="22"/>
                <w:lang w:eastAsia="en-US"/>
              </w:rPr>
            </w:pPr>
            <w:r w:rsidRPr="00527F69">
              <w:rPr>
                <w:rStyle w:val="bold"/>
                <w:rFonts w:eastAsia="Calibri"/>
                <w:bCs/>
                <w:sz w:val="22"/>
                <w:szCs w:val="22"/>
                <w:lang w:eastAsia="en-US"/>
              </w:rPr>
              <w:t xml:space="preserve">Regeringen välkomnar att kommissionen har presenterat ett förslag till </w:t>
            </w:r>
          </w:p>
          <w:p w14:paraId="2B2EEAB1" w14:textId="484A33B3" w:rsidR="007C30FA" w:rsidRPr="00527F69" w:rsidRDefault="00887F04" w:rsidP="00887F04">
            <w:pPr>
              <w:tabs>
                <w:tab w:val="left" w:pos="1701"/>
              </w:tabs>
              <w:ind w:left="280" w:right="495"/>
              <w:rPr>
                <w:rStyle w:val="bold"/>
                <w:rFonts w:eastAsia="Calibri"/>
                <w:bCs/>
                <w:sz w:val="22"/>
                <w:szCs w:val="22"/>
                <w:lang w:eastAsia="en-US"/>
              </w:rPr>
            </w:pPr>
            <w:r w:rsidRPr="00527F69">
              <w:rPr>
                <w:rStyle w:val="bold"/>
                <w:rFonts w:eastAsia="Calibri"/>
                <w:bCs/>
                <w:sz w:val="22"/>
                <w:szCs w:val="22"/>
                <w:lang w:eastAsia="en-US"/>
              </w:rPr>
              <w:t>förordning som syftar till att stärka samarbetet mellan</w:t>
            </w:r>
            <w:r w:rsidR="00966AB5" w:rsidRPr="00527F69">
              <w:rPr>
                <w:rStyle w:val="bold"/>
                <w:rFonts w:eastAsia="Calibri"/>
                <w:bCs/>
                <w:sz w:val="22"/>
                <w:szCs w:val="22"/>
                <w:lang w:eastAsia="en-US"/>
              </w:rPr>
              <w:t xml:space="preserve"> </w:t>
            </w:r>
            <w:r w:rsidRPr="00527F69">
              <w:rPr>
                <w:rStyle w:val="bold"/>
                <w:rFonts w:eastAsia="Calibri"/>
                <w:bCs/>
                <w:sz w:val="22"/>
                <w:szCs w:val="22"/>
                <w:lang w:eastAsia="en-US"/>
              </w:rPr>
              <w:t>medlemsstaterna och säkra tillgången till kritiska produkter i händelse av en framtida gränsöverskridande hälsokris. Regeringen avser verka för att det föreslagna ramverket har flexibilitet att hantera olika typer av hälsokriser och kan fungera snabbt och målinriktat i händelse av sådan kris. Regeringen anser att det finns behov av att tydliggöra vissa aspekter av det föreslagna ramverket, t.ex. hur arbetet i hälsokrisstyrelsen förhåller sig till arbetet i Hälsosäkerhetskommittén samt hur ramverket fungerar i relation till verksamheten inom ECDC och EMA. En utgångspunkt i regeringens arbete är att kompetensfördelningen på hälsoområdet ska respekteras och att arbetet har ett europeiskt mervärde.</w:t>
            </w:r>
            <w:r w:rsidR="007C30FA" w:rsidRPr="00527F69">
              <w:rPr>
                <w:rStyle w:val="bold"/>
                <w:rFonts w:eastAsia="Calibri"/>
                <w:bCs/>
                <w:sz w:val="22"/>
                <w:szCs w:val="22"/>
                <w:lang w:eastAsia="en-US"/>
              </w:rPr>
              <w:t xml:space="preserve"> </w:t>
            </w:r>
          </w:p>
          <w:p w14:paraId="70D6CF51" w14:textId="5178E7E5" w:rsidR="007C30FA" w:rsidRDefault="007C30FA" w:rsidP="007C30FA">
            <w:pPr>
              <w:tabs>
                <w:tab w:val="left" w:pos="1701"/>
              </w:tabs>
              <w:rPr>
                <w:rStyle w:val="bold"/>
                <w:rFonts w:eastAsia="Calibri"/>
                <w:bCs/>
                <w:color w:val="FF0000"/>
                <w:szCs w:val="24"/>
                <w:lang w:eastAsia="en-US"/>
              </w:rPr>
            </w:pPr>
          </w:p>
          <w:p w14:paraId="23CD3A1C" w14:textId="760314E8" w:rsidR="00B87834" w:rsidRPr="00BD64CE" w:rsidRDefault="00B87834" w:rsidP="00B87834">
            <w:pPr>
              <w:tabs>
                <w:tab w:val="left" w:pos="1701"/>
              </w:tabs>
              <w:ind w:right="495"/>
              <w:rPr>
                <w:rStyle w:val="bold"/>
                <w:rFonts w:eastAsia="Calibri"/>
                <w:bCs/>
                <w:szCs w:val="24"/>
                <w:lang w:eastAsia="en-US"/>
              </w:rPr>
            </w:pPr>
            <w:r w:rsidRPr="00BD64CE">
              <w:rPr>
                <w:rStyle w:val="bold"/>
                <w:rFonts w:eastAsia="Calibri"/>
                <w:bCs/>
                <w:szCs w:val="24"/>
                <w:lang w:eastAsia="en-US"/>
              </w:rPr>
              <w:t>Överläggningen motiverade stats</w:t>
            </w:r>
            <w:r w:rsidR="008B6C2A">
              <w:rPr>
                <w:rStyle w:val="bold"/>
                <w:rFonts w:eastAsia="Calibri"/>
                <w:bCs/>
                <w:szCs w:val="24"/>
                <w:lang w:eastAsia="en-US"/>
              </w:rPr>
              <w:t>sekreteraren</w:t>
            </w:r>
            <w:r w:rsidRPr="00BD64CE">
              <w:rPr>
                <w:rStyle w:val="bold"/>
                <w:rFonts w:eastAsia="Calibri"/>
                <w:bCs/>
                <w:szCs w:val="24"/>
                <w:lang w:eastAsia="en-US"/>
              </w:rPr>
              <w:t xml:space="preserve"> att göra följande tillägg till ståndpunkten:</w:t>
            </w:r>
          </w:p>
          <w:p w14:paraId="133B091C" w14:textId="77777777" w:rsidR="00B87834" w:rsidRPr="00B87834" w:rsidRDefault="00B87834" w:rsidP="00B87834">
            <w:pPr>
              <w:tabs>
                <w:tab w:val="left" w:pos="1701"/>
              </w:tabs>
              <w:ind w:right="495"/>
              <w:rPr>
                <w:rStyle w:val="bold"/>
                <w:rFonts w:eastAsia="Calibri"/>
                <w:bCs/>
                <w:color w:val="FF0000"/>
                <w:szCs w:val="24"/>
                <w:lang w:eastAsia="en-US"/>
              </w:rPr>
            </w:pPr>
          </w:p>
          <w:p w14:paraId="5AD92ED8" w14:textId="70441485" w:rsidR="00B87834" w:rsidRPr="00527F69" w:rsidRDefault="00B87834" w:rsidP="00B87834">
            <w:pPr>
              <w:tabs>
                <w:tab w:val="left" w:pos="1701"/>
              </w:tabs>
              <w:ind w:right="495"/>
              <w:rPr>
                <w:rStyle w:val="bold"/>
                <w:rFonts w:eastAsia="Calibri"/>
                <w:bCs/>
                <w:color w:val="FF0000"/>
                <w:szCs w:val="24"/>
                <w:lang w:eastAsia="en-US"/>
              </w:rPr>
            </w:pPr>
            <w:r w:rsidRPr="00527F69">
              <w:rPr>
                <w:rStyle w:val="bold"/>
                <w:rFonts w:eastAsia="Calibri"/>
                <w:bCs/>
                <w:szCs w:val="24"/>
                <w:lang w:eastAsia="en-US"/>
              </w:rPr>
              <w:t>I första stycket</w:t>
            </w:r>
            <w:r w:rsidR="00527F69">
              <w:rPr>
                <w:rStyle w:val="bold"/>
                <w:rFonts w:eastAsia="Calibri"/>
                <w:bCs/>
                <w:szCs w:val="24"/>
                <w:lang w:eastAsia="en-US"/>
              </w:rPr>
              <w:t xml:space="preserve"> </w:t>
            </w:r>
            <w:r w:rsidRPr="00527F69">
              <w:rPr>
                <w:rStyle w:val="bold"/>
                <w:rFonts w:eastAsia="Calibri"/>
                <w:bCs/>
                <w:szCs w:val="24"/>
                <w:lang w:eastAsia="en-US"/>
              </w:rPr>
              <w:t xml:space="preserve">efter </w:t>
            </w:r>
            <w:r w:rsidR="00527F69" w:rsidRPr="00527F69">
              <w:rPr>
                <w:rStyle w:val="bold"/>
                <w:rFonts w:eastAsia="Calibri"/>
                <w:bCs/>
                <w:szCs w:val="24"/>
                <w:lang w:eastAsia="en-US"/>
              </w:rPr>
              <w:t xml:space="preserve">meningen som slutar med orden ”ett europeiskt mervärde” </w:t>
            </w:r>
            <w:r w:rsidRPr="00527F69">
              <w:rPr>
                <w:rStyle w:val="bold"/>
                <w:rFonts w:eastAsia="Calibri"/>
                <w:bCs/>
                <w:szCs w:val="24"/>
                <w:lang w:eastAsia="en-US"/>
              </w:rPr>
              <w:t xml:space="preserve">ska följande </w:t>
            </w:r>
            <w:r w:rsidR="00022E5A">
              <w:rPr>
                <w:rStyle w:val="bold"/>
                <w:rFonts w:eastAsia="Calibri"/>
                <w:bCs/>
                <w:szCs w:val="24"/>
                <w:lang w:eastAsia="en-US"/>
              </w:rPr>
              <w:t xml:space="preserve">mening </w:t>
            </w:r>
            <w:r w:rsidRPr="00527F69">
              <w:rPr>
                <w:rStyle w:val="bold"/>
                <w:rFonts w:eastAsia="Calibri"/>
                <w:bCs/>
                <w:szCs w:val="24"/>
                <w:lang w:eastAsia="en-US"/>
              </w:rPr>
              <w:t>införas:</w:t>
            </w:r>
            <w:r w:rsidR="00527F69" w:rsidRPr="00527F69">
              <w:rPr>
                <w:rStyle w:val="bold"/>
                <w:rFonts w:eastAsia="Calibri"/>
                <w:bCs/>
                <w:szCs w:val="24"/>
                <w:lang w:eastAsia="en-US"/>
              </w:rPr>
              <w:br/>
            </w:r>
            <w:r w:rsidRPr="00527F69">
              <w:rPr>
                <w:rStyle w:val="bold"/>
                <w:rFonts w:eastAsia="Calibri"/>
                <w:bCs/>
                <w:color w:val="FF0000"/>
                <w:szCs w:val="24"/>
                <w:lang w:eastAsia="en-US"/>
              </w:rPr>
              <w:t xml:space="preserve"> </w:t>
            </w:r>
          </w:p>
          <w:p w14:paraId="56B806E2" w14:textId="1DF33C90" w:rsidR="00B87834" w:rsidRPr="00527F69" w:rsidRDefault="00E753D2" w:rsidP="00527F69">
            <w:pPr>
              <w:tabs>
                <w:tab w:val="left" w:pos="1701"/>
              </w:tabs>
              <w:ind w:left="280" w:right="495"/>
              <w:rPr>
                <w:rStyle w:val="bold"/>
                <w:rFonts w:eastAsia="Calibri"/>
                <w:bCs/>
                <w:sz w:val="22"/>
                <w:szCs w:val="22"/>
                <w:lang w:eastAsia="en-US"/>
              </w:rPr>
            </w:pPr>
            <w:r w:rsidRPr="00527F69">
              <w:rPr>
                <w:color w:val="000000"/>
                <w:sz w:val="22"/>
                <w:szCs w:val="22"/>
              </w:rPr>
              <w:t>Regeringen ska verka för att demokratisk insyn och demokratisk påverkan säkerställs i hela processen</w:t>
            </w:r>
            <w:r w:rsidR="00527F69" w:rsidRPr="00527F69">
              <w:rPr>
                <w:color w:val="000000"/>
                <w:sz w:val="22"/>
                <w:szCs w:val="22"/>
              </w:rPr>
              <w:t>.</w:t>
            </w:r>
            <w:r w:rsidRPr="00527F69">
              <w:rPr>
                <w:color w:val="000000"/>
                <w:sz w:val="22"/>
                <w:szCs w:val="22"/>
              </w:rPr>
              <w:t xml:space="preserve"> </w:t>
            </w:r>
          </w:p>
          <w:p w14:paraId="266526D1" w14:textId="77777777" w:rsidR="00B87834" w:rsidRPr="00937EFE" w:rsidRDefault="00B87834" w:rsidP="007C30FA">
            <w:pPr>
              <w:tabs>
                <w:tab w:val="left" w:pos="1701"/>
              </w:tabs>
              <w:rPr>
                <w:rStyle w:val="bold"/>
                <w:rFonts w:eastAsia="Calibri"/>
                <w:bCs/>
                <w:color w:val="FF0000"/>
                <w:szCs w:val="24"/>
                <w:lang w:eastAsia="en-US"/>
              </w:rPr>
            </w:pPr>
          </w:p>
          <w:p w14:paraId="2C2BD9D2" w14:textId="21AB57D9" w:rsidR="00BD64CE" w:rsidRPr="00527F69" w:rsidRDefault="007C30FA" w:rsidP="00527F69">
            <w:pPr>
              <w:tabs>
                <w:tab w:val="left" w:pos="1701"/>
              </w:tabs>
              <w:rPr>
                <w:rStyle w:val="bold"/>
                <w:rFonts w:eastAsia="Calibri"/>
                <w:bCs/>
                <w:szCs w:val="24"/>
                <w:lang w:eastAsia="en-US"/>
              </w:rPr>
            </w:pPr>
            <w:r w:rsidRPr="00D2508E">
              <w:rPr>
                <w:rStyle w:val="bold"/>
                <w:rFonts w:eastAsia="Calibri"/>
                <w:bCs/>
                <w:szCs w:val="24"/>
                <w:lang w:eastAsia="en-US"/>
              </w:rPr>
              <w:t>Ordföranden konstaterade att det fanns stöd för regeringens ståndpunkt.</w:t>
            </w:r>
          </w:p>
          <w:p w14:paraId="6209018D" w14:textId="77777777" w:rsidR="00BD64CE" w:rsidRPr="00EB1B6E" w:rsidRDefault="00BD64CE" w:rsidP="007C30FA">
            <w:pPr>
              <w:tabs>
                <w:tab w:val="left" w:pos="1701"/>
              </w:tabs>
              <w:rPr>
                <w:rStyle w:val="bold"/>
                <w:rFonts w:eastAsia="Calibri"/>
                <w:bCs/>
                <w:color w:val="FF0000"/>
                <w:szCs w:val="24"/>
                <w:lang w:eastAsia="en-US"/>
              </w:rPr>
            </w:pPr>
          </w:p>
          <w:p w14:paraId="2DC132DF" w14:textId="4555F1A7" w:rsidR="007C30FA" w:rsidRPr="00527F69" w:rsidRDefault="007C30FA" w:rsidP="007C30FA">
            <w:pPr>
              <w:rPr>
                <w:bCs/>
                <w:szCs w:val="24"/>
              </w:rPr>
            </w:pPr>
            <w:r w:rsidRPr="00D2508E">
              <w:rPr>
                <w:rStyle w:val="bold"/>
                <w:rFonts w:eastAsia="Calibri"/>
                <w:bCs/>
                <w:szCs w:val="24"/>
                <w:lang w:eastAsia="en-US"/>
              </w:rPr>
              <w:t>Denna paragraf förklarades omedelbart justerad.</w:t>
            </w:r>
          </w:p>
        </w:tc>
      </w:tr>
      <w:tr w:rsidR="007C30FA" w:rsidRPr="00D10746" w14:paraId="32025E9B" w14:textId="77777777" w:rsidTr="00804B3A">
        <w:tc>
          <w:tcPr>
            <w:tcW w:w="567" w:type="dxa"/>
          </w:tcPr>
          <w:p w14:paraId="17704F8B" w14:textId="4ADB9FB4" w:rsidR="007C30FA" w:rsidRPr="00D10746" w:rsidRDefault="007C30FA" w:rsidP="007C30FA">
            <w:pPr>
              <w:tabs>
                <w:tab w:val="left" w:pos="1701"/>
              </w:tabs>
              <w:rPr>
                <w:b/>
                <w:snapToGrid w:val="0"/>
                <w:szCs w:val="24"/>
              </w:rPr>
            </w:pPr>
            <w:r>
              <w:rPr>
                <w:b/>
                <w:snapToGrid w:val="0"/>
                <w:szCs w:val="24"/>
              </w:rPr>
              <w:lastRenderedPageBreak/>
              <w:t>§ 4</w:t>
            </w:r>
          </w:p>
        </w:tc>
        <w:tc>
          <w:tcPr>
            <w:tcW w:w="7159" w:type="dxa"/>
          </w:tcPr>
          <w:p w14:paraId="1FF42E3C" w14:textId="77777777" w:rsidR="007C30FA" w:rsidRPr="00D10746" w:rsidRDefault="007C30FA" w:rsidP="007C30FA">
            <w:pPr>
              <w:rPr>
                <w:b/>
                <w:bCs/>
                <w:szCs w:val="24"/>
              </w:rPr>
            </w:pPr>
            <w:r w:rsidRPr="00D10746">
              <w:rPr>
                <w:b/>
                <w:bCs/>
                <w:szCs w:val="24"/>
              </w:rPr>
              <w:t>Justering av protokoll</w:t>
            </w:r>
          </w:p>
          <w:p w14:paraId="759E8A09" w14:textId="77777777" w:rsidR="007C30FA" w:rsidRPr="00D10746" w:rsidRDefault="007C30FA" w:rsidP="007C30FA">
            <w:pPr>
              <w:rPr>
                <w:b/>
                <w:bCs/>
                <w:szCs w:val="24"/>
              </w:rPr>
            </w:pPr>
          </w:p>
          <w:p w14:paraId="5E227E18" w14:textId="6BD7DC71" w:rsidR="007C30FA" w:rsidRPr="00D10746" w:rsidRDefault="007C30FA" w:rsidP="007C30FA">
            <w:pPr>
              <w:rPr>
                <w:bCs/>
                <w:szCs w:val="24"/>
              </w:rPr>
            </w:pPr>
            <w:r w:rsidRPr="00D10746">
              <w:rPr>
                <w:bCs/>
                <w:szCs w:val="24"/>
              </w:rPr>
              <w:t>Utskottet justerade protokoll 202</w:t>
            </w:r>
            <w:r>
              <w:rPr>
                <w:bCs/>
                <w:szCs w:val="24"/>
              </w:rPr>
              <w:t>1</w:t>
            </w:r>
            <w:r w:rsidRPr="00D10746">
              <w:rPr>
                <w:bCs/>
                <w:szCs w:val="24"/>
              </w:rPr>
              <w:t>/2</w:t>
            </w:r>
            <w:r>
              <w:rPr>
                <w:bCs/>
                <w:szCs w:val="24"/>
              </w:rPr>
              <w:t>2</w:t>
            </w:r>
            <w:r w:rsidRPr="00D10746">
              <w:rPr>
                <w:bCs/>
                <w:szCs w:val="24"/>
              </w:rPr>
              <w:t>:</w:t>
            </w:r>
            <w:r>
              <w:rPr>
                <w:bCs/>
                <w:szCs w:val="24"/>
              </w:rPr>
              <w:t>3</w:t>
            </w:r>
            <w:r w:rsidRPr="00D10746">
              <w:rPr>
                <w:bCs/>
                <w:szCs w:val="24"/>
              </w:rPr>
              <w:t>.</w:t>
            </w:r>
          </w:p>
          <w:p w14:paraId="4AA834E7" w14:textId="77777777" w:rsidR="007C30FA" w:rsidRPr="00D10746" w:rsidRDefault="007C30FA" w:rsidP="007C30FA">
            <w:pPr>
              <w:rPr>
                <w:b/>
                <w:bCs/>
                <w:szCs w:val="24"/>
              </w:rPr>
            </w:pPr>
          </w:p>
        </w:tc>
      </w:tr>
      <w:tr w:rsidR="007C30FA" w:rsidRPr="00D10746" w14:paraId="0C98E98E" w14:textId="77777777" w:rsidTr="00804B3A">
        <w:tc>
          <w:tcPr>
            <w:tcW w:w="567" w:type="dxa"/>
          </w:tcPr>
          <w:p w14:paraId="6C6E8F21" w14:textId="12B1914D" w:rsidR="007C30FA" w:rsidRDefault="007C30FA" w:rsidP="007C30FA">
            <w:pPr>
              <w:tabs>
                <w:tab w:val="left" w:pos="1701"/>
              </w:tabs>
              <w:rPr>
                <w:b/>
                <w:snapToGrid w:val="0"/>
                <w:szCs w:val="24"/>
              </w:rPr>
            </w:pPr>
            <w:r>
              <w:rPr>
                <w:b/>
                <w:snapToGrid w:val="0"/>
                <w:szCs w:val="24"/>
              </w:rPr>
              <w:t>§ 5</w:t>
            </w:r>
          </w:p>
        </w:tc>
        <w:tc>
          <w:tcPr>
            <w:tcW w:w="7159" w:type="dxa"/>
          </w:tcPr>
          <w:p w14:paraId="0597EAE4" w14:textId="77777777" w:rsidR="007C30FA" w:rsidRPr="00527F69" w:rsidRDefault="007C30FA" w:rsidP="007C30FA">
            <w:pPr>
              <w:tabs>
                <w:tab w:val="left" w:pos="1701"/>
              </w:tabs>
              <w:rPr>
                <w:b/>
                <w:bCs/>
                <w:szCs w:val="24"/>
              </w:rPr>
            </w:pPr>
            <w:r w:rsidRPr="00527F69">
              <w:rPr>
                <w:b/>
                <w:bCs/>
                <w:szCs w:val="24"/>
              </w:rPr>
              <w:t>Inkomna EU-dokument</w:t>
            </w:r>
          </w:p>
          <w:p w14:paraId="7870A8FA" w14:textId="77777777" w:rsidR="007C30FA" w:rsidRPr="00527F69" w:rsidRDefault="007C30FA" w:rsidP="007C30FA">
            <w:pPr>
              <w:tabs>
                <w:tab w:val="left" w:pos="1701"/>
              </w:tabs>
              <w:rPr>
                <w:bCs/>
                <w:szCs w:val="24"/>
              </w:rPr>
            </w:pPr>
          </w:p>
          <w:p w14:paraId="539B1994" w14:textId="2BA418C5" w:rsidR="007C30FA" w:rsidRPr="00527F69" w:rsidRDefault="007C30FA" w:rsidP="007C30FA">
            <w:pPr>
              <w:tabs>
                <w:tab w:val="left" w:pos="1701"/>
              </w:tabs>
              <w:rPr>
                <w:bCs/>
                <w:szCs w:val="24"/>
              </w:rPr>
            </w:pPr>
            <w:r w:rsidRPr="00527F69">
              <w:rPr>
                <w:bCs/>
                <w:szCs w:val="24"/>
              </w:rPr>
              <w:t>Inkomna EU-dokument för 1</w:t>
            </w:r>
            <w:r w:rsidR="00E13694" w:rsidRPr="00527F69">
              <w:rPr>
                <w:bCs/>
                <w:szCs w:val="24"/>
              </w:rPr>
              <w:t>9</w:t>
            </w:r>
            <w:r w:rsidRPr="00527F69">
              <w:rPr>
                <w:bCs/>
                <w:szCs w:val="24"/>
              </w:rPr>
              <w:t xml:space="preserve"> augusti – 23 september 2021 anmäldes.</w:t>
            </w:r>
          </w:p>
          <w:p w14:paraId="6875DC7F" w14:textId="371040EF" w:rsidR="007C30FA" w:rsidRPr="003113CD" w:rsidRDefault="007C30FA" w:rsidP="007C30FA">
            <w:pPr>
              <w:tabs>
                <w:tab w:val="left" w:pos="1701"/>
              </w:tabs>
              <w:rPr>
                <w:b/>
                <w:bCs/>
                <w:szCs w:val="24"/>
              </w:rPr>
            </w:pPr>
          </w:p>
        </w:tc>
      </w:tr>
      <w:tr w:rsidR="007C30FA" w:rsidRPr="00D10746" w14:paraId="4143A621" w14:textId="77777777" w:rsidTr="00804B3A">
        <w:tc>
          <w:tcPr>
            <w:tcW w:w="567" w:type="dxa"/>
          </w:tcPr>
          <w:p w14:paraId="4AE4ABD2" w14:textId="2A17FE56" w:rsidR="007C30FA" w:rsidRPr="001625AC" w:rsidRDefault="007C30FA" w:rsidP="007C30FA">
            <w:pPr>
              <w:tabs>
                <w:tab w:val="left" w:pos="1701"/>
              </w:tabs>
              <w:rPr>
                <w:b/>
                <w:snapToGrid w:val="0"/>
                <w:szCs w:val="24"/>
              </w:rPr>
            </w:pPr>
            <w:r w:rsidRPr="001625AC">
              <w:rPr>
                <w:b/>
                <w:snapToGrid w:val="0"/>
                <w:szCs w:val="24"/>
              </w:rPr>
              <w:t xml:space="preserve">§ </w:t>
            </w:r>
            <w:r>
              <w:rPr>
                <w:b/>
                <w:snapToGrid w:val="0"/>
                <w:szCs w:val="24"/>
              </w:rPr>
              <w:t>6</w:t>
            </w:r>
          </w:p>
        </w:tc>
        <w:tc>
          <w:tcPr>
            <w:tcW w:w="7159" w:type="dxa"/>
          </w:tcPr>
          <w:p w14:paraId="6E52FE53" w14:textId="77777777" w:rsidR="007C30FA" w:rsidRPr="001625AC" w:rsidRDefault="007C30FA" w:rsidP="007C30FA">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7C30FA" w:rsidRPr="001625AC" w:rsidRDefault="007C30FA" w:rsidP="007C30FA">
            <w:pPr>
              <w:rPr>
                <w:szCs w:val="24"/>
              </w:rPr>
            </w:pPr>
          </w:p>
          <w:p w14:paraId="0E01545A" w14:textId="77777777" w:rsidR="007C30FA" w:rsidRPr="001625AC" w:rsidRDefault="007C30FA" w:rsidP="007C30FA">
            <w:pPr>
              <w:rPr>
                <w:bCs/>
                <w:szCs w:val="24"/>
              </w:rPr>
            </w:pPr>
            <w:r w:rsidRPr="001625AC">
              <w:rPr>
                <w:bCs/>
                <w:szCs w:val="24"/>
              </w:rPr>
              <w:t>Kanslichefen informerade kort om arbetsplanen.</w:t>
            </w:r>
          </w:p>
          <w:p w14:paraId="41A064B1" w14:textId="341468B2" w:rsidR="007C30FA" w:rsidRPr="001625AC" w:rsidRDefault="007C30FA" w:rsidP="007C30FA">
            <w:pPr>
              <w:rPr>
                <w:b/>
                <w:bCs/>
                <w:szCs w:val="24"/>
              </w:rPr>
            </w:pPr>
          </w:p>
        </w:tc>
      </w:tr>
      <w:tr w:rsidR="007C30FA" w:rsidRPr="00D10746" w14:paraId="030BE4A0" w14:textId="77777777" w:rsidTr="00804B3A">
        <w:tc>
          <w:tcPr>
            <w:tcW w:w="567" w:type="dxa"/>
          </w:tcPr>
          <w:p w14:paraId="79E35362" w14:textId="53C7F643" w:rsidR="007C30FA" w:rsidRPr="001625AC" w:rsidRDefault="007C30FA" w:rsidP="007C30FA">
            <w:pPr>
              <w:tabs>
                <w:tab w:val="left" w:pos="1701"/>
              </w:tabs>
              <w:rPr>
                <w:b/>
                <w:snapToGrid w:val="0"/>
                <w:szCs w:val="24"/>
              </w:rPr>
            </w:pPr>
            <w:r>
              <w:rPr>
                <w:b/>
                <w:snapToGrid w:val="0"/>
                <w:szCs w:val="24"/>
              </w:rPr>
              <w:t xml:space="preserve">§ </w:t>
            </w:r>
            <w:r w:rsidR="00527F69">
              <w:rPr>
                <w:b/>
                <w:snapToGrid w:val="0"/>
                <w:szCs w:val="24"/>
              </w:rPr>
              <w:t>7</w:t>
            </w:r>
          </w:p>
        </w:tc>
        <w:tc>
          <w:tcPr>
            <w:tcW w:w="7159" w:type="dxa"/>
          </w:tcPr>
          <w:p w14:paraId="05C7822F" w14:textId="77777777" w:rsidR="007C30FA" w:rsidRDefault="007C30FA" w:rsidP="007C30FA">
            <w:pPr>
              <w:tabs>
                <w:tab w:val="left" w:pos="1701"/>
              </w:tabs>
              <w:rPr>
                <w:rFonts w:eastAsia="Calibri"/>
                <w:b/>
                <w:bCs/>
                <w:szCs w:val="24"/>
                <w:lang w:eastAsia="en-US"/>
              </w:rPr>
            </w:pPr>
            <w:r>
              <w:rPr>
                <w:rFonts w:eastAsia="Calibri"/>
                <w:b/>
                <w:bCs/>
                <w:szCs w:val="24"/>
                <w:lang w:eastAsia="en-US"/>
              </w:rPr>
              <w:t>Övriga frågor</w:t>
            </w:r>
          </w:p>
          <w:p w14:paraId="30FBD816" w14:textId="77777777" w:rsidR="007C30FA" w:rsidRPr="00C52734" w:rsidRDefault="007C30FA" w:rsidP="007C30FA">
            <w:pPr>
              <w:tabs>
                <w:tab w:val="left" w:pos="1701"/>
              </w:tabs>
              <w:rPr>
                <w:rFonts w:eastAsia="Calibri"/>
                <w:bCs/>
                <w:color w:val="FF0000"/>
                <w:szCs w:val="24"/>
                <w:lang w:eastAsia="en-US"/>
              </w:rPr>
            </w:pPr>
          </w:p>
          <w:p w14:paraId="153D2DC6" w14:textId="191BF933" w:rsidR="00527F69" w:rsidRPr="00E02004" w:rsidRDefault="00527F69" w:rsidP="00527F69">
            <w:pPr>
              <w:tabs>
                <w:tab w:val="left" w:pos="1701"/>
              </w:tabs>
            </w:pPr>
            <w:r>
              <w:t>L</w:t>
            </w:r>
            <w:r w:rsidRPr="00E02004">
              <w:t xml:space="preserve">-ledamoten föreslog att utskottet skulle ta ett initiativ </w:t>
            </w:r>
            <w:r w:rsidRPr="00527F69">
              <w:t>om en översyn av regelverket gällande de situationer då såväl utlänningslagen som LVU är tillämpliga på barn som vistats långvarigt i familjehem och fått sin anknytning till familjehemsföräldrarna</w:t>
            </w:r>
            <w:r w:rsidRPr="00E02004">
              <w:t xml:space="preserve">, se bilaga </w:t>
            </w:r>
            <w:r>
              <w:t>2</w:t>
            </w:r>
            <w:r w:rsidRPr="00E02004">
              <w:t xml:space="preserve">. </w:t>
            </w:r>
          </w:p>
          <w:p w14:paraId="6711C61E" w14:textId="77777777" w:rsidR="00527F69" w:rsidRPr="00E02004" w:rsidRDefault="00527F69" w:rsidP="00527F69">
            <w:pPr>
              <w:tabs>
                <w:tab w:val="left" w:pos="1701"/>
              </w:tabs>
            </w:pPr>
          </w:p>
          <w:p w14:paraId="2FEA47CA" w14:textId="77777777" w:rsidR="00527F69" w:rsidRPr="00E02004" w:rsidRDefault="00527F69" w:rsidP="00527F69">
            <w:pPr>
              <w:tabs>
                <w:tab w:val="left" w:pos="1701"/>
              </w:tabs>
            </w:pPr>
            <w:r w:rsidRPr="00E02004">
              <w:t xml:space="preserve">Frågan bordlades. </w:t>
            </w:r>
          </w:p>
          <w:p w14:paraId="2102C9FE" w14:textId="445BF108" w:rsidR="007C30FA" w:rsidRPr="00A67379" w:rsidRDefault="007C30FA" w:rsidP="007C30FA">
            <w:pPr>
              <w:tabs>
                <w:tab w:val="left" w:pos="1701"/>
              </w:tabs>
              <w:rPr>
                <w:rFonts w:eastAsia="Calibri"/>
                <w:b/>
                <w:bCs/>
                <w:szCs w:val="24"/>
                <w:lang w:eastAsia="en-US"/>
              </w:rPr>
            </w:pPr>
          </w:p>
        </w:tc>
      </w:tr>
      <w:tr w:rsidR="007C30FA" w:rsidRPr="00D10746" w14:paraId="1C755367" w14:textId="77777777" w:rsidTr="00804B3A">
        <w:tc>
          <w:tcPr>
            <w:tcW w:w="567" w:type="dxa"/>
          </w:tcPr>
          <w:p w14:paraId="534497D5" w14:textId="4D787240" w:rsidR="007C30FA" w:rsidRPr="00CC5FCD" w:rsidRDefault="007C30FA" w:rsidP="007C30FA">
            <w:pPr>
              <w:tabs>
                <w:tab w:val="left" w:pos="1701"/>
              </w:tabs>
              <w:rPr>
                <w:b/>
                <w:snapToGrid w:val="0"/>
                <w:szCs w:val="24"/>
              </w:rPr>
            </w:pPr>
            <w:r w:rsidRPr="00CC5FCD">
              <w:rPr>
                <w:b/>
                <w:snapToGrid w:val="0"/>
                <w:szCs w:val="24"/>
              </w:rPr>
              <w:t xml:space="preserve">§ </w:t>
            </w:r>
            <w:r w:rsidR="00527F69">
              <w:rPr>
                <w:b/>
                <w:snapToGrid w:val="0"/>
                <w:szCs w:val="24"/>
              </w:rPr>
              <w:t>8</w:t>
            </w:r>
          </w:p>
        </w:tc>
        <w:tc>
          <w:tcPr>
            <w:tcW w:w="7159" w:type="dxa"/>
          </w:tcPr>
          <w:p w14:paraId="0981A518" w14:textId="77777777" w:rsidR="007C30FA" w:rsidRPr="00A67379" w:rsidRDefault="007C30FA" w:rsidP="007C30FA">
            <w:pPr>
              <w:widowControl/>
              <w:autoSpaceDE w:val="0"/>
              <w:autoSpaceDN w:val="0"/>
              <w:adjustRightInd w:val="0"/>
              <w:rPr>
                <w:b/>
                <w:snapToGrid w:val="0"/>
              </w:rPr>
            </w:pPr>
            <w:r w:rsidRPr="00A67379">
              <w:rPr>
                <w:b/>
                <w:snapToGrid w:val="0"/>
              </w:rPr>
              <w:t>Nästa sammanträde</w:t>
            </w:r>
          </w:p>
          <w:p w14:paraId="4DA72D9C" w14:textId="77777777" w:rsidR="007C30FA" w:rsidRPr="00A67379" w:rsidRDefault="007C30FA" w:rsidP="007C30FA">
            <w:pPr>
              <w:widowControl/>
              <w:autoSpaceDE w:val="0"/>
              <w:autoSpaceDN w:val="0"/>
              <w:adjustRightInd w:val="0"/>
              <w:rPr>
                <w:b/>
                <w:snapToGrid w:val="0"/>
              </w:rPr>
            </w:pPr>
          </w:p>
          <w:p w14:paraId="6822FB6F" w14:textId="4BD33D63" w:rsidR="007C30FA" w:rsidRPr="00A67379" w:rsidRDefault="007C30FA" w:rsidP="007C30FA">
            <w:pPr>
              <w:rPr>
                <w:szCs w:val="24"/>
              </w:rPr>
            </w:pPr>
            <w:r w:rsidRPr="00A67379">
              <w:rPr>
                <w:snapToGrid w:val="0"/>
                <w:szCs w:val="24"/>
              </w:rPr>
              <w:t xml:space="preserve">Utskottet beslutade att nästa sammanträde ska äga rum </w:t>
            </w:r>
            <w:r w:rsidRPr="00A67379">
              <w:rPr>
                <w:szCs w:val="24"/>
              </w:rPr>
              <w:t>t</w:t>
            </w:r>
            <w:r>
              <w:rPr>
                <w:szCs w:val="24"/>
              </w:rPr>
              <w:t>or</w:t>
            </w:r>
            <w:r w:rsidRPr="00A67379">
              <w:rPr>
                <w:szCs w:val="24"/>
              </w:rPr>
              <w:t xml:space="preserve">sdag den </w:t>
            </w:r>
            <w:r>
              <w:rPr>
                <w:szCs w:val="24"/>
              </w:rPr>
              <w:t>30</w:t>
            </w:r>
            <w:r w:rsidRPr="00A67379">
              <w:rPr>
                <w:szCs w:val="24"/>
              </w:rPr>
              <w:t xml:space="preserve"> september 2021 kl. 1</w:t>
            </w:r>
            <w:r>
              <w:rPr>
                <w:szCs w:val="24"/>
              </w:rPr>
              <w:t>0</w:t>
            </w:r>
            <w:r w:rsidRPr="00A67379">
              <w:rPr>
                <w:szCs w:val="24"/>
              </w:rPr>
              <w:t>.00</w:t>
            </w:r>
            <w:r w:rsidRPr="00A67379">
              <w:rPr>
                <w:snapToGrid w:val="0"/>
                <w:szCs w:val="24"/>
              </w:rPr>
              <w:t>.</w:t>
            </w:r>
          </w:p>
          <w:p w14:paraId="4F6979E0" w14:textId="77777777" w:rsidR="007C30FA" w:rsidRPr="00A67379" w:rsidRDefault="007C30FA" w:rsidP="007C30FA">
            <w:pPr>
              <w:rPr>
                <w:rFonts w:eastAsia="Calibri"/>
                <w:b/>
                <w:bCs/>
                <w:szCs w:val="24"/>
                <w:lang w:eastAsia="en-US"/>
              </w:rPr>
            </w:pPr>
          </w:p>
        </w:tc>
      </w:tr>
      <w:tr w:rsidR="007C30FA" w:rsidRPr="00D10746" w14:paraId="0ECBC95E" w14:textId="77777777" w:rsidTr="00804B3A">
        <w:trPr>
          <w:trHeight w:val="1713"/>
        </w:trPr>
        <w:tc>
          <w:tcPr>
            <w:tcW w:w="7726" w:type="dxa"/>
            <w:gridSpan w:val="2"/>
          </w:tcPr>
          <w:p w14:paraId="5C0D65C4" w14:textId="77777777" w:rsidR="007C30FA" w:rsidRPr="00A67379" w:rsidRDefault="007C30FA" w:rsidP="007C30FA">
            <w:pPr>
              <w:tabs>
                <w:tab w:val="left" w:pos="1701"/>
              </w:tabs>
              <w:rPr>
                <w:szCs w:val="24"/>
              </w:rPr>
            </w:pPr>
          </w:p>
          <w:p w14:paraId="6BE28091" w14:textId="5DE7EC20" w:rsidR="007C30FA" w:rsidRPr="00A67379" w:rsidRDefault="007C30FA" w:rsidP="007C30FA">
            <w:pPr>
              <w:tabs>
                <w:tab w:val="left" w:pos="1701"/>
              </w:tabs>
              <w:rPr>
                <w:szCs w:val="24"/>
              </w:rPr>
            </w:pPr>
          </w:p>
          <w:p w14:paraId="271B534E" w14:textId="77777777" w:rsidR="007C30FA" w:rsidRPr="00A67379" w:rsidRDefault="007C30FA" w:rsidP="007C30FA">
            <w:pPr>
              <w:tabs>
                <w:tab w:val="left" w:pos="1701"/>
              </w:tabs>
              <w:rPr>
                <w:szCs w:val="24"/>
              </w:rPr>
            </w:pPr>
          </w:p>
          <w:p w14:paraId="68C1BAEB" w14:textId="77777777" w:rsidR="007C30FA" w:rsidRPr="00A67379" w:rsidRDefault="007C30FA" w:rsidP="007C30FA">
            <w:pPr>
              <w:tabs>
                <w:tab w:val="left" w:pos="1701"/>
              </w:tabs>
              <w:rPr>
                <w:szCs w:val="24"/>
              </w:rPr>
            </w:pPr>
            <w:r w:rsidRPr="00A67379">
              <w:rPr>
                <w:szCs w:val="24"/>
              </w:rPr>
              <w:t>Vid protokollet</w:t>
            </w:r>
          </w:p>
          <w:p w14:paraId="6B2CC347" w14:textId="77777777" w:rsidR="007C30FA" w:rsidRPr="00A67379" w:rsidRDefault="007C30FA" w:rsidP="007C30FA">
            <w:pPr>
              <w:tabs>
                <w:tab w:val="left" w:pos="1701"/>
              </w:tabs>
              <w:rPr>
                <w:szCs w:val="24"/>
              </w:rPr>
            </w:pPr>
          </w:p>
          <w:p w14:paraId="216299A1" w14:textId="5E57A88F" w:rsidR="007C30FA" w:rsidRPr="00A67379" w:rsidRDefault="007C30FA" w:rsidP="007C30FA">
            <w:pPr>
              <w:tabs>
                <w:tab w:val="left" w:pos="1701"/>
              </w:tabs>
              <w:rPr>
                <w:szCs w:val="24"/>
              </w:rPr>
            </w:pPr>
          </w:p>
          <w:p w14:paraId="7D3596B8" w14:textId="40F92E4B" w:rsidR="007C30FA" w:rsidRPr="00A67379" w:rsidRDefault="007C30FA" w:rsidP="007C30FA">
            <w:pPr>
              <w:tabs>
                <w:tab w:val="left" w:pos="1701"/>
              </w:tabs>
              <w:rPr>
                <w:szCs w:val="24"/>
              </w:rPr>
            </w:pPr>
            <w:bookmarkStart w:id="0" w:name="_GoBack"/>
            <w:bookmarkEnd w:id="0"/>
          </w:p>
          <w:p w14:paraId="3271CA77" w14:textId="775C80DB" w:rsidR="007C30FA" w:rsidRPr="00A67379" w:rsidRDefault="007C30FA" w:rsidP="007C30FA">
            <w:pPr>
              <w:tabs>
                <w:tab w:val="left" w:pos="1701"/>
              </w:tabs>
              <w:rPr>
                <w:szCs w:val="24"/>
              </w:rPr>
            </w:pPr>
          </w:p>
          <w:p w14:paraId="32C83AE9" w14:textId="77777777" w:rsidR="007C30FA" w:rsidRPr="00A67379" w:rsidRDefault="007C30FA" w:rsidP="007C30FA">
            <w:pPr>
              <w:tabs>
                <w:tab w:val="left" w:pos="1701"/>
              </w:tabs>
              <w:rPr>
                <w:szCs w:val="24"/>
              </w:rPr>
            </w:pPr>
          </w:p>
          <w:p w14:paraId="536156F9" w14:textId="77527D83" w:rsidR="007C30FA" w:rsidRPr="00A67379" w:rsidRDefault="007C30FA" w:rsidP="007C30FA">
            <w:pPr>
              <w:tabs>
                <w:tab w:val="left" w:pos="1701"/>
              </w:tabs>
              <w:rPr>
                <w:snapToGrid w:val="0"/>
                <w:szCs w:val="24"/>
              </w:rPr>
            </w:pPr>
            <w:r w:rsidRPr="00A67379">
              <w:rPr>
                <w:szCs w:val="24"/>
              </w:rPr>
              <w:t xml:space="preserve">Justeras den </w:t>
            </w:r>
            <w:r>
              <w:rPr>
                <w:snapToGrid w:val="0"/>
                <w:szCs w:val="24"/>
              </w:rPr>
              <w:t>30</w:t>
            </w:r>
            <w:r w:rsidRPr="00A67379">
              <w:rPr>
                <w:snapToGrid w:val="0"/>
                <w:szCs w:val="24"/>
              </w:rPr>
              <w:t xml:space="preserve"> september 2021</w:t>
            </w:r>
          </w:p>
          <w:p w14:paraId="6E8325BE" w14:textId="77777777" w:rsidR="007C30FA" w:rsidRPr="00A67379" w:rsidRDefault="007C30FA" w:rsidP="007C30FA">
            <w:pPr>
              <w:tabs>
                <w:tab w:val="left" w:pos="1701"/>
              </w:tabs>
              <w:rPr>
                <w:szCs w:val="24"/>
              </w:rPr>
            </w:pPr>
          </w:p>
          <w:p w14:paraId="5029AA10" w14:textId="77777777" w:rsidR="007C30FA" w:rsidRPr="00A67379" w:rsidRDefault="007C30FA" w:rsidP="007C30FA">
            <w:pPr>
              <w:tabs>
                <w:tab w:val="left" w:pos="1701"/>
              </w:tabs>
              <w:rPr>
                <w:szCs w:val="24"/>
              </w:rPr>
            </w:pPr>
          </w:p>
          <w:p w14:paraId="0425E3FC" w14:textId="77777777" w:rsidR="007C30FA" w:rsidRPr="00A67379" w:rsidRDefault="007C30FA" w:rsidP="007C30FA">
            <w:pPr>
              <w:tabs>
                <w:tab w:val="left" w:pos="1701"/>
              </w:tabs>
              <w:rPr>
                <w:szCs w:val="24"/>
              </w:rPr>
            </w:pPr>
            <w:r w:rsidRPr="00A67379">
              <w:rPr>
                <w:szCs w:val="24"/>
              </w:rPr>
              <w:t>Acko Ankarberg Johansson</w:t>
            </w:r>
          </w:p>
          <w:p w14:paraId="13CF325D" w14:textId="3CE04E3A" w:rsidR="007C30FA" w:rsidRPr="00A67379" w:rsidRDefault="007C30FA" w:rsidP="007C30FA">
            <w:pPr>
              <w:tabs>
                <w:tab w:val="left" w:pos="1701"/>
              </w:tabs>
              <w:rPr>
                <w:szCs w:val="24"/>
              </w:rPr>
            </w:pP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1220711A"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Pr="00D10746">
              <w:rPr>
                <w:sz w:val="22"/>
                <w:szCs w:val="22"/>
              </w:rPr>
              <w:t>:</w:t>
            </w:r>
            <w:r w:rsidR="00A81E36">
              <w:rPr>
                <w:sz w:val="22"/>
                <w:szCs w:val="22"/>
              </w:rPr>
              <w:t>4</w:t>
            </w:r>
          </w:p>
        </w:tc>
      </w:tr>
      <w:tr w:rsidR="008344E2" w:rsidRPr="00D1074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25C9FF1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46CF716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roofErr w:type="gramStart"/>
            <w:r w:rsidR="001E1EB9">
              <w:rPr>
                <w:sz w:val="20"/>
              </w:rPr>
              <w:t>2-</w:t>
            </w:r>
            <w:r w:rsidR="00DE4212">
              <w:rPr>
                <w:sz w:val="20"/>
              </w:rPr>
              <w:t>6</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1F3F45B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3113CD">
              <w:rPr>
                <w:sz w:val="20"/>
              </w:rPr>
              <w:t xml:space="preserve"> </w:t>
            </w:r>
            <w:r w:rsidR="00DE4212">
              <w:rPr>
                <w:sz w:val="20"/>
              </w:rPr>
              <w:t>7</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5962D6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AD2C28">
              <w:rPr>
                <w:sz w:val="20"/>
              </w:rPr>
              <w:t xml:space="preserve"> </w:t>
            </w:r>
            <w:r w:rsidR="00DE4212">
              <w:rPr>
                <w:sz w:val="20"/>
              </w:rPr>
              <w:t>8</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32736A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69C5B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8344E2" w:rsidRPr="00D1074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3997741B" w:rsidR="008344E2" w:rsidRPr="00D10746" w:rsidRDefault="001E1EB9"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6009781E"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549B018D"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0485ECE5"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C584F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038135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E4212"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02E7C2EF" w:rsidR="008344E2" w:rsidRPr="00CA037C"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2DF461EF" w:rsidR="008344E2" w:rsidRPr="00CA037C"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274E2BC9" w:rsidR="008344E2" w:rsidRPr="00CA037C"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0D81288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266CE7C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0E2E923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77E557F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468BFBB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776DB37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6E35AB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16388790"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2A8E8B25"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728D91E0"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69C6D51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51CD36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2E948342"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4060717D"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5DD1467A"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4373D2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6CACC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7964E1B6"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6ABDEC88"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25793534"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142E6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976C3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464853F7"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237ADC6D"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1F2DF028"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D6CAE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0DCBE1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0D3430FB"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79A7570E"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01EBADA3"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63ACB2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287C5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2321CAE0"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4C1D07E8"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27D03FBF"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58B49C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0313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6030FE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66838F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01CE4FE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1E7822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F22B9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5102D879"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21ADBB81"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501A451C"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A8A6A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5AC17946"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3F248B70"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7B133D38"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3D4CA32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30BF6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5B94C66D"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02F8E0F8"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22BDB889"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02C845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62A35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3B503CBA"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5F07E0BA"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1A527B77"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73320D4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0AA3C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2AF0D0B0" w:rsidR="008344E2" w:rsidRPr="00D10746" w:rsidRDefault="00A814F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814F3">
              <w:rPr>
                <w:sz w:val="22"/>
                <w:szCs w:val="22"/>
              </w:rPr>
              <w:t>Christina Tapper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61E3423B"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51FC56EF"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0BAD2195"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11B4DA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1904B9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055B3E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8344E2" w:rsidRPr="00D10746" w:rsidRDefault="006E6CE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Nicklas Attefjord </w:t>
            </w:r>
            <w:r w:rsidR="008344E2" w:rsidRPr="00D10746">
              <w:rPr>
                <w:sz w:val="22"/>
                <w:szCs w:val="22"/>
              </w:rPr>
              <w:t>(MP)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53115C66"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2F3B69A9"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089F356F"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079132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2DE9D2A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7BACC40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271F6D3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46E0A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8344E2" w:rsidRPr="00D10746" w:rsidRDefault="00857B0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429EF86F"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353F576A"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55E2E2FE"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6597BD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330C66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D1074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523322A3"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3A77E2D3"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1516C532"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BF583A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280DDE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0DE7ABBE"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7809DBB7"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2452B77E"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DF0983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FF6E36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2638879E"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7CAA976"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66561B97"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2569DAF9"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04EC1485"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5854B568"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DBDE36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5D0C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8344E2" w:rsidRPr="00D10746" w:rsidRDefault="00224A88" w:rsidP="00224A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24A8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234CEA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37DC8E5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A2FD3C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67679E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3BD395A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50FAAD3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8F2EB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58DAB23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AC00D9"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Ann-Christine From </w:t>
            </w:r>
            <w:proofErr w:type="spellStart"/>
            <w:r w:rsidRPr="00780842">
              <w:rPr>
                <w:sz w:val="22"/>
                <w:szCs w:val="22"/>
                <w:lang w:val="en-GB"/>
              </w:rPr>
              <w:t>Utterstedt</w:t>
            </w:r>
            <w:proofErr w:type="spellEnd"/>
            <w:r w:rsidRPr="00780842">
              <w:rPr>
                <w:sz w:val="22"/>
                <w:szCs w:val="22"/>
                <w:lang w:val="en-GB"/>
              </w:rPr>
              <w:t xml:space="preserve">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3D30" w:rsidRPr="00D1074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52A33F62"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69C44381"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39CCF986"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0F3F763E"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E95C09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AC06F6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4305C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51F846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3F2037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1B4F854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0EDBA4D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3AE4524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65A661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6A6CA94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82A122" w14:textId="7F6B8C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56A3D7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7CD199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74185502"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44A14E8C"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5E2B8502" w:rsidR="008344E2" w:rsidRPr="00D10746" w:rsidRDefault="00DE421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CF51B8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9009B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5E191EE" w14:textId="07BC2C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5017388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C88F618" w14:textId="77777777" w:rsidTr="008B0D36">
        <w:trPr>
          <w:trHeight w:val="262"/>
        </w:trPr>
        <w:tc>
          <w:tcPr>
            <w:tcW w:w="3898" w:type="dxa"/>
            <w:gridSpan w:val="2"/>
            <w:tcBorders>
              <w:top w:val="nil"/>
              <w:left w:val="nil"/>
              <w:bottom w:val="nil"/>
              <w:right w:val="nil"/>
            </w:tcBorders>
          </w:tcPr>
          <w:p w14:paraId="41E1162B" w14:textId="77777777" w:rsidR="008344E2" w:rsidRPr="00D10746" w:rsidRDefault="008344E2" w:rsidP="00A4604F">
            <w:pPr>
              <w:spacing w:before="60"/>
              <w:rPr>
                <w:sz w:val="20"/>
              </w:rPr>
            </w:pPr>
            <w:r w:rsidRPr="00D10746">
              <w:rPr>
                <w:sz w:val="20"/>
              </w:rPr>
              <w:t>N = Närvarande</w:t>
            </w:r>
          </w:p>
          <w:p w14:paraId="731C3633" w14:textId="77777777" w:rsidR="008344E2" w:rsidRPr="00D10746" w:rsidRDefault="008344E2" w:rsidP="00A4604F">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8344E2" w:rsidRPr="00D10746" w:rsidRDefault="008344E2" w:rsidP="00A4604F">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28225EA0" w14:textId="77777777" w:rsidR="00A814F3" w:rsidRDefault="00A814F3" w:rsidP="006D55BA">
      <w:pPr>
        <w:widowControl/>
        <w:ind w:left="7824"/>
        <w:rPr>
          <w:b/>
          <w:szCs w:val="24"/>
        </w:rPr>
      </w:pPr>
    </w:p>
    <w:p w14:paraId="7129E2B7" w14:textId="77777777" w:rsidR="00A814F3" w:rsidRDefault="00A814F3">
      <w:pPr>
        <w:widowControl/>
        <w:rPr>
          <w:b/>
          <w:szCs w:val="24"/>
        </w:rPr>
      </w:pPr>
      <w:r>
        <w:rPr>
          <w:b/>
          <w:szCs w:val="24"/>
        </w:rPr>
        <w:br w:type="page"/>
      </w:r>
    </w:p>
    <w:p w14:paraId="54FA1124" w14:textId="4994EBE1" w:rsidR="00184122" w:rsidRDefault="008F2C57" w:rsidP="006D55BA">
      <w:pPr>
        <w:widowControl/>
        <w:ind w:left="7824"/>
        <w:rPr>
          <w:b/>
          <w:szCs w:val="24"/>
        </w:rPr>
      </w:pPr>
      <w:r w:rsidRPr="009B7CDB">
        <w:rPr>
          <w:b/>
          <w:szCs w:val="24"/>
        </w:rPr>
        <w:lastRenderedPageBreak/>
        <w:t>Bilaga 2</w:t>
      </w:r>
    </w:p>
    <w:p w14:paraId="275BF80B" w14:textId="77777777" w:rsidR="00CA5D22" w:rsidRPr="006C24FC" w:rsidRDefault="00CA5D22" w:rsidP="00CA5D22">
      <w:pPr>
        <w:tabs>
          <w:tab w:val="left" w:pos="142"/>
          <w:tab w:val="left" w:pos="7797"/>
        </w:tabs>
        <w:ind w:right="70"/>
      </w:pPr>
      <w:bookmarkStart w:id="1" w:name="_Hlk71640274"/>
    </w:p>
    <w:bookmarkEnd w:id="1"/>
    <w:tbl>
      <w:tblPr>
        <w:tblW w:w="9639" w:type="dxa"/>
        <w:tblLayout w:type="fixed"/>
        <w:tblCellMar>
          <w:left w:w="0" w:type="dxa"/>
          <w:right w:w="0" w:type="dxa"/>
        </w:tblCellMar>
        <w:tblLook w:val="0000" w:firstRow="0" w:lastRow="0" w:firstColumn="0" w:lastColumn="0" w:noHBand="0" w:noVBand="0"/>
      </w:tblPr>
      <w:tblGrid>
        <w:gridCol w:w="3828"/>
        <w:gridCol w:w="3402"/>
        <w:gridCol w:w="2409"/>
      </w:tblGrid>
      <w:tr w:rsidR="00D172E8" w:rsidRPr="002B3C15" w14:paraId="3EA65151" w14:textId="77777777" w:rsidTr="001E110A">
        <w:trPr>
          <w:trHeight w:hRule="exact" w:val="369"/>
        </w:trPr>
        <w:tc>
          <w:tcPr>
            <w:tcW w:w="3828" w:type="dxa"/>
          </w:tcPr>
          <w:p w14:paraId="47E94757" w14:textId="77777777" w:rsidR="00D172E8" w:rsidRPr="002B3C15" w:rsidRDefault="00D172E8" w:rsidP="001E110A"/>
        </w:tc>
        <w:tc>
          <w:tcPr>
            <w:tcW w:w="3402" w:type="dxa"/>
          </w:tcPr>
          <w:p w14:paraId="5B62A6F3" w14:textId="77777777" w:rsidR="00D172E8" w:rsidRPr="002B3C15" w:rsidRDefault="00D172E8" w:rsidP="001E110A"/>
        </w:tc>
        <w:tc>
          <w:tcPr>
            <w:tcW w:w="2409" w:type="dxa"/>
          </w:tcPr>
          <w:p w14:paraId="72ABAA04" w14:textId="77777777" w:rsidR="00D172E8" w:rsidRPr="002B3C15" w:rsidRDefault="00D172E8" w:rsidP="001E110A"/>
        </w:tc>
      </w:tr>
      <w:tr w:rsidR="00D172E8" w:rsidRPr="002B3C15" w14:paraId="2E9DF223" w14:textId="77777777" w:rsidTr="001E110A">
        <w:trPr>
          <w:trHeight w:hRule="exact" w:val="369"/>
        </w:trPr>
        <w:tc>
          <w:tcPr>
            <w:tcW w:w="3828" w:type="dxa"/>
          </w:tcPr>
          <w:p w14:paraId="0D8A5FA1" w14:textId="77777777" w:rsidR="00D172E8" w:rsidRPr="002B3C15" w:rsidRDefault="00D172E8" w:rsidP="001E110A">
            <w:bookmarkStart w:id="2" w:name="Diarienummer" w:colFirst="2" w:colLast="2"/>
            <w:bookmarkStart w:id="3" w:name="Datum" w:colFirst="0" w:colLast="0"/>
            <w:r>
              <w:t xml:space="preserve"> 2021-09-28</w:t>
            </w:r>
          </w:p>
        </w:tc>
        <w:tc>
          <w:tcPr>
            <w:tcW w:w="3402" w:type="dxa"/>
          </w:tcPr>
          <w:p w14:paraId="108356BE" w14:textId="77777777" w:rsidR="00D172E8" w:rsidRPr="002B3C15" w:rsidRDefault="00D172E8" w:rsidP="001E110A">
            <w:pPr>
              <w:jc w:val="right"/>
            </w:pPr>
          </w:p>
        </w:tc>
        <w:tc>
          <w:tcPr>
            <w:tcW w:w="2409" w:type="dxa"/>
            <w:vMerge w:val="restart"/>
          </w:tcPr>
          <w:p w14:paraId="19A373CB" w14:textId="77777777" w:rsidR="00D172E8" w:rsidRPr="002B3C15" w:rsidRDefault="00D172E8" w:rsidP="001E110A"/>
        </w:tc>
      </w:tr>
      <w:bookmarkEnd w:id="2"/>
      <w:bookmarkEnd w:id="3"/>
      <w:tr w:rsidR="00D172E8" w:rsidRPr="002B3C15" w14:paraId="1063F5E8" w14:textId="77777777" w:rsidTr="001E110A">
        <w:trPr>
          <w:trHeight w:hRule="exact" w:val="369"/>
        </w:trPr>
        <w:tc>
          <w:tcPr>
            <w:tcW w:w="3828" w:type="dxa"/>
          </w:tcPr>
          <w:p w14:paraId="7C5EF5D0" w14:textId="77777777" w:rsidR="00D172E8" w:rsidRPr="002B3C15" w:rsidRDefault="00D172E8" w:rsidP="001E110A"/>
        </w:tc>
        <w:tc>
          <w:tcPr>
            <w:tcW w:w="3402" w:type="dxa"/>
          </w:tcPr>
          <w:p w14:paraId="6209293E" w14:textId="77777777" w:rsidR="00D172E8" w:rsidRPr="002B3C15" w:rsidRDefault="00D172E8" w:rsidP="001E110A"/>
        </w:tc>
        <w:tc>
          <w:tcPr>
            <w:tcW w:w="2409" w:type="dxa"/>
            <w:vMerge/>
          </w:tcPr>
          <w:p w14:paraId="148012F5" w14:textId="77777777" w:rsidR="00D172E8" w:rsidRPr="002B3C15" w:rsidRDefault="00D172E8" w:rsidP="001E110A"/>
        </w:tc>
      </w:tr>
      <w:tr w:rsidR="00D172E8" w:rsidRPr="002B3C15" w14:paraId="432C0DDB" w14:textId="77777777" w:rsidTr="001E110A">
        <w:trPr>
          <w:trHeight w:val="960"/>
        </w:trPr>
        <w:tc>
          <w:tcPr>
            <w:tcW w:w="7230" w:type="dxa"/>
            <w:gridSpan w:val="2"/>
          </w:tcPr>
          <w:p w14:paraId="65DD81E5" w14:textId="77777777" w:rsidR="00D172E8" w:rsidRPr="002B3C15" w:rsidRDefault="00D172E8" w:rsidP="001E110A">
            <w:bookmarkStart w:id="4" w:name="Mottagare" w:colFirst="0" w:colLast="0"/>
          </w:p>
        </w:tc>
        <w:tc>
          <w:tcPr>
            <w:tcW w:w="2409" w:type="dxa"/>
            <w:vMerge/>
          </w:tcPr>
          <w:p w14:paraId="7DCD2C5E" w14:textId="77777777" w:rsidR="00D172E8" w:rsidRPr="002B3C15" w:rsidRDefault="00D172E8" w:rsidP="001E110A"/>
        </w:tc>
      </w:tr>
    </w:tbl>
    <w:p w14:paraId="108B563E" w14:textId="77777777" w:rsidR="00D172E8" w:rsidRDefault="00D172E8" w:rsidP="00D172E8">
      <w:pPr>
        <w:pStyle w:val="Rubrik3"/>
      </w:pPr>
      <w:bookmarkStart w:id="5" w:name="Start"/>
      <w:bookmarkEnd w:id="4"/>
      <w:bookmarkEnd w:id="5"/>
    </w:p>
    <w:p w14:paraId="4C78334F" w14:textId="77777777" w:rsidR="00D172E8" w:rsidRDefault="00D172E8" w:rsidP="00D172E8">
      <w:pPr>
        <w:pStyle w:val="Rubrik3"/>
      </w:pPr>
      <w:r>
        <w:t xml:space="preserve">Begäran om utskottsinitiativ </w:t>
      </w:r>
    </w:p>
    <w:p w14:paraId="3A552CAD" w14:textId="77777777" w:rsidR="00D172E8" w:rsidRDefault="00D172E8" w:rsidP="00D172E8">
      <w:r>
        <w:t>Nyligen meddelade Migrationsöverdomstolen att den inte beviljar prövningstillstånd av beslutet om att utvisa den pojke som uppmärksammats i massmedier under namnet Tim. Beslutet innebär att den treåriga pojken separeras från det familjehem där han bott sedan han var fyra månader gammal. Hans biologiska mamma är fortfarande pojkens vårdnadshavare, men Tim omhändertogs enligt LVU (</w:t>
      </w:r>
      <w:r w:rsidRPr="0032068B">
        <w:t>lagen med särskilda bestämmelser om vård av unga</w:t>
      </w:r>
      <w:r>
        <w:t xml:space="preserve">) när han bara var 11 dagar gammal och har ingen anknytning till moderns hemland dit han nu ska utvisas. </w:t>
      </w:r>
    </w:p>
    <w:p w14:paraId="709FAD8E" w14:textId="77777777" w:rsidR="00D172E8" w:rsidRDefault="00D172E8" w:rsidP="00D172E8">
      <w:r>
        <w:t>Riksdagen kan inte, och ska inte, överpröva myndigheters eller domstolars beslut i enskilda fall. Däremot bör lagstiftaren analysera om utfallet i enskilda fall föranleder lagändringar, i detta fall för att bättre skydda barns rättigheter.</w:t>
      </w:r>
    </w:p>
    <w:p w14:paraId="38D21014" w14:textId="77777777" w:rsidR="00D172E8" w:rsidRDefault="00D172E8" w:rsidP="00D172E8">
      <w:r>
        <w:t xml:space="preserve">Den situation som varit aktuell i det enskilda fallet gäller LVU i förhållande till utlänningslagen. Enligt Liberalernas uppfattning är det en självklarhet att de skyddsmotiv för det enskilda barnet som ligger till grund för ett omhändertagande enligt LVU ska beaktas på ett likvärdigt sätt oavsett barnets ursprung. </w:t>
      </w:r>
    </w:p>
    <w:p w14:paraId="6DBFB3E4" w14:textId="77777777" w:rsidR="00D172E8" w:rsidRDefault="00D172E8" w:rsidP="00D172E8">
      <w:r>
        <w:t>Frågan om vilka överväganden som ska göras vid en så kallad hemtagning – alltså återförande av barnet till den ursprungliga vårdnadshavaren – har varit föremål för intensiva diskussioner. Frågan har varit högaktuell sedan fallet ”Lilla hjärtat”. Liberalernas åsikt är att det centrala vid ett övervägande om hemtagning inte ska vara föräldrarnas önskemål utan vad som är bäst för det enskilda barnet. Om ett barn sedan mycket lång tid har bott i ett familjehem, byggt upp sin anknytning till familjehemsföräldrarna och känslomässigt uppfattar dem som sina föräldrar måste detta väga mycket tungt. Betydelsen av tillgång till anknytningspersonerna kan återspeglas både i kortsiktig trygghet men också de risker och hämmande utveckling som kan medföras av långa och ofrivilliga separationer från sina anknytningspersoner.</w:t>
      </w:r>
    </w:p>
    <w:p w14:paraId="6E652FDB" w14:textId="77777777" w:rsidR="00D172E8" w:rsidRDefault="00D172E8" w:rsidP="00D172E8">
      <w:r>
        <w:t xml:space="preserve">Efter ett barn varit placerat i tre år i ett familjehem ska socialnämnden överväga att flytta över vårdnaden till familjehemsföräldrarna. För att en överflyttning av vårdnad ska ske ska det vara uppenbart bäst för barnet att placeringen i familjehemmet består. Regeringen tillsatte en utredning förra våren </w:t>
      </w:r>
      <w:r w:rsidRPr="0032068B">
        <w:t xml:space="preserve">för att ta fram förslag till en </w:t>
      </w:r>
      <w:r>
        <w:t>”L</w:t>
      </w:r>
      <w:r w:rsidRPr="0032068B">
        <w:t>ex Lilla hjärtat</w:t>
      </w:r>
      <w:r>
        <w:t>” med l</w:t>
      </w:r>
      <w:r w:rsidRPr="0032068B">
        <w:t>agändringar</w:t>
      </w:r>
      <w:r>
        <w:t xml:space="preserve"> i </w:t>
      </w:r>
      <w:r w:rsidRPr="0032068B">
        <w:t>LVU</w:t>
      </w:r>
      <w:r>
        <w:t xml:space="preserve"> syftande </w:t>
      </w:r>
      <w:r w:rsidRPr="0032068B">
        <w:t>att stärka tvångsvårdade barns rätt till stabilitet, anknytning och trygghet</w:t>
      </w:r>
      <w:r>
        <w:t xml:space="preserve">. Utredningen föreslog tidigare i år att </w:t>
      </w:r>
      <w:r w:rsidRPr="007071DD">
        <w:t>vårdnadsöverflyttning ska övervägas redan efter två år.</w:t>
      </w:r>
      <w:r>
        <w:t xml:space="preserve"> </w:t>
      </w:r>
    </w:p>
    <w:p w14:paraId="3AE9D27B" w14:textId="26920421" w:rsidR="00D172E8" w:rsidRDefault="00D172E8" w:rsidP="00D172E8">
      <w:r>
        <w:t xml:space="preserve">En särskild fråga med koppling till förutsättningarna för vård enligt LVU handlar om vården i förhållande till bestämmelserna i utlänningslagen (2005:716, </w:t>
      </w:r>
      <w:proofErr w:type="spellStart"/>
      <w:r>
        <w:t>UtlL</w:t>
      </w:r>
      <w:proofErr w:type="spellEnd"/>
      <w:r>
        <w:t xml:space="preserve">). Liberalerna anser att barn som vårdas enligt lagen om vård av unga (LVU) och samtidigt söker uppehållstillstånd behöver ett stärkt skydd. Vid prövningen av deras ärenden enligt </w:t>
      </w:r>
      <w:proofErr w:type="spellStart"/>
      <w:r>
        <w:t>UtlL</w:t>
      </w:r>
      <w:proofErr w:type="spellEnd"/>
      <w:r>
        <w:t xml:space="preserve"> behöver det samtidigt beaktas att de är föremål för insatser enligt LVU och att det kan uppstå situationer där skyddsintressena i LVU behöver ges företräde. </w:t>
      </w:r>
      <w:r w:rsidRPr="00743D02">
        <w:t xml:space="preserve">Det </w:t>
      </w:r>
      <w:r>
        <w:t xml:space="preserve">behöver således </w:t>
      </w:r>
      <w:r w:rsidRPr="00743D02">
        <w:t xml:space="preserve">framgå av lagen att Migrationsverket och migrationsdomstolarna i sina bedömningar </w:t>
      </w:r>
      <w:r>
        <w:t xml:space="preserve">av sådana fall </w:t>
      </w:r>
      <w:r w:rsidRPr="00743D02">
        <w:t>ska ta hänsyn till socialtjänstens underlag, psykolog</w:t>
      </w:r>
      <w:r>
        <w:t xml:space="preserve">- eller </w:t>
      </w:r>
      <w:r w:rsidRPr="00743D02">
        <w:t>läkarutlåtanden och övriga yttranden i dessa frågor.</w:t>
      </w:r>
      <w:r>
        <w:t xml:space="preserve"> På samma sätt som i andra fall gällande hemtagning av omhändertagna barn behöver det vägas in vilka konsekvenserna blir för barnet utifrån vilka vuxna det knutit an till.</w:t>
      </w:r>
    </w:p>
    <w:p w14:paraId="4AB52C6C" w14:textId="77777777" w:rsidR="00D172E8" w:rsidRPr="00743D02" w:rsidRDefault="00D172E8" w:rsidP="00D172E8"/>
    <w:p w14:paraId="373C7E25" w14:textId="77777777" w:rsidR="00D172E8" w:rsidRDefault="00D172E8" w:rsidP="00D172E8">
      <w:r>
        <w:lastRenderedPageBreak/>
        <w:t xml:space="preserve">Detta är en uppfattning som bekräftas av bland annat Unicef, något som också uppmärksammades av Utredningen om tvångsvård för barn och unga </w:t>
      </w:r>
      <w:r w:rsidRPr="00743D02">
        <w:t>(</w:t>
      </w:r>
      <w:r>
        <w:t>d</w:t>
      </w:r>
      <w:r w:rsidRPr="00743D02">
        <w:t xml:space="preserve">ir. 2012:79) </w:t>
      </w:r>
      <w:r>
        <w:t xml:space="preserve">som noterade den särskilda situationen för </w:t>
      </w:r>
      <w:r w:rsidRPr="00743D02">
        <w:t xml:space="preserve">barn som </w:t>
      </w:r>
      <w:proofErr w:type="spellStart"/>
      <w:r w:rsidRPr="00743D02">
        <w:t>samhällsvårdas</w:t>
      </w:r>
      <w:proofErr w:type="spellEnd"/>
      <w:r w:rsidRPr="00743D02">
        <w:t xml:space="preserve"> och söker uppehållstillstånd. Socialtjänsten kan besluta om tvångsvård av ett barn utifrån barnets behov och bästa – Migrationsverket kan när som helst avbryta den vård socialtjänsten beslutat om för att utvisa barnet. Detta </w:t>
      </w:r>
      <w:r>
        <w:t>kan givetvis få</w:t>
      </w:r>
      <w:r w:rsidRPr="00743D02">
        <w:t xml:space="preserve"> allvarliga konsekvenser för berörda barn</w:t>
      </w:r>
      <w:r>
        <w:t xml:space="preserve">. </w:t>
      </w:r>
    </w:p>
    <w:p w14:paraId="26C01388" w14:textId="77777777" w:rsidR="00D172E8" w:rsidRDefault="00D172E8" w:rsidP="00D172E8">
      <w:r w:rsidRPr="00B7023C">
        <w:t>Enligt svensk lag</w:t>
      </w:r>
      <w:r>
        <w:t>,</w:t>
      </w:r>
      <w:r w:rsidRPr="00B7023C">
        <w:t xml:space="preserve"> som idag inkluderar barnkonventionen</w:t>
      </w:r>
      <w:r>
        <w:t>,</w:t>
      </w:r>
      <w:r w:rsidRPr="00B7023C">
        <w:t xml:space="preserve"> finns det en skyldighet att verka för att barn får sina rättigheter tillgodosedda inom varje verksamhetsområde. Vid alla åtgärder som rör barn, vare sig de vidtas av offentliga eller privata sociala välfärdsinstitutioner, domstolar, administrativa myndigheter eller lagstiftande organ, ska </w:t>
      </w:r>
      <w:r>
        <w:t xml:space="preserve">i första hand beaktas vad som bedöms vara </w:t>
      </w:r>
      <w:r w:rsidRPr="00B7023C">
        <w:t>barnets bästa.</w:t>
      </w:r>
    </w:p>
    <w:p w14:paraId="31BA03D3" w14:textId="77777777" w:rsidR="00D172E8" w:rsidRDefault="00D172E8" w:rsidP="00D172E8">
      <w:r>
        <w:t xml:space="preserve">Med anledning av ovanstående föreslår jag att socialutskottet genom ett utskottsinitiativ riktar ett tillkännagivande till regeringen om en översyn av regelverket gällande de situationer då såväl utlänningslagen som LVU är tillämpliga på barn som vistats långvarigt i familjehem och fått sin anknytning till familjehemsföräldrarna. </w:t>
      </w:r>
    </w:p>
    <w:p w14:paraId="48319111" w14:textId="77777777" w:rsidR="00D172E8" w:rsidRDefault="00D172E8" w:rsidP="00D172E8">
      <w:pPr>
        <w:tabs>
          <w:tab w:val="left" w:pos="1074"/>
        </w:tabs>
      </w:pPr>
    </w:p>
    <w:p w14:paraId="309703BB" w14:textId="77777777" w:rsidR="00D172E8" w:rsidRDefault="00D172E8" w:rsidP="00D172E8">
      <w:r>
        <w:t>Stockholm dag som ovan</w:t>
      </w:r>
    </w:p>
    <w:p w14:paraId="2C76EC82" w14:textId="77777777" w:rsidR="00D172E8" w:rsidRDefault="00D172E8" w:rsidP="00D172E8"/>
    <w:p w14:paraId="695C0D51" w14:textId="77777777" w:rsidR="00D172E8" w:rsidRDefault="00D172E8" w:rsidP="00D172E8"/>
    <w:p w14:paraId="0B77D151" w14:textId="77777777" w:rsidR="00D172E8" w:rsidRDefault="00D172E8" w:rsidP="00D172E8"/>
    <w:p w14:paraId="0EA5D1B1" w14:textId="77777777" w:rsidR="00D172E8" w:rsidRDefault="00D172E8" w:rsidP="00D172E8">
      <w:r>
        <w:t>Juno Blom (L)</w:t>
      </w:r>
    </w:p>
    <w:p w14:paraId="0A6A2ECC" w14:textId="77777777" w:rsidR="00D172E8" w:rsidRPr="002B3C15" w:rsidRDefault="00D172E8" w:rsidP="00D172E8"/>
    <w:p w14:paraId="40B38523" w14:textId="77777777" w:rsidR="00CC089F" w:rsidRDefault="00CC089F" w:rsidP="00CC089F">
      <w:pPr>
        <w:tabs>
          <w:tab w:val="left" w:pos="142"/>
          <w:tab w:val="left" w:pos="7655"/>
        </w:tabs>
        <w:ind w:right="70"/>
      </w:pPr>
    </w:p>
    <w:p w14:paraId="42077432" w14:textId="77777777" w:rsidR="00CC089F" w:rsidRDefault="00CC089F" w:rsidP="00CC089F">
      <w:pPr>
        <w:tabs>
          <w:tab w:val="left" w:pos="142"/>
          <w:tab w:val="left" w:pos="7655"/>
        </w:tabs>
        <w:ind w:right="70"/>
      </w:pPr>
    </w:p>
    <w:p w14:paraId="43CCE437" w14:textId="77777777" w:rsidR="009832F8" w:rsidRDefault="009832F8" w:rsidP="009832F8">
      <w:pPr>
        <w:tabs>
          <w:tab w:val="left" w:pos="142"/>
          <w:tab w:val="left" w:pos="7655"/>
        </w:tabs>
        <w:ind w:right="70"/>
      </w:pPr>
    </w:p>
    <w:p w14:paraId="25F788AF" w14:textId="33B8C39C" w:rsidR="002B0FAA" w:rsidRDefault="002B0FAA" w:rsidP="00CA5D22">
      <w:pPr>
        <w:tabs>
          <w:tab w:val="left" w:pos="142"/>
          <w:tab w:val="left" w:pos="7797"/>
        </w:tabs>
        <w:ind w:right="70"/>
      </w:pPr>
    </w:p>
    <w:sectPr w:rsidR="002B0FAA"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5"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6"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3"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3"/>
  </w:num>
  <w:num w:numId="4">
    <w:abstractNumId w:val="33"/>
  </w:num>
  <w:num w:numId="5">
    <w:abstractNumId w:val="15"/>
  </w:num>
  <w:num w:numId="6">
    <w:abstractNumId w:val="16"/>
  </w:num>
  <w:num w:numId="7">
    <w:abstractNumId w:val="6"/>
  </w:num>
  <w:num w:numId="8">
    <w:abstractNumId w:val="24"/>
  </w:num>
  <w:num w:numId="9">
    <w:abstractNumId w:val="20"/>
  </w:num>
  <w:num w:numId="10">
    <w:abstractNumId w:val="1"/>
  </w:num>
  <w:num w:numId="11">
    <w:abstractNumId w:val="25"/>
  </w:num>
  <w:num w:numId="12">
    <w:abstractNumId w:val="11"/>
  </w:num>
  <w:num w:numId="13">
    <w:abstractNumId w:val="32"/>
  </w:num>
  <w:num w:numId="14">
    <w:abstractNumId w:val="25"/>
  </w:num>
  <w:num w:numId="15">
    <w:abstractNumId w:val="11"/>
  </w:num>
  <w:num w:numId="16">
    <w:abstractNumId w:val="32"/>
  </w:num>
  <w:num w:numId="17">
    <w:abstractNumId w:val="31"/>
  </w:num>
  <w:num w:numId="18">
    <w:abstractNumId w:val="14"/>
  </w:num>
  <w:num w:numId="19">
    <w:abstractNumId w:val="31"/>
  </w:num>
  <w:num w:numId="20">
    <w:abstractNumId w:val="13"/>
  </w:num>
  <w:num w:numId="21">
    <w:abstractNumId w:val="0"/>
  </w:num>
  <w:num w:numId="22">
    <w:abstractNumId w:val="30"/>
  </w:num>
  <w:num w:numId="23">
    <w:abstractNumId w:val="34"/>
  </w:num>
  <w:num w:numId="24">
    <w:abstractNumId w:val="5"/>
  </w:num>
  <w:num w:numId="25">
    <w:abstractNumId w:val="27"/>
  </w:num>
  <w:num w:numId="26">
    <w:abstractNumId w:val="28"/>
  </w:num>
  <w:num w:numId="27">
    <w:abstractNumId w:val="22"/>
  </w:num>
  <w:num w:numId="28">
    <w:abstractNumId w:val="17"/>
  </w:num>
  <w:num w:numId="29">
    <w:abstractNumId w:val="12"/>
  </w:num>
  <w:num w:numId="30">
    <w:abstractNumId w:val="10"/>
  </w:num>
  <w:num w:numId="31">
    <w:abstractNumId w:val="4"/>
  </w:num>
  <w:num w:numId="32">
    <w:abstractNumId w:val="9"/>
  </w:num>
  <w:num w:numId="33">
    <w:abstractNumId w:val="3"/>
  </w:num>
  <w:num w:numId="34">
    <w:abstractNumId w:val="29"/>
  </w:num>
  <w:num w:numId="35">
    <w:abstractNumId w:val="19"/>
  </w:num>
  <w:num w:numId="36">
    <w:abstractNumId w:val="18"/>
  </w:num>
  <w:num w:numId="37">
    <w:abstractNumId w:val="7"/>
  </w:num>
  <w:num w:numId="38">
    <w:abstractNumId w:val="18"/>
  </w:num>
  <w:num w:numId="39">
    <w:abstractNumId w:val="2"/>
  </w:num>
  <w:num w:numId="40">
    <w:abstractNumId w:val="8"/>
  </w:num>
  <w:num w:numId="41">
    <w:abstractNumId w:val="2"/>
  </w:num>
  <w:num w:numId="4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6159"/>
    <w:rsid w:val="0004630A"/>
    <w:rsid w:val="00046325"/>
    <w:rsid w:val="00046DB8"/>
    <w:rsid w:val="00047342"/>
    <w:rsid w:val="00047533"/>
    <w:rsid w:val="000478D0"/>
    <w:rsid w:val="00047DD3"/>
    <w:rsid w:val="00050D18"/>
    <w:rsid w:val="00051DBB"/>
    <w:rsid w:val="000527BA"/>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3C2A"/>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B45"/>
    <w:rsid w:val="00222310"/>
    <w:rsid w:val="002234FD"/>
    <w:rsid w:val="00223C30"/>
    <w:rsid w:val="00223C54"/>
    <w:rsid w:val="00224A88"/>
    <w:rsid w:val="00224BD3"/>
    <w:rsid w:val="00224E9C"/>
    <w:rsid w:val="00225350"/>
    <w:rsid w:val="00226733"/>
    <w:rsid w:val="00230827"/>
    <w:rsid w:val="00231A09"/>
    <w:rsid w:val="00232204"/>
    <w:rsid w:val="002327ED"/>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1C3E"/>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5B6"/>
    <w:rsid w:val="00330CC9"/>
    <w:rsid w:val="00332DD4"/>
    <w:rsid w:val="00333088"/>
    <w:rsid w:val="00333F0B"/>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67174"/>
    <w:rsid w:val="003709E5"/>
    <w:rsid w:val="0037152A"/>
    <w:rsid w:val="003718FE"/>
    <w:rsid w:val="0037298A"/>
    <w:rsid w:val="00372C6E"/>
    <w:rsid w:val="00373349"/>
    <w:rsid w:val="003741EC"/>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7D3"/>
    <w:rsid w:val="0039741B"/>
    <w:rsid w:val="003975BD"/>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4A26"/>
    <w:rsid w:val="003B53BA"/>
    <w:rsid w:val="003B5B34"/>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C88"/>
    <w:rsid w:val="004358BD"/>
    <w:rsid w:val="00435AB1"/>
    <w:rsid w:val="00435B75"/>
    <w:rsid w:val="00436493"/>
    <w:rsid w:val="00436883"/>
    <w:rsid w:val="00437AA4"/>
    <w:rsid w:val="00440A7C"/>
    <w:rsid w:val="004410A2"/>
    <w:rsid w:val="0044390B"/>
    <w:rsid w:val="00443BF0"/>
    <w:rsid w:val="0044410C"/>
    <w:rsid w:val="0044621D"/>
    <w:rsid w:val="00446292"/>
    <w:rsid w:val="00446742"/>
    <w:rsid w:val="00446E94"/>
    <w:rsid w:val="0045039E"/>
    <w:rsid w:val="004503E2"/>
    <w:rsid w:val="0045053B"/>
    <w:rsid w:val="0045096F"/>
    <w:rsid w:val="00450B14"/>
    <w:rsid w:val="004510EF"/>
    <w:rsid w:val="0045148A"/>
    <w:rsid w:val="00451E29"/>
    <w:rsid w:val="00451EB6"/>
    <w:rsid w:val="00452DB1"/>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58CC"/>
    <w:rsid w:val="004B59F5"/>
    <w:rsid w:val="004B65C2"/>
    <w:rsid w:val="004B78D6"/>
    <w:rsid w:val="004C00E5"/>
    <w:rsid w:val="004C0CE4"/>
    <w:rsid w:val="004C1EA5"/>
    <w:rsid w:val="004C1F3F"/>
    <w:rsid w:val="004C2B9E"/>
    <w:rsid w:val="004C2C21"/>
    <w:rsid w:val="004C2CC0"/>
    <w:rsid w:val="004C37AA"/>
    <w:rsid w:val="004C48A4"/>
    <w:rsid w:val="004C4C92"/>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811"/>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628D"/>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771E"/>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4918"/>
    <w:rsid w:val="00685034"/>
    <w:rsid w:val="006850EC"/>
    <w:rsid w:val="00685638"/>
    <w:rsid w:val="006856A3"/>
    <w:rsid w:val="00686C04"/>
    <w:rsid w:val="0069048F"/>
    <w:rsid w:val="0069221B"/>
    <w:rsid w:val="00692418"/>
    <w:rsid w:val="0069280E"/>
    <w:rsid w:val="00692A47"/>
    <w:rsid w:val="0069374B"/>
    <w:rsid w:val="00694CBB"/>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07F69"/>
    <w:rsid w:val="00710DDD"/>
    <w:rsid w:val="0071189D"/>
    <w:rsid w:val="007119B2"/>
    <w:rsid w:val="00713FCC"/>
    <w:rsid w:val="007155CD"/>
    <w:rsid w:val="00716CF7"/>
    <w:rsid w:val="00720710"/>
    <w:rsid w:val="007211B0"/>
    <w:rsid w:val="007211F8"/>
    <w:rsid w:val="00721442"/>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192C"/>
    <w:rsid w:val="00783176"/>
    <w:rsid w:val="0078361F"/>
    <w:rsid w:val="00783A2B"/>
    <w:rsid w:val="00784FC9"/>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E0E"/>
    <w:rsid w:val="00797FF1"/>
    <w:rsid w:val="007A025B"/>
    <w:rsid w:val="007A0A35"/>
    <w:rsid w:val="007A0A44"/>
    <w:rsid w:val="007A0F60"/>
    <w:rsid w:val="007A25A8"/>
    <w:rsid w:val="007A4E8A"/>
    <w:rsid w:val="007A53A7"/>
    <w:rsid w:val="007A5722"/>
    <w:rsid w:val="007A669A"/>
    <w:rsid w:val="007A7562"/>
    <w:rsid w:val="007A791C"/>
    <w:rsid w:val="007B0089"/>
    <w:rsid w:val="007B0805"/>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825"/>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2273"/>
    <w:rsid w:val="008B2D22"/>
    <w:rsid w:val="008B3CE7"/>
    <w:rsid w:val="008B4B98"/>
    <w:rsid w:val="008B5159"/>
    <w:rsid w:val="008B6C2A"/>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6AB8"/>
    <w:rsid w:val="008D72C8"/>
    <w:rsid w:val="008D7575"/>
    <w:rsid w:val="008E0FCE"/>
    <w:rsid w:val="008E34E1"/>
    <w:rsid w:val="008E548B"/>
    <w:rsid w:val="008E5594"/>
    <w:rsid w:val="008E5F34"/>
    <w:rsid w:val="008E6012"/>
    <w:rsid w:val="008E6A70"/>
    <w:rsid w:val="008E7599"/>
    <w:rsid w:val="008E799E"/>
    <w:rsid w:val="008F2073"/>
    <w:rsid w:val="008F2C57"/>
    <w:rsid w:val="008F30CC"/>
    <w:rsid w:val="008F4D68"/>
    <w:rsid w:val="008F5350"/>
    <w:rsid w:val="008F5ACB"/>
    <w:rsid w:val="008F5B30"/>
    <w:rsid w:val="008F6419"/>
    <w:rsid w:val="008F6BB7"/>
    <w:rsid w:val="008F6E85"/>
    <w:rsid w:val="008F7BC2"/>
    <w:rsid w:val="008F7E34"/>
    <w:rsid w:val="00900282"/>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37EFE"/>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589"/>
    <w:rsid w:val="009807B8"/>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B7CDB"/>
    <w:rsid w:val="009C11A4"/>
    <w:rsid w:val="009C12CF"/>
    <w:rsid w:val="009C1D14"/>
    <w:rsid w:val="009C2D1A"/>
    <w:rsid w:val="009C3536"/>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0D9"/>
    <w:rsid w:val="00AC0AA9"/>
    <w:rsid w:val="00AC19D8"/>
    <w:rsid w:val="00AC1BD9"/>
    <w:rsid w:val="00AC2092"/>
    <w:rsid w:val="00AC272F"/>
    <w:rsid w:val="00AC4111"/>
    <w:rsid w:val="00AC4909"/>
    <w:rsid w:val="00AC54D2"/>
    <w:rsid w:val="00AC5B8B"/>
    <w:rsid w:val="00AC6C00"/>
    <w:rsid w:val="00AC7046"/>
    <w:rsid w:val="00AC7553"/>
    <w:rsid w:val="00AD0F16"/>
    <w:rsid w:val="00AD2C28"/>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64CE"/>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18DE"/>
    <w:rsid w:val="00C4230F"/>
    <w:rsid w:val="00C42BE5"/>
    <w:rsid w:val="00C43814"/>
    <w:rsid w:val="00C43CDB"/>
    <w:rsid w:val="00C43D23"/>
    <w:rsid w:val="00C446D0"/>
    <w:rsid w:val="00C455FF"/>
    <w:rsid w:val="00C45C68"/>
    <w:rsid w:val="00C45C74"/>
    <w:rsid w:val="00C50E5D"/>
    <w:rsid w:val="00C51A6D"/>
    <w:rsid w:val="00C52150"/>
    <w:rsid w:val="00C52154"/>
    <w:rsid w:val="00C52734"/>
    <w:rsid w:val="00C53488"/>
    <w:rsid w:val="00C53AFF"/>
    <w:rsid w:val="00C53CA8"/>
    <w:rsid w:val="00C54E3E"/>
    <w:rsid w:val="00C55E46"/>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75D"/>
    <w:rsid w:val="00CA691D"/>
    <w:rsid w:val="00CA755A"/>
    <w:rsid w:val="00CA7712"/>
    <w:rsid w:val="00CB0012"/>
    <w:rsid w:val="00CB261E"/>
    <w:rsid w:val="00CB2EFF"/>
    <w:rsid w:val="00CB4102"/>
    <w:rsid w:val="00CB427B"/>
    <w:rsid w:val="00CB4913"/>
    <w:rsid w:val="00CB5916"/>
    <w:rsid w:val="00CB5E68"/>
    <w:rsid w:val="00CB7818"/>
    <w:rsid w:val="00CC089F"/>
    <w:rsid w:val="00CC3AFD"/>
    <w:rsid w:val="00CC3E5F"/>
    <w:rsid w:val="00CC41FA"/>
    <w:rsid w:val="00CC42A6"/>
    <w:rsid w:val="00CC5603"/>
    <w:rsid w:val="00CC5FCD"/>
    <w:rsid w:val="00CC6D12"/>
    <w:rsid w:val="00CC72AA"/>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190C"/>
    <w:rsid w:val="00D04406"/>
    <w:rsid w:val="00D04E1C"/>
    <w:rsid w:val="00D050FF"/>
    <w:rsid w:val="00D0593D"/>
    <w:rsid w:val="00D07121"/>
    <w:rsid w:val="00D07B1F"/>
    <w:rsid w:val="00D10746"/>
    <w:rsid w:val="00D1245A"/>
    <w:rsid w:val="00D128A6"/>
    <w:rsid w:val="00D136EE"/>
    <w:rsid w:val="00D137D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7DF"/>
    <w:rsid w:val="00DB2976"/>
    <w:rsid w:val="00DB2F31"/>
    <w:rsid w:val="00DB3354"/>
    <w:rsid w:val="00DB3890"/>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6DB"/>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7894"/>
    <w:rsid w:val="00DF7AC5"/>
    <w:rsid w:val="00DF7E44"/>
    <w:rsid w:val="00DF7F39"/>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F09C7"/>
    <w:rsid w:val="00EF0E2F"/>
    <w:rsid w:val="00EF139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4B35-D3E8-40C2-82E2-56166FD8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2529</TotalTime>
  <Pages>6</Pages>
  <Words>1690</Words>
  <Characters>10774</Characters>
  <Application>Microsoft Office Word</Application>
  <DocSecurity>0</DocSecurity>
  <Lines>1346</Lines>
  <Paragraphs>265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609</cp:revision>
  <cp:lastPrinted>2021-09-28T11:11:00Z</cp:lastPrinted>
  <dcterms:created xsi:type="dcterms:W3CDTF">2020-06-26T09:11:00Z</dcterms:created>
  <dcterms:modified xsi:type="dcterms:W3CDTF">2021-09-30T09:03:00Z</dcterms:modified>
</cp:coreProperties>
</file>