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23E4C" w14:textId="77777777" w:rsidR="00FB32B9" w:rsidRDefault="00FE61B2" w:rsidP="006500BE">
      <w:pPr>
        <w:pStyle w:val="UDrubrik"/>
        <w:tabs>
          <w:tab w:val="left" w:pos="1701"/>
          <w:tab w:val="left" w:pos="1985"/>
        </w:tabs>
        <w:rPr>
          <w:rFonts w:cs="Arial"/>
          <w:sz w:val="28"/>
        </w:rPr>
      </w:pPr>
      <w:bookmarkStart w:id="0" w:name="_GoBack"/>
      <w:bookmarkEnd w:id="0"/>
    </w:p>
    <w:p w14:paraId="79D23E4D" w14:textId="77777777" w:rsidR="00FB32B9" w:rsidRDefault="00FE61B2" w:rsidP="006500BE">
      <w:pPr>
        <w:pStyle w:val="UDrubrik"/>
        <w:tabs>
          <w:tab w:val="left" w:pos="1701"/>
          <w:tab w:val="left" w:pos="1985"/>
        </w:tabs>
        <w:rPr>
          <w:rFonts w:cs="Arial"/>
          <w:sz w:val="28"/>
        </w:rPr>
      </w:pPr>
    </w:p>
    <w:p w14:paraId="79D23E4E" w14:textId="77777777" w:rsidR="00FB32B9" w:rsidRDefault="00FE61B2" w:rsidP="006500BE">
      <w:pPr>
        <w:pStyle w:val="UDrubrik"/>
        <w:tabs>
          <w:tab w:val="left" w:pos="1701"/>
          <w:tab w:val="left" w:pos="1985"/>
        </w:tabs>
        <w:rPr>
          <w:rFonts w:cs="Arial"/>
          <w:sz w:val="28"/>
        </w:rPr>
      </w:pPr>
    </w:p>
    <w:p w14:paraId="79D23E4F" w14:textId="77777777" w:rsidR="00FB32B9" w:rsidRDefault="00FE61B2" w:rsidP="006500BE">
      <w:pPr>
        <w:pStyle w:val="UDrubrik"/>
        <w:tabs>
          <w:tab w:val="left" w:pos="1701"/>
          <w:tab w:val="left" w:pos="1985"/>
        </w:tabs>
        <w:rPr>
          <w:rFonts w:cs="Arial"/>
          <w:sz w:val="28"/>
        </w:rPr>
      </w:pPr>
    </w:p>
    <w:p w14:paraId="79D23E50" w14:textId="3AE71BE9" w:rsidR="00FB32B9" w:rsidRDefault="00A362FC" w:rsidP="006500BE">
      <w:pPr>
        <w:pStyle w:val="UDrubrik"/>
        <w:tabs>
          <w:tab w:val="left" w:pos="1701"/>
          <w:tab w:val="left" w:pos="1985"/>
        </w:tabs>
        <w:rPr>
          <w:rFonts w:cs="Arial"/>
          <w:sz w:val="28"/>
        </w:rPr>
      </w:pPr>
      <w:r>
        <w:rPr>
          <w:rFonts w:cs="Arial"/>
          <w:sz w:val="28"/>
        </w:rPr>
        <w:t>Trolig A-punkt</w:t>
      </w:r>
      <w:r w:rsidR="007A7408">
        <w:rPr>
          <w:rFonts w:cs="Arial"/>
          <w:sz w:val="28"/>
        </w:rPr>
        <w:t xml:space="preserve"> inför kommande rådsmöten som godkän</w:t>
      </w:r>
      <w:r w:rsidR="006500BE">
        <w:rPr>
          <w:rFonts w:cs="Arial"/>
          <w:sz w:val="28"/>
        </w:rPr>
        <w:t>des</w:t>
      </w:r>
      <w:r w:rsidR="007A7408">
        <w:rPr>
          <w:rFonts w:cs="Arial"/>
          <w:sz w:val="28"/>
        </w:rPr>
        <w:t xml:space="preserve"> vid </w:t>
      </w:r>
      <w:r>
        <w:rPr>
          <w:rFonts w:cs="Arial"/>
          <w:sz w:val="28"/>
        </w:rPr>
        <w:t>SJK 2015-06-11.</w:t>
      </w:r>
    </w:p>
    <w:p w14:paraId="79D23E51" w14:textId="77777777" w:rsidR="00FB32B9" w:rsidRDefault="00FE61B2" w:rsidP="006500BE">
      <w:pPr>
        <w:pStyle w:val="Brdtext"/>
      </w:pPr>
    </w:p>
    <w:p w14:paraId="79D23E52" w14:textId="5C7EEAF6" w:rsidR="00FB32B9" w:rsidRDefault="00A362FC" w:rsidP="006500BE">
      <w:pPr>
        <w:pStyle w:val="Brdtext"/>
      </w:pPr>
      <w:r>
        <w:t>Överlämnas för skriftligt samråd till måndagen den 15 juni 2015, kl 15.00.</w:t>
      </w:r>
    </w:p>
    <w:p w14:paraId="79D23E53" w14:textId="77777777" w:rsidR="00FB32B9" w:rsidRDefault="007A7408" w:rsidP="006500BE">
      <w:pPr>
        <w:spacing w:after="0"/>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9D23E54" w14:textId="77777777" w:rsidR="00D957FB" w:rsidRPr="00FB32B9" w:rsidRDefault="007A7408" w:rsidP="006500BE">
          <w:pPr>
            <w:pStyle w:val="Innehllsfrteckningsrubrik"/>
            <w:spacing w:before="0"/>
            <w:rPr>
              <w:color w:val="auto"/>
            </w:rPr>
          </w:pPr>
          <w:r w:rsidRPr="00FB32B9">
            <w:rPr>
              <w:color w:val="auto"/>
            </w:rPr>
            <w:t>Innehållsförteckning</w:t>
          </w:r>
        </w:p>
        <w:p w14:paraId="79D23E55" w14:textId="77777777" w:rsidR="00DA7250" w:rsidRPr="00DA7250" w:rsidRDefault="00FE61B2" w:rsidP="006500BE">
          <w:pPr>
            <w:spacing w:after="0"/>
            <w:rPr>
              <w:lang w:val="en-US" w:eastAsia="ja-JP"/>
            </w:rPr>
          </w:pPr>
        </w:p>
        <w:p w14:paraId="45804B9C" w14:textId="77777777" w:rsidR="00A362FC" w:rsidRDefault="007A7408">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2131377" w:history="1">
            <w:r w:rsidR="00A362FC" w:rsidRPr="00745315">
              <w:rPr>
                <w:rStyle w:val="Hyperlnk"/>
                <w:noProof/>
              </w:rPr>
              <w:t>1.</w:t>
            </w:r>
            <w:r w:rsidR="00A362FC">
              <w:rPr>
                <w:rFonts w:asciiTheme="minorHAnsi" w:eastAsiaTheme="minorEastAsia" w:hAnsiTheme="minorHAnsi" w:cstheme="minorBidi"/>
                <w:noProof/>
                <w:lang w:eastAsia="sv-SE"/>
              </w:rPr>
              <w:tab/>
            </w:r>
            <w:r w:rsidR="00A362FC" w:rsidRPr="00745315">
              <w:rPr>
                <w:rStyle w:val="Hyperlnk"/>
                <w:noProof/>
              </w:rPr>
              <w:t>Förslag till Europaparlamentets och rådets förordnig …/… om fastställande av den justeringsgrad som avses i förordning (EU) nr 1306/2013 för direktstöd avseende kalenderåret 2015</w:t>
            </w:r>
            <w:r w:rsidR="00A362FC">
              <w:rPr>
                <w:noProof/>
                <w:webHidden/>
              </w:rPr>
              <w:tab/>
            </w:r>
            <w:r w:rsidR="00A362FC">
              <w:rPr>
                <w:noProof/>
                <w:webHidden/>
              </w:rPr>
              <w:fldChar w:fldCharType="begin"/>
            </w:r>
            <w:r w:rsidR="00A362FC">
              <w:rPr>
                <w:noProof/>
                <w:webHidden/>
              </w:rPr>
              <w:instrText xml:space="preserve"> PAGEREF _Toc422131377 \h </w:instrText>
            </w:r>
            <w:r w:rsidR="00A362FC">
              <w:rPr>
                <w:noProof/>
                <w:webHidden/>
              </w:rPr>
            </w:r>
            <w:r w:rsidR="00A362FC">
              <w:rPr>
                <w:noProof/>
                <w:webHidden/>
              </w:rPr>
              <w:fldChar w:fldCharType="separate"/>
            </w:r>
            <w:r w:rsidR="00A362FC">
              <w:rPr>
                <w:noProof/>
                <w:webHidden/>
              </w:rPr>
              <w:t>3</w:t>
            </w:r>
            <w:r w:rsidR="00A362FC">
              <w:rPr>
                <w:noProof/>
                <w:webHidden/>
              </w:rPr>
              <w:fldChar w:fldCharType="end"/>
            </w:r>
          </w:hyperlink>
        </w:p>
        <w:p w14:paraId="79D23E62" w14:textId="77777777" w:rsidR="00D957FB" w:rsidRDefault="007A7408" w:rsidP="006500BE">
          <w:pPr>
            <w:spacing w:after="0"/>
          </w:pPr>
          <w:r>
            <w:rPr>
              <w:b/>
              <w:bCs/>
              <w:noProof/>
            </w:rPr>
            <w:fldChar w:fldCharType="end"/>
          </w:r>
        </w:p>
      </w:sdtContent>
    </w:sdt>
    <w:p w14:paraId="79D23E63" w14:textId="77777777" w:rsidR="00D957FB" w:rsidRDefault="007A7408" w:rsidP="006500BE">
      <w:pPr>
        <w:spacing w:after="0"/>
        <w:ind w:left="0"/>
      </w:pPr>
      <w:r>
        <w:br w:type="page"/>
      </w:r>
    </w:p>
    <w:p w14:paraId="79D23E64" w14:textId="77777777" w:rsidR="00643D86" w:rsidRDefault="00FE61B2" w:rsidP="006500BE">
      <w:pPr>
        <w:pStyle w:val="Rubrik1"/>
        <w:numPr>
          <w:ilvl w:val="0"/>
          <w:numId w:val="0"/>
        </w:numPr>
        <w:spacing w:before="0"/>
      </w:pPr>
      <w:bookmarkStart w:id="1" w:name="_Toc364854645"/>
    </w:p>
    <w:p w14:paraId="40DC7F6C" w14:textId="65E1729E" w:rsidR="005447B0" w:rsidRPr="005447B0" w:rsidRDefault="005447B0" w:rsidP="005447B0">
      <w:pPr>
        <w:pStyle w:val="Rubrik1"/>
        <w:spacing w:before="0"/>
        <w:rPr>
          <w:noProof/>
        </w:rPr>
      </w:pPr>
      <w:bookmarkStart w:id="2" w:name="_Toc422131377"/>
      <w:r>
        <w:rPr>
          <w:noProof/>
        </w:rPr>
        <w:t>Fö</w:t>
      </w:r>
      <w:r w:rsidRPr="005447B0">
        <w:rPr>
          <w:noProof/>
        </w:rPr>
        <w:t>rslag till Europaparlamentets och rådets förordni</w:t>
      </w:r>
      <w:r w:rsidR="00A362FC">
        <w:rPr>
          <w:noProof/>
        </w:rPr>
        <w:t>n</w:t>
      </w:r>
      <w:r w:rsidRPr="005447B0">
        <w:rPr>
          <w:noProof/>
        </w:rPr>
        <w:t>g …/… om fastställande av den justeringsgrad som avses i förordning (EU) nr 1306/2013 för direktstöd avseende kalenderåret 2015</w:t>
      </w:r>
      <w:bookmarkEnd w:id="2"/>
    </w:p>
    <w:p w14:paraId="66111944" w14:textId="77777777" w:rsidR="005447B0" w:rsidRPr="005447B0" w:rsidRDefault="005447B0" w:rsidP="005447B0">
      <w:pPr>
        <w:pStyle w:val="RKnormal"/>
        <w:ind w:left="714"/>
        <w:rPr>
          <w:rFonts w:ascii="Times New Roman" w:eastAsia="Calibri" w:hAnsi="Times New Roman"/>
          <w:bCs/>
          <w:sz w:val="22"/>
          <w:szCs w:val="22"/>
        </w:rPr>
      </w:pPr>
    </w:p>
    <w:p w14:paraId="30ED271D" w14:textId="77777777" w:rsidR="00CC1986" w:rsidRDefault="005447B0" w:rsidP="00CC1986">
      <w:pPr>
        <w:rPr>
          <w:b/>
          <w:bCs/>
        </w:rPr>
      </w:pPr>
      <w:r w:rsidRPr="00A362FC">
        <w:rPr>
          <w:b/>
        </w:rPr>
        <w:t>Ansvarigt statsråd:</w:t>
      </w:r>
      <w:r w:rsidRPr="005447B0">
        <w:t xml:space="preserve"> Sven-Erik Bucht</w:t>
      </w:r>
      <w:r w:rsidR="00A362FC">
        <w:br/>
      </w:r>
    </w:p>
    <w:p w14:paraId="45BAA3FB" w14:textId="15025B6E" w:rsidR="005447B0" w:rsidRPr="005447B0" w:rsidRDefault="005447B0" w:rsidP="00CC1986">
      <w:pPr>
        <w:rPr>
          <w:bCs/>
        </w:rPr>
      </w:pPr>
      <w:r w:rsidRPr="005447B0">
        <w:rPr>
          <w:b/>
          <w:bCs/>
        </w:rPr>
        <w:t>Avsikt med behandlingen i rådet:</w:t>
      </w:r>
      <w:r w:rsidRPr="005447B0">
        <w:rPr>
          <w:bCs/>
        </w:rPr>
        <w:t xml:space="preserve"> Rådet föreslås anta förordningen. </w:t>
      </w:r>
    </w:p>
    <w:p w14:paraId="2431B8F7" w14:textId="77777777" w:rsidR="005447B0" w:rsidRPr="005447B0" w:rsidRDefault="005447B0" w:rsidP="005447B0">
      <w:pPr>
        <w:pStyle w:val="RKnormal"/>
        <w:ind w:left="714"/>
        <w:rPr>
          <w:rFonts w:ascii="Times New Roman" w:eastAsia="Calibri" w:hAnsi="Times New Roman"/>
          <w:bCs/>
          <w:sz w:val="22"/>
          <w:szCs w:val="22"/>
        </w:rPr>
      </w:pPr>
    </w:p>
    <w:p w14:paraId="22919AF9" w14:textId="77777777" w:rsidR="005447B0" w:rsidRPr="005447B0" w:rsidRDefault="005447B0" w:rsidP="005447B0">
      <w:pPr>
        <w:pStyle w:val="RKnormal"/>
        <w:ind w:left="714"/>
        <w:rPr>
          <w:rFonts w:ascii="Times New Roman" w:eastAsia="Calibri" w:hAnsi="Times New Roman"/>
          <w:bCs/>
          <w:sz w:val="22"/>
          <w:szCs w:val="22"/>
        </w:rPr>
      </w:pPr>
      <w:r w:rsidRPr="005447B0">
        <w:rPr>
          <w:rFonts w:ascii="Times New Roman" w:eastAsia="Calibri" w:hAnsi="Times New Roman"/>
          <w:b/>
          <w:bCs/>
          <w:sz w:val="22"/>
          <w:szCs w:val="22"/>
        </w:rPr>
        <w:t>Hur regeringen ställer sig till den blivande A-punkten</w:t>
      </w:r>
      <w:r w:rsidRPr="005447B0">
        <w:rPr>
          <w:rFonts w:ascii="Times New Roman" w:eastAsia="Calibri" w:hAnsi="Times New Roman"/>
          <w:bCs/>
          <w:sz w:val="22"/>
          <w:szCs w:val="22"/>
        </w:rPr>
        <w:t xml:space="preserve">: Regeringen avser rösta ja till att förordningen antas. </w:t>
      </w:r>
    </w:p>
    <w:p w14:paraId="46F3019F" w14:textId="77777777" w:rsidR="005447B0" w:rsidRPr="005447B0" w:rsidRDefault="005447B0" w:rsidP="005447B0">
      <w:pPr>
        <w:pStyle w:val="RKnormal"/>
        <w:ind w:left="714"/>
        <w:rPr>
          <w:rFonts w:ascii="Times New Roman" w:eastAsia="Calibri" w:hAnsi="Times New Roman"/>
          <w:bCs/>
          <w:sz w:val="22"/>
          <w:szCs w:val="22"/>
        </w:rPr>
      </w:pPr>
    </w:p>
    <w:p w14:paraId="73920F52" w14:textId="77777777" w:rsidR="005447B0" w:rsidRPr="005447B0" w:rsidRDefault="005447B0" w:rsidP="005447B0">
      <w:pPr>
        <w:pStyle w:val="RKnormal"/>
        <w:ind w:left="714"/>
        <w:rPr>
          <w:rFonts w:ascii="Times New Roman" w:eastAsia="Calibri" w:hAnsi="Times New Roman"/>
          <w:bCs/>
          <w:sz w:val="22"/>
          <w:szCs w:val="22"/>
        </w:rPr>
      </w:pPr>
      <w:r w:rsidRPr="005447B0">
        <w:rPr>
          <w:rFonts w:ascii="Times New Roman" w:eastAsia="Calibri" w:hAnsi="Times New Roman"/>
          <w:b/>
          <w:bCs/>
          <w:sz w:val="22"/>
          <w:szCs w:val="22"/>
        </w:rPr>
        <w:t>Bakgrund:</w:t>
      </w:r>
      <w:r w:rsidRPr="005447B0">
        <w:rPr>
          <w:rFonts w:ascii="Times New Roman" w:eastAsia="Calibri" w:hAnsi="Times New Roman"/>
          <w:bCs/>
          <w:sz w:val="22"/>
          <w:szCs w:val="22"/>
        </w:rPr>
        <w:t xml:space="preserve"> En justeringsgrad för direktstöden tillämpas varje år i syfte att etablera krisreserven för jordbrukssektorn. I det fall budgettaket riskerar att överskridas tillämpas en högre justeringsgrad i syfte att hålla utgifterna inom budgeten. Justeringsgraden föreslås vara 1,393041 procent. Tillämpningen av justeringsgraden innebär en minskning av direktstödsbelopp för stödansökningar som lämnas in av jordbrukare för kalenderåret 2015 (budgetåret 2016). Minskningen tillämpas på stödbelopp över 2 000 euro och inte i alla medlemsstater. Den totala minskningen till följd av tillämpningen av finansiell disciplin uppgår till 441,6 miljoner euro, vilket är det belopp som behövs för att etablera krisreserven. De första prognoserna för budgeten för direktstöd och marknadsrelaterade utgifter visar att taket sannolikt inte kommer att överskridas.</w:t>
      </w:r>
    </w:p>
    <w:p w14:paraId="45629F78" w14:textId="77777777" w:rsidR="005447B0" w:rsidRPr="005447B0" w:rsidRDefault="005447B0" w:rsidP="005447B0">
      <w:pPr>
        <w:pStyle w:val="RKnormal"/>
        <w:ind w:left="714"/>
        <w:rPr>
          <w:rFonts w:ascii="Times New Roman" w:eastAsia="Calibri" w:hAnsi="Times New Roman"/>
          <w:bCs/>
          <w:sz w:val="22"/>
          <w:szCs w:val="22"/>
        </w:rPr>
      </w:pPr>
    </w:p>
    <w:p w14:paraId="3EF05CBC" w14:textId="77777777" w:rsidR="006500BE" w:rsidRPr="005447B0" w:rsidRDefault="006500BE" w:rsidP="006500BE">
      <w:pPr>
        <w:spacing w:after="0"/>
        <w:rPr>
          <w:bCs/>
        </w:rPr>
      </w:pPr>
    </w:p>
    <w:bookmarkEnd w:id="1"/>
    <w:sectPr w:rsidR="006500BE" w:rsidRPr="005447B0"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23ED7" w14:textId="77777777" w:rsidR="00A57E95" w:rsidRDefault="007A7408">
      <w:pPr>
        <w:spacing w:after="0" w:line="240" w:lineRule="auto"/>
      </w:pPr>
      <w:r>
        <w:separator/>
      </w:r>
    </w:p>
  </w:endnote>
  <w:endnote w:type="continuationSeparator" w:id="0">
    <w:p w14:paraId="79D23ED9" w14:textId="77777777" w:rsidR="00A57E95" w:rsidRDefault="007A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23ED3" w14:textId="77777777" w:rsidR="00A57E95" w:rsidRDefault="007A7408">
      <w:pPr>
        <w:spacing w:after="0" w:line="240" w:lineRule="auto"/>
      </w:pPr>
      <w:r>
        <w:separator/>
      </w:r>
    </w:p>
  </w:footnote>
  <w:footnote w:type="continuationSeparator" w:id="0">
    <w:p w14:paraId="79D23ED5" w14:textId="77777777" w:rsidR="00A57E95" w:rsidRDefault="007A74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866770"/>
      <w:docPartObj>
        <w:docPartGallery w:val="Page Numbers (Top of Page)"/>
        <w:docPartUnique/>
      </w:docPartObj>
    </w:sdtPr>
    <w:sdtEndPr/>
    <w:sdtContent>
      <w:p w14:paraId="273CD8E2" w14:textId="4CB0A0CD" w:rsidR="000B5134" w:rsidRDefault="000B5134">
        <w:pPr>
          <w:pStyle w:val="Sidhuvud"/>
          <w:jc w:val="right"/>
        </w:pPr>
        <w:r>
          <w:fldChar w:fldCharType="begin"/>
        </w:r>
        <w:r>
          <w:instrText>PAGE   \* MERGEFORMAT</w:instrText>
        </w:r>
        <w:r>
          <w:fldChar w:fldCharType="separate"/>
        </w:r>
        <w:r w:rsidR="00FE61B2">
          <w:rPr>
            <w:noProof/>
          </w:rPr>
          <w:t>2</w:t>
        </w:r>
        <w:r>
          <w:fldChar w:fldCharType="end"/>
        </w:r>
      </w:p>
    </w:sdtContent>
  </w:sdt>
  <w:p w14:paraId="79D23EC7" w14:textId="77777777" w:rsidR="006F1C0D" w:rsidRDefault="00FE61B2"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33CD2" w14:paraId="79D23ECD" w14:textId="77777777" w:rsidTr="006E71D7">
      <w:tc>
        <w:tcPr>
          <w:tcW w:w="4606" w:type="dxa"/>
        </w:tcPr>
        <w:p w14:paraId="79D23EC8" w14:textId="77777777" w:rsidR="006E71D7" w:rsidRDefault="007A7408" w:rsidP="00752770">
          <w:pPr>
            <w:pStyle w:val="Sidhuvud"/>
            <w:ind w:left="0"/>
          </w:pPr>
          <w:r>
            <w:rPr>
              <w:noProof/>
              <w:lang w:eastAsia="sv-SE"/>
            </w:rPr>
            <w:drawing>
              <wp:inline distT="0" distB="0" distL="0" distR="0" wp14:anchorId="79D23ED3" wp14:editId="79D23ED4">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9D23EC9" w14:textId="77777777" w:rsidR="00FB32B9" w:rsidRDefault="00FE61B2" w:rsidP="00FB32B9">
          <w:pPr>
            <w:ind w:right="916"/>
            <w:rPr>
              <w:rFonts w:ascii="TradeGothic" w:hAnsi="TradeGothic"/>
              <w:b/>
            </w:rPr>
          </w:pPr>
        </w:p>
        <w:p w14:paraId="79D23ECA" w14:textId="77777777" w:rsidR="00FB32B9" w:rsidRDefault="007A7408" w:rsidP="00FB32B9">
          <w:pPr>
            <w:ind w:right="916"/>
          </w:pPr>
          <w:r>
            <w:rPr>
              <w:rFonts w:ascii="TradeGothic" w:hAnsi="TradeGothic"/>
              <w:b/>
            </w:rPr>
            <w:t>Promemoria</w:t>
          </w:r>
        </w:p>
        <w:p w14:paraId="79D23ECB" w14:textId="77777777" w:rsidR="00FB32B9" w:rsidRDefault="00FE61B2" w:rsidP="00FB32B9">
          <w:pPr>
            <w:jc w:val="right"/>
          </w:pPr>
        </w:p>
        <w:p w14:paraId="79D23ECC" w14:textId="486187CE" w:rsidR="006E71D7" w:rsidRDefault="007A7408" w:rsidP="00FB32B9">
          <w:pPr>
            <w:ind w:right="916"/>
          </w:pPr>
          <w:r>
            <w:rPr>
              <w:rFonts w:ascii="TradeGothic" w:hAnsi="TradeGothic"/>
              <w:b/>
              <w:noProof/>
            </w:rPr>
            <w:t>2015-0</w:t>
          </w:r>
          <w:r w:rsidR="00A362FC">
            <w:rPr>
              <w:rFonts w:ascii="TradeGothic" w:hAnsi="TradeGothic"/>
              <w:b/>
              <w:noProof/>
            </w:rPr>
            <w:t>6-15</w:t>
          </w:r>
          <w:r w:rsidRPr="00934953">
            <w:t xml:space="preserve"> </w:t>
          </w:r>
        </w:p>
      </w:tc>
    </w:tr>
  </w:tbl>
  <w:p w14:paraId="79D23ECE" w14:textId="77777777" w:rsidR="00FB32B9" w:rsidRDefault="00FE61B2" w:rsidP="00FB32B9">
    <w:pPr>
      <w:pStyle w:val="Avsndare"/>
      <w:framePr w:w="0" w:hRule="auto" w:hSpace="0" w:wrap="auto" w:vAnchor="margin" w:hAnchor="text" w:xAlign="left" w:yAlign="inline"/>
      <w:rPr>
        <w:b/>
        <w:i w:val="0"/>
        <w:sz w:val="22"/>
      </w:rPr>
    </w:pPr>
  </w:p>
  <w:p w14:paraId="79D23ECF" w14:textId="77777777" w:rsidR="00FB32B9" w:rsidRDefault="007A7408" w:rsidP="00FB32B9">
    <w:pPr>
      <w:pStyle w:val="Avsndare"/>
      <w:framePr w:w="0" w:hRule="auto" w:hSpace="0" w:wrap="auto" w:vAnchor="margin" w:hAnchor="text" w:xAlign="left" w:yAlign="inline"/>
      <w:rPr>
        <w:b/>
        <w:i w:val="0"/>
        <w:sz w:val="22"/>
      </w:rPr>
    </w:pPr>
    <w:r>
      <w:rPr>
        <w:b/>
        <w:i w:val="0"/>
        <w:sz w:val="22"/>
      </w:rPr>
      <w:t>Statsrådsberedningen</w:t>
    </w:r>
  </w:p>
  <w:p w14:paraId="79D23ED0" w14:textId="77777777" w:rsidR="00FB32B9" w:rsidRDefault="00FE61B2" w:rsidP="00FB32B9">
    <w:pPr>
      <w:pStyle w:val="Avsndare"/>
      <w:framePr w:w="0" w:hRule="auto" w:hSpace="0" w:wrap="auto" w:vAnchor="margin" w:hAnchor="text" w:xAlign="left" w:yAlign="inline"/>
    </w:pPr>
  </w:p>
  <w:p w14:paraId="79D23ED1" w14:textId="77777777" w:rsidR="00FB32B9" w:rsidRDefault="007A7408" w:rsidP="00FB32B9">
    <w:pPr>
      <w:pStyle w:val="Avsndare"/>
      <w:framePr w:w="0" w:hRule="auto" w:hSpace="0" w:wrap="auto" w:vAnchor="margin" w:hAnchor="text" w:xAlign="left" w:yAlign="inline"/>
    </w:pPr>
    <w:r>
      <w:t>EU-kansliet</w:t>
    </w:r>
  </w:p>
  <w:p w14:paraId="79D23ED2" w14:textId="77777777" w:rsidR="0012376B" w:rsidRDefault="00FE61B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D338CD64">
      <w:start w:val="1"/>
      <w:numFmt w:val="decimal"/>
      <w:pStyle w:val="Rubrik1"/>
      <w:lvlText w:val="%1."/>
      <w:lvlJc w:val="left"/>
      <w:pPr>
        <w:ind w:left="720" w:hanging="360"/>
      </w:pPr>
    </w:lvl>
    <w:lvl w:ilvl="1" w:tplc="25B2826E" w:tentative="1">
      <w:start w:val="1"/>
      <w:numFmt w:val="lowerLetter"/>
      <w:lvlText w:val="%2."/>
      <w:lvlJc w:val="left"/>
      <w:pPr>
        <w:ind w:left="1440" w:hanging="360"/>
      </w:pPr>
    </w:lvl>
    <w:lvl w:ilvl="2" w:tplc="2E249E60" w:tentative="1">
      <w:start w:val="1"/>
      <w:numFmt w:val="lowerRoman"/>
      <w:lvlText w:val="%3."/>
      <w:lvlJc w:val="right"/>
      <w:pPr>
        <w:ind w:left="2160" w:hanging="180"/>
      </w:pPr>
    </w:lvl>
    <w:lvl w:ilvl="3" w:tplc="6164AFCE" w:tentative="1">
      <w:start w:val="1"/>
      <w:numFmt w:val="decimal"/>
      <w:lvlText w:val="%4."/>
      <w:lvlJc w:val="left"/>
      <w:pPr>
        <w:ind w:left="2880" w:hanging="360"/>
      </w:pPr>
    </w:lvl>
    <w:lvl w:ilvl="4" w:tplc="1562BC5A" w:tentative="1">
      <w:start w:val="1"/>
      <w:numFmt w:val="lowerLetter"/>
      <w:lvlText w:val="%5."/>
      <w:lvlJc w:val="left"/>
      <w:pPr>
        <w:ind w:left="3600" w:hanging="360"/>
      </w:pPr>
    </w:lvl>
    <w:lvl w:ilvl="5" w:tplc="637E3076" w:tentative="1">
      <w:start w:val="1"/>
      <w:numFmt w:val="lowerRoman"/>
      <w:lvlText w:val="%6."/>
      <w:lvlJc w:val="right"/>
      <w:pPr>
        <w:ind w:left="4320" w:hanging="180"/>
      </w:pPr>
    </w:lvl>
    <w:lvl w:ilvl="6" w:tplc="85323CD0" w:tentative="1">
      <w:start w:val="1"/>
      <w:numFmt w:val="decimal"/>
      <w:lvlText w:val="%7."/>
      <w:lvlJc w:val="left"/>
      <w:pPr>
        <w:ind w:left="5040" w:hanging="360"/>
      </w:pPr>
    </w:lvl>
    <w:lvl w:ilvl="7" w:tplc="6100A386" w:tentative="1">
      <w:start w:val="1"/>
      <w:numFmt w:val="lowerLetter"/>
      <w:lvlText w:val="%8."/>
      <w:lvlJc w:val="left"/>
      <w:pPr>
        <w:ind w:left="5760" w:hanging="360"/>
      </w:pPr>
    </w:lvl>
    <w:lvl w:ilvl="8" w:tplc="FF1217AC"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229E749E">
      <w:start w:val="1"/>
      <w:numFmt w:val="decimal"/>
      <w:lvlText w:val="%1."/>
      <w:lvlJc w:val="left"/>
      <w:pPr>
        <w:ind w:left="360" w:hanging="360"/>
      </w:pPr>
      <w:rPr>
        <w:b w:val="0"/>
      </w:rPr>
    </w:lvl>
    <w:lvl w:ilvl="1" w:tplc="56A21F82" w:tentative="1">
      <w:start w:val="1"/>
      <w:numFmt w:val="lowerLetter"/>
      <w:lvlText w:val="%2."/>
      <w:lvlJc w:val="left"/>
      <w:pPr>
        <w:ind w:left="1080" w:hanging="360"/>
      </w:pPr>
    </w:lvl>
    <w:lvl w:ilvl="2" w:tplc="071275FA" w:tentative="1">
      <w:start w:val="1"/>
      <w:numFmt w:val="lowerRoman"/>
      <w:lvlText w:val="%3."/>
      <w:lvlJc w:val="right"/>
      <w:pPr>
        <w:ind w:left="1800" w:hanging="180"/>
      </w:pPr>
    </w:lvl>
    <w:lvl w:ilvl="3" w:tplc="85F2391C" w:tentative="1">
      <w:start w:val="1"/>
      <w:numFmt w:val="decimal"/>
      <w:lvlText w:val="%4."/>
      <w:lvlJc w:val="left"/>
      <w:pPr>
        <w:ind w:left="2520" w:hanging="360"/>
      </w:pPr>
    </w:lvl>
    <w:lvl w:ilvl="4" w:tplc="37E4A1F8" w:tentative="1">
      <w:start w:val="1"/>
      <w:numFmt w:val="lowerLetter"/>
      <w:lvlText w:val="%5."/>
      <w:lvlJc w:val="left"/>
      <w:pPr>
        <w:ind w:left="3240" w:hanging="360"/>
      </w:pPr>
    </w:lvl>
    <w:lvl w:ilvl="5" w:tplc="428C83F0" w:tentative="1">
      <w:start w:val="1"/>
      <w:numFmt w:val="lowerRoman"/>
      <w:lvlText w:val="%6."/>
      <w:lvlJc w:val="right"/>
      <w:pPr>
        <w:ind w:left="3960" w:hanging="180"/>
      </w:pPr>
    </w:lvl>
    <w:lvl w:ilvl="6" w:tplc="FFAAA2C0" w:tentative="1">
      <w:start w:val="1"/>
      <w:numFmt w:val="decimal"/>
      <w:lvlText w:val="%7."/>
      <w:lvlJc w:val="left"/>
      <w:pPr>
        <w:ind w:left="4680" w:hanging="360"/>
      </w:pPr>
    </w:lvl>
    <w:lvl w:ilvl="7" w:tplc="49049738" w:tentative="1">
      <w:start w:val="1"/>
      <w:numFmt w:val="lowerLetter"/>
      <w:lvlText w:val="%8."/>
      <w:lvlJc w:val="left"/>
      <w:pPr>
        <w:ind w:left="5400" w:hanging="360"/>
      </w:pPr>
    </w:lvl>
    <w:lvl w:ilvl="8" w:tplc="D2BE56CC" w:tentative="1">
      <w:start w:val="1"/>
      <w:numFmt w:val="lowerRoman"/>
      <w:lvlText w:val="%9."/>
      <w:lvlJc w:val="right"/>
      <w:pPr>
        <w:ind w:left="612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D2"/>
    <w:rsid w:val="000B5134"/>
    <w:rsid w:val="0020113C"/>
    <w:rsid w:val="00333CD2"/>
    <w:rsid w:val="005447B0"/>
    <w:rsid w:val="006500BE"/>
    <w:rsid w:val="007A7408"/>
    <w:rsid w:val="00A362FC"/>
    <w:rsid w:val="00A57E95"/>
    <w:rsid w:val="00CC1986"/>
    <w:rsid w:val="00FE61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3E4C"/>
  <w15:docId w15:val="{76F5FDEC-0B75-4EDB-8189-00001389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5447B0"/>
    <w:pPr>
      <w:tabs>
        <w:tab w:val="left" w:pos="2835"/>
      </w:tabs>
      <w:spacing w:after="0" w:line="240" w:lineRule="atLeast"/>
      <w:ind w:left="0"/>
    </w:pPr>
    <w:rPr>
      <w:rFonts w:ascii="OrigGarmnd BT" w:eastAsia="Times New Roman" w:hAnsi="OrigGarmnd BT"/>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JE6N4JFJXNNF-9-68326</_dlc_DocId>
    <_dlc_DocIdUrl xmlns="8b66ae41-1ec6-402e-b662-35d1932ca064">
      <Url>http://rkdhs-sb/enhet/EUKansli/_layouts/DocIdRedir.aspx?ID=JE6N4JFJXNNF-9-68326</Url>
      <Description>JE6N4JFJXNNF-9-68326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5DDBD-069B-4F47-BE75-2831DE4D3178}">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8b66ae41-1ec6-402e-b662-35d1932ca064"/>
    <ds:schemaRef ds:uri="http://purl.org/dc/terms/"/>
    <ds:schemaRef ds:uri="http://schemas.microsoft.com/office/infopath/2007/PartnerControls"/>
    <ds:schemaRef ds:uri="e4c0beb7-0294-4d25-9600-346807c0961e"/>
    <ds:schemaRef ds:uri="http://www.w3.org/XML/1998/namespace"/>
    <ds:schemaRef ds:uri="http://purl.org/dc/dcmitype/"/>
  </ds:schemaRefs>
</ds:datastoreItem>
</file>

<file path=customXml/itemProps2.xml><?xml version="1.0" encoding="utf-8"?>
<ds:datastoreItem xmlns:ds="http://schemas.openxmlformats.org/officeDocument/2006/customXml" ds:itemID="{01DF558D-3B8A-46E0-9761-0947463EF959}">
  <ds:schemaRefs>
    <ds:schemaRef ds:uri="http://schemas.microsoft.com/sharepoint/v3/contenttype/forms"/>
  </ds:schemaRefs>
</ds:datastoreItem>
</file>

<file path=customXml/itemProps3.xml><?xml version="1.0" encoding="utf-8"?>
<ds:datastoreItem xmlns:ds="http://schemas.openxmlformats.org/officeDocument/2006/customXml" ds:itemID="{A2BC4466-41F3-4875-B90A-7D6A931FF1DD}">
  <ds:schemaRefs>
    <ds:schemaRef ds:uri="http://schemas.microsoft.com/sharepoint/v3/contenttype/forms/url"/>
  </ds:schemaRefs>
</ds:datastoreItem>
</file>

<file path=customXml/itemProps4.xml><?xml version="1.0" encoding="utf-8"?>
<ds:datastoreItem xmlns:ds="http://schemas.openxmlformats.org/officeDocument/2006/customXml" ds:itemID="{67AAE14A-757E-4562-949A-F5B8843ECE63}">
  <ds:schemaRefs>
    <ds:schemaRef ds:uri="http://schemas.microsoft.com/office/2006/metadata/customXsn"/>
  </ds:schemaRefs>
</ds:datastoreItem>
</file>

<file path=customXml/itemProps5.xml><?xml version="1.0" encoding="utf-8"?>
<ds:datastoreItem xmlns:ds="http://schemas.openxmlformats.org/officeDocument/2006/customXml" ds:itemID="{8AE2D46B-A477-4D4F-B220-2BD0A5F59AC4}">
  <ds:schemaRefs>
    <ds:schemaRef ds:uri="http://schemas.microsoft.com/sharepoint/events"/>
  </ds:schemaRefs>
</ds:datastoreItem>
</file>

<file path=customXml/itemProps6.xml><?xml version="1.0" encoding="utf-8"?>
<ds:datastoreItem xmlns:ds="http://schemas.openxmlformats.org/officeDocument/2006/customXml" ds:itemID="{601D4D30-257C-4682-BCBE-B8DAD1512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FAF83D4-B173-4CE8-A903-CEA25BA4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271</Words>
  <Characters>1440</Characters>
  <Application>Microsoft Office Word</Application>
  <DocSecurity>4</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2015-06-15T09:43:00Z</dcterms:created>
  <dcterms:modified xsi:type="dcterms:W3CDTF">2015-06-15T09:43:00Z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Sofia.L.Karlsson@regeringskansliet.se</vt:lpwstr>
  </property>
  <property fmtid="{D5CDD505-2E9C-101B-9397-08002B2CF9AE}" pid="4" name="_dlc_DocIdItemGuid">
    <vt:lpwstr>adf11583-3aaf-4757-9db1-8f2ec7cb13a4</vt:lpwstr>
  </property>
  <property fmtid="{D5CDD505-2E9C-101B-9397-08002B2CF9AE}" pid="5" name="Departementsenhet">
    <vt:lpwstr/>
  </property>
  <property fmtid="{D5CDD505-2E9C-101B-9397-08002B2CF9AE}" pid="6" name="Aktivitetskategori">
    <vt:lpwstr/>
  </property>
</Properties>
</file>