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4C627E" w:rsidRPr="00E934F6" w:rsidTr="00033299">
        <w:tblPrEx>
          <w:tblCellMar>
            <w:top w:w="0" w:type="dxa"/>
            <w:bottom w:w="0" w:type="dxa"/>
          </w:tblCellMar>
        </w:tblPrEx>
        <w:tc>
          <w:tcPr>
            <w:tcW w:w="2268" w:type="dxa"/>
          </w:tcPr>
          <w:p w:rsidR="004C627E" w:rsidRPr="00E934F6" w:rsidRDefault="004C627E">
            <w:pPr>
              <w:framePr w:w="4400" w:h="1644" w:wrap="notBeside" w:vAnchor="page" w:hAnchor="page" w:x="6573" w:y="721"/>
              <w:rPr>
                <w:rFonts w:ascii="TradeGothic" w:hAnsi="TradeGothic"/>
                <w:i/>
                <w:sz w:val="18"/>
              </w:rPr>
            </w:pPr>
          </w:p>
        </w:tc>
        <w:tc>
          <w:tcPr>
            <w:tcW w:w="2347" w:type="dxa"/>
            <w:gridSpan w:val="2"/>
          </w:tcPr>
          <w:p w:rsidR="004C627E" w:rsidRPr="00E934F6" w:rsidRDefault="004C627E">
            <w:pPr>
              <w:framePr w:w="4400" w:h="1644" w:wrap="notBeside" w:vAnchor="page" w:hAnchor="page" w:x="6573" w:y="721"/>
              <w:rPr>
                <w:rFonts w:ascii="TradeGothic" w:hAnsi="TradeGothic"/>
                <w:i/>
                <w:sz w:val="18"/>
              </w:rPr>
            </w:pPr>
          </w:p>
        </w:tc>
      </w:tr>
      <w:tr w:rsidR="00033299" w:rsidRPr="00E934F6" w:rsidTr="00033299">
        <w:tblPrEx>
          <w:tblCellMar>
            <w:top w:w="0" w:type="dxa"/>
            <w:bottom w:w="0" w:type="dxa"/>
          </w:tblCellMar>
        </w:tblPrEx>
        <w:tc>
          <w:tcPr>
            <w:tcW w:w="4615" w:type="dxa"/>
            <w:gridSpan w:val="3"/>
          </w:tcPr>
          <w:p w:rsidR="00033299" w:rsidRPr="00E934F6" w:rsidRDefault="00033299">
            <w:pPr>
              <w:framePr w:w="4400" w:h="1644" w:wrap="notBeside" w:vAnchor="page" w:hAnchor="page" w:x="6573" w:y="721"/>
              <w:rPr>
                <w:rFonts w:ascii="TradeGothic" w:hAnsi="TradeGothic"/>
                <w:b/>
                <w:sz w:val="22"/>
              </w:rPr>
            </w:pPr>
            <w:r w:rsidRPr="00E934F6">
              <w:rPr>
                <w:rFonts w:ascii="TradeGothic" w:hAnsi="TradeGothic"/>
                <w:b/>
                <w:sz w:val="22"/>
              </w:rPr>
              <w:t>PM till Riksdagen</w:t>
            </w:r>
          </w:p>
          <w:p w:rsidR="00033299" w:rsidRPr="00E934F6" w:rsidRDefault="00033299">
            <w:pPr>
              <w:framePr w:w="4400" w:h="1644" w:wrap="notBeside" w:vAnchor="page" w:hAnchor="page" w:x="6573" w:y="721"/>
              <w:rPr>
                <w:rFonts w:ascii="TradeGothic" w:hAnsi="TradeGothic"/>
                <w:b/>
                <w:sz w:val="22"/>
              </w:rPr>
            </w:pPr>
          </w:p>
        </w:tc>
      </w:tr>
      <w:tr w:rsidR="004C627E" w:rsidRPr="00E934F6" w:rsidTr="00033299">
        <w:tblPrEx>
          <w:tblCellMar>
            <w:top w:w="0" w:type="dxa"/>
            <w:bottom w:w="0" w:type="dxa"/>
          </w:tblCellMar>
        </w:tblPrEx>
        <w:tc>
          <w:tcPr>
            <w:tcW w:w="3402" w:type="dxa"/>
            <w:gridSpan w:val="2"/>
          </w:tcPr>
          <w:p w:rsidR="004C627E" w:rsidRPr="00E934F6" w:rsidRDefault="004C627E">
            <w:pPr>
              <w:framePr w:w="4400" w:h="1644" w:wrap="notBeside" w:vAnchor="page" w:hAnchor="page" w:x="6573" w:y="721"/>
            </w:pPr>
          </w:p>
        </w:tc>
        <w:tc>
          <w:tcPr>
            <w:tcW w:w="1213" w:type="dxa"/>
          </w:tcPr>
          <w:p w:rsidR="004C627E" w:rsidRPr="00E934F6" w:rsidRDefault="004C627E">
            <w:pPr>
              <w:framePr w:w="4400" w:h="1644" w:wrap="notBeside" w:vAnchor="page" w:hAnchor="page" w:x="6573" w:y="721"/>
            </w:pPr>
          </w:p>
        </w:tc>
      </w:tr>
      <w:tr w:rsidR="004C627E" w:rsidRPr="00E934F6" w:rsidTr="00033299">
        <w:tblPrEx>
          <w:tblCellMar>
            <w:top w:w="0" w:type="dxa"/>
            <w:bottom w:w="0" w:type="dxa"/>
          </w:tblCellMar>
        </w:tblPrEx>
        <w:tc>
          <w:tcPr>
            <w:tcW w:w="2268" w:type="dxa"/>
          </w:tcPr>
          <w:p w:rsidR="004C627E" w:rsidRPr="00E934F6" w:rsidRDefault="00033299">
            <w:pPr>
              <w:framePr w:w="4400" w:h="1644" w:wrap="notBeside" w:vAnchor="page" w:hAnchor="page" w:x="6573" w:y="721"/>
            </w:pPr>
            <w:r w:rsidRPr="00E934F6">
              <w:t>2007-</w:t>
            </w:r>
            <w:r w:rsidR="00B00982" w:rsidRPr="00E934F6">
              <w:t>02</w:t>
            </w:r>
            <w:r w:rsidRPr="00E934F6">
              <w:t>-</w:t>
            </w:r>
            <w:r w:rsidR="00B00982" w:rsidRPr="00E934F6">
              <w:t>07</w:t>
            </w:r>
          </w:p>
        </w:tc>
        <w:tc>
          <w:tcPr>
            <w:tcW w:w="2347" w:type="dxa"/>
            <w:gridSpan w:val="2"/>
          </w:tcPr>
          <w:p w:rsidR="004C627E" w:rsidRPr="00E934F6" w:rsidRDefault="004C627E">
            <w:pPr>
              <w:framePr w:w="4400" w:h="1644" w:wrap="notBeside" w:vAnchor="page" w:hAnchor="page" w:x="6573" w:y="721"/>
            </w:pPr>
          </w:p>
        </w:tc>
      </w:tr>
      <w:tr w:rsidR="004C627E" w:rsidRPr="00E934F6" w:rsidTr="00033299">
        <w:tblPrEx>
          <w:tblCellMar>
            <w:top w:w="0" w:type="dxa"/>
            <w:bottom w:w="0" w:type="dxa"/>
          </w:tblCellMar>
        </w:tblPrEx>
        <w:tc>
          <w:tcPr>
            <w:tcW w:w="2268" w:type="dxa"/>
          </w:tcPr>
          <w:p w:rsidR="004C627E" w:rsidRPr="00E934F6" w:rsidRDefault="004C627E">
            <w:pPr>
              <w:framePr w:w="4400" w:h="1644" w:wrap="notBeside" w:vAnchor="page" w:hAnchor="page" w:x="6573" w:y="721"/>
            </w:pPr>
          </w:p>
        </w:tc>
        <w:tc>
          <w:tcPr>
            <w:tcW w:w="2347" w:type="dxa"/>
            <w:gridSpan w:val="2"/>
          </w:tcPr>
          <w:p w:rsidR="004C627E" w:rsidRPr="00E934F6" w:rsidRDefault="004C627E">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4C627E" w:rsidRPr="00E934F6">
        <w:tblPrEx>
          <w:tblCellMar>
            <w:top w:w="0" w:type="dxa"/>
            <w:bottom w:w="0" w:type="dxa"/>
          </w:tblCellMar>
        </w:tblPrEx>
        <w:trPr>
          <w:trHeight w:val="284"/>
        </w:trPr>
        <w:tc>
          <w:tcPr>
            <w:tcW w:w="4911" w:type="dxa"/>
          </w:tcPr>
          <w:p w:rsidR="004C627E" w:rsidRPr="00E934F6" w:rsidRDefault="00033299">
            <w:pPr>
              <w:pStyle w:val="Avsndare"/>
              <w:framePr w:h="2483" w:wrap="notBeside" w:x="1504"/>
              <w:rPr>
                <w:b/>
                <w:i w:val="0"/>
                <w:sz w:val="22"/>
              </w:rPr>
            </w:pPr>
            <w:r w:rsidRPr="00E934F6">
              <w:rPr>
                <w:b/>
                <w:i w:val="0"/>
                <w:sz w:val="22"/>
              </w:rPr>
              <w:t>Utrikesdepartementet</w:t>
            </w:r>
          </w:p>
        </w:tc>
      </w:tr>
      <w:tr w:rsidR="004C627E" w:rsidRPr="00E934F6">
        <w:tblPrEx>
          <w:tblCellMar>
            <w:top w:w="0" w:type="dxa"/>
            <w:bottom w:w="0" w:type="dxa"/>
          </w:tblCellMar>
        </w:tblPrEx>
        <w:trPr>
          <w:trHeight w:val="284"/>
        </w:trPr>
        <w:tc>
          <w:tcPr>
            <w:tcW w:w="4911" w:type="dxa"/>
          </w:tcPr>
          <w:p w:rsidR="004C627E" w:rsidRPr="00E934F6" w:rsidRDefault="004C627E">
            <w:pPr>
              <w:pStyle w:val="Avsndare"/>
              <w:framePr w:h="2483" w:wrap="notBeside" w:x="1504"/>
              <w:rPr>
                <w:bCs/>
                <w:iCs/>
              </w:rPr>
            </w:pPr>
          </w:p>
        </w:tc>
      </w:tr>
      <w:tr w:rsidR="004C627E" w:rsidRPr="00E934F6">
        <w:tblPrEx>
          <w:tblCellMar>
            <w:top w:w="0" w:type="dxa"/>
            <w:bottom w:w="0" w:type="dxa"/>
          </w:tblCellMar>
        </w:tblPrEx>
        <w:trPr>
          <w:trHeight w:val="284"/>
        </w:trPr>
        <w:tc>
          <w:tcPr>
            <w:tcW w:w="4911" w:type="dxa"/>
          </w:tcPr>
          <w:p w:rsidR="004C627E" w:rsidRPr="00E934F6" w:rsidRDefault="00033299">
            <w:pPr>
              <w:pStyle w:val="Avsndare"/>
              <w:framePr w:h="2483" w:wrap="notBeside" w:x="1504"/>
              <w:rPr>
                <w:bCs/>
                <w:iCs/>
              </w:rPr>
            </w:pPr>
            <w:r w:rsidRPr="00E934F6">
              <w:rPr>
                <w:bCs/>
                <w:iCs/>
              </w:rPr>
              <w:t>Enheten för exportfrämjande och inre marknaden</w:t>
            </w:r>
          </w:p>
        </w:tc>
      </w:tr>
      <w:tr w:rsidR="004C627E" w:rsidRPr="00E934F6">
        <w:tblPrEx>
          <w:tblCellMar>
            <w:top w:w="0" w:type="dxa"/>
            <w:bottom w:w="0" w:type="dxa"/>
          </w:tblCellMar>
        </w:tblPrEx>
        <w:trPr>
          <w:trHeight w:val="284"/>
        </w:trPr>
        <w:tc>
          <w:tcPr>
            <w:tcW w:w="4911" w:type="dxa"/>
          </w:tcPr>
          <w:p w:rsidR="004C627E" w:rsidRPr="00E934F6" w:rsidRDefault="00033299">
            <w:pPr>
              <w:pStyle w:val="Avsndare"/>
              <w:framePr w:h="2483" w:wrap="notBeside" w:x="1504"/>
              <w:rPr>
                <w:bCs/>
                <w:iCs/>
              </w:rPr>
            </w:pPr>
            <w:r w:rsidRPr="00E934F6">
              <w:rPr>
                <w:bCs/>
                <w:iCs/>
              </w:rPr>
              <w:t>Sara Bratberg</w:t>
            </w:r>
          </w:p>
          <w:p w:rsidR="00033299" w:rsidRPr="00E934F6" w:rsidRDefault="00033299">
            <w:pPr>
              <w:pStyle w:val="Avsndare"/>
              <w:framePr w:h="2483" w:wrap="notBeside" w:x="1504"/>
              <w:rPr>
                <w:bCs/>
                <w:iCs/>
              </w:rPr>
            </w:pPr>
            <w:r w:rsidRPr="00E934F6">
              <w:rPr>
                <w:bCs/>
                <w:iCs/>
              </w:rPr>
              <w:t>08</w:t>
            </w:r>
            <w:r w:rsidRPr="00E934F6">
              <w:rPr>
                <w:rFonts w:ascii="Times New Roman" w:hAnsi="Times New Roman"/>
                <w:bCs/>
                <w:iCs/>
              </w:rPr>
              <w:t> </w:t>
            </w:r>
            <w:r w:rsidRPr="00E934F6">
              <w:rPr>
                <w:bCs/>
                <w:iCs/>
              </w:rPr>
              <w:t>405 54 14</w:t>
            </w:r>
          </w:p>
        </w:tc>
      </w:tr>
      <w:tr w:rsidR="004C627E" w:rsidRPr="00E934F6">
        <w:tblPrEx>
          <w:tblCellMar>
            <w:top w:w="0" w:type="dxa"/>
            <w:bottom w:w="0" w:type="dxa"/>
          </w:tblCellMar>
        </w:tblPrEx>
        <w:trPr>
          <w:trHeight w:val="284"/>
        </w:trPr>
        <w:tc>
          <w:tcPr>
            <w:tcW w:w="4911" w:type="dxa"/>
          </w:tcPr>
          <w:p w:rsidR="004C627E" w:rsidRPr="00E934F6" w:rsidRDefault="004C627E">
            <w:pPr>
              <w:pStyle w:val="Avsndare"/>
              <w:framePr w:h="2483" w:wrap="notBeside" w:x="1504"/>
              <w:rPr>
                <w:bCs/>
                <w:iCs/>
              </w:rPr>
            </w:pPr>
          </w:p>
        </w:tc>
      </w:tr>
      <w:tr w:rsidR="004C627E" w:rsidRPr="00E934F6">
        <w:tblPrEx>
          <w:tblCellMar>
            <w:top w:w="0" w:type="dxa"/>
            <w:bottom w:w="0" w:type="dxa"/>
          </w:tblCellMar>
        </w:tblPrEx>
        <w:trPr>
          <w:trHeight w:val="284"/>
        </w:trPr>
        <w:tc>
          <w:tcPr>
            <w:tcW w:w="4911" w:type="dxa"/>
          </w:tcPr>
          <w:p w:rsidR="004C627E" w:rsidRPr="00E934F6" w:rsidRDefault="004C627E">
            <w:pPr>
              <w:pStyle w:val="Avsndare"/>
              <w:framePr w:h="2483" w:wrap="notBeside" w:x="1504"/>
              <w:rPr>
                <w:bCs/>
                <w:iCs/>
              </w:rPr>
            </w:pPr>
          </w:p>
        </w:tc>
      </w:tr>
      <w:tr w:rsidR="004C627E" w:rsidRPr="00E934F6">
        <w:tblPrEx>
          <w:tblCellMar>
            <w:top w:w="0" w:type="dxa"/>
            <w:bottom w:w="0" w:type="dxa"/>
          </w:tblCellMar>
        </w:tblPrEx>
        <w:trPr>
          <w:trHeight w:val="284"/>
        </w:trPr>
        <w:tc>
          <w:tcPr>
            <w:tcW w:w="4911" w:type="dxa"/>
          </w:tcPr>
          <w:p w:rsidR="004C627E" w:rsidRPr="00E934F6" w:rsidRDefault="004C627E">
            <w:pPr>
              <w:pStyle w:val="Avsndare"/>
              <w:framePr w:h="2483" w:wrap="notBeside" w:x="1504"/>
              <w:rPr>
                <w:bCs/>
                <w:iCs/>
              </w:rPr>
            </w:pPr>
          </w:p>
        </w:tc>
      </w:tr>
      <w:tr w:rsidR="004C627E" w:rsidRPr="00E934F6">
        <w:tblPrEx>
          <w:tblCellMar>
            <w:top w:w="0" w:type="dxa"/>
            <w:bottom w:w="0" w:type="dxa"/>
          </w:tblCellMar>
        </w:tblPrEx>
        <w:trPr>
          <w:trHeight w:val="284"/>
        </w:trPr>
        <w:tc>
          <w:tcPr>
            <w:tcW w:w="4911" w:type="dxa"/>
          </w:tcPr>
          <w:p w:rsidR="004C627E" w:rsidRPr="00E934F6" w:rsidRDefault="004C627E">
            <w:pPr>
              <w:pStyle w:val="Avsndare"/>
              <w:framePr w:h="2483" w:wrap="notBeside" w:x="1504"/>
              <w:rPr>
                <w:bCs/>
                <w:iCs/>
              </w:rPr>
            </w:pPr>
          </w:p>
        </w:tc>
      </w:tr>
      <w:tr w:rsidR="004C627E" w:rsidRPr="00E934F6">
        <w:tblPrEx>
          <w:tblCellMar>
            <w:top w:w="0" w:type="dxa"/>
            <w:bottom w:w="0" w:type="dxa"/>
          </w:tblCellMar>
        </w:tblPrEx>
        <w:trPr>
          <w:trHeight w:val="284"/>
        </w:trPr>
        <w:tc>
          <w:tcPr>
            <w:tcW w:w="4911" w:type="dxa"/>
          </w:tcPr>
          <w:p w:rsidR="004C627E" w:rsidRPr="00E934F6" w:rsidRDefault="004C627E">
            <w:pPr>
              <w:pStyle w:val="Avsndare"/>
              <w:framePr w:h="2483" w:wrap="notBeside" w:x="1504"/>
              <w:rPr>
                <w:bCs/>
                <w:iCs/>
              </w:rPr>
            </w:pPr>
          </w:p>
        </w:tc>
      </w:tr>
    </w:tbl>
    <w:p w:rsidR="004C627E" w:rsidRPr="00E934F6" w:rsidRDefault="004C627E">
      <w:pPr>
        <w:framePr w:w="4400" w:h="2523" w:wrap="notBeside" w:vAnchor="page" w:hAnchor="page" w:x="6453" w:y="2445"/>
        <w:ind w:left="142"/>
        <w:rPr>
          <w:b/>
        </w:rPr>
      </w:pPr>
    </w:p>
    <w:p w:rsidR="00033299" w:rsidRPr="00E934F6" w:rsidRDefault="00033299" w:rsidP="00033299">
      <w:pPr>
        <w:pStyle w:val="RKrubrik"/>
        <w:pBdr>
          <w:bottom w:val="single" w:sz="6" w:space="1" w:color="auto"/>
        </w:pBdr>
      </w:pPr>
      <w:bookmarkStart w:id="0" w:name="bRubrik"/>
      <w:bookmarkEnd w:id="0"/>
      <w:r w:rsidRPr="00E934F6">
        <w:t>Rådets möte (konkurrenskraft) den 19 februari 2007</w:t>
      </w:r>
    </w:p>
    <w:p w:rsidR="00033299" w:rsidRPr="00E934F6" w:rsidRDefault="00127344">
      <w:pPr>
        <w:pStyle w:val="RKnormal"/>
      </w:pPr>
      <w:r w:rsidRPr="00E934F6">
        <w:t>Gemensamberedning med SB-EU, UD-RS, N-ARM, N-RS, N-NL, N-ITFoU, Fö-CIV, S-HS, M- E, M-HM, M-KK, IJ-KO, Fi-BA, Fi-S3 avslutad.</w:t>
      </w:r>
    </w:p>
    <w:p w:rsidR="00127344" w:rsidRPr="00E934F6" w:rsidRDefault="00127344">
      <w:pPr>
        <w:pStyle w:val="RKnormal"/>
      </w:pPr>
    </w:p>
    <w:p w:rsidR="00033299" w:rsidRPr="00E934F6" w:rsidRDefault="00D927D0">
      <w:pPr>
        <w:pStyle w:val="RKnormal"/>
      </w:pPr>
      <w:r w:rsidRPr="00E934F6">
        <w:t>Dagordningspunkt 6 a) - övrigt</w:t>
      </w:r>
    </w:p>
    <w:p w:rsidR="00033299" w:rsidRPr="00E934F6" w:rsidRDefault="00033299">
      <w:pPr>
        <w:pStyle w:val="RKnormal"/>
      </w:pPr>
    </w:p>
    <w:p w:rsidR="00033299" w:rsidRPr="00E934F6" w:rsidRDefault="00033299">
      <w:pPr>
        <w:pStyle w:val="RKnormal"/>
        <w:rPr>
          <w:u w:val="single"/>
        </w:rPr>
      </w:pPr>
      <w:r w:rsidRPr="00E934F6">
        <w:rPr>
          <w:u w:val="single"/>
        </w:rPr>
        <w:t>Rubrik:</w:t>
      </w:r>
    </w:p>
    <w:p w:rsidR="00033299" w:rsidRPr="00E934F6" w:rsidRDefault="00033299" w:rsidP="00033299">
      <w:pPr>
        <w:pStyle w:val="Par-number1"/>
        <w:numPr>
          <w:ilvl w:val="0"/>
          <w:numId w:val="0"/>
        </w:numPr>
        <w:rPr>
          <w:b w:val="0"/>
          <w:i/>
          <w:lang w:val="sv-SE"/>
        </w:rPr>
      </w:pPr>
      <w:r w:rsidRPr="00E934F6">
        <w:rPr>
          <w:b w:val="0"/>
          <w:i/>
          <w:lang w:val="sv-SE"/>
        </w:rPr>
        <w:t xml:space="preserve">Commission Communication </w:t>
      </w:r>
      <w:r w:rsidR="00D927D0" w:rsidRPr="00E934F6">
        <w:rPr>
          <w:b w:val="0"/>
          <w:i/>
          <w:lang w:val="sv-SE"/>
        </w:rPr>
        <w:t>concerning</w:t>
      </w:r>
      <w:r w:rsidRPr="00E934F6">
        <w:rPr>
          <w:b w:val="0"/>
          <w:i/>
          <w:lang w:val="sv-SE"/>
        </w:rPr>
        <w:t xml:space="preserve"> the Free Movement of Goods</w:t>
      </w:r>
    </w:p>
    <w:p w:rsidR="00033299" w:rsidRPr="00E934F6" w:rsidRDefault="00D927D0" w:rsidP="00033299">
      <w:pPr>
        <w:ind w:left="567"/>
        <w:rPr>
          <w:i/>
        </w:rPr>
      </w:pPr>
      <w:r w:rsidRPr="00E934F6">
        <w:rPr>
          <w:i/>
        </w:rPr>
        <w:t>–</w:t>
      </w:r>
      <w:r w:rsidRPr="00E934F6">
        <w:rPr>
          <w:i/>
        </w:rPr>
        <w:tab/>
        <w:t>Review</w:t>
      </w:r>
      <w:r w:rsidR="00033299" w:rsidRPr="00E934F6">
        <w:rPr>
          <w:i/>
        </w:rPr>
        <w:t xml:space="preserve"> of the New Approach</w:t>
      </w:r>
    </w:p>
    <w:p w:rsidR="00083890" w:rsidRPr="00E934F6" w:rsidRDefault="00083890" w:rsidP="00083890">
      <w:pPr>
        <w:pStyle w:val="RKnormal"/>
        <w:rPr>
          <w:u w:val="single"/>
        </w:rPr>
      </w:pPr>
    </w:p>
    <w:p w:rsidR="00083890" w:rsidRPr="00E934F6" w:rsidRDefault="00083890" w:rsidP="00083890">
      <w:pPr>
        <w:pStyle w:val="RKnormal"/>
        <w:rPr>
          <w:u w:val="single"/>
        </w:rPr>
      </w:pPr>
      <w:r w:rsidRPr="00E934F6">
        <w:rPr>
          <w:u w:val="single"/>
        </w:rPr>
        <w:t xml:space="preserve">Syfte med behandlingen i rådet: </w:t>
      </w:r>
    </w:p>
    <w:p w:rsidR="00083890" w:rsidRPr="00E934F6" w:rsidRDefault="00083890" w:rsidP="00083890">
      <w:pPr>
        <w:pStyle w:val="RKnormal"/>
      </w:pPr>
      <w:r w:rsidRPr="00E934F6">
        <w:t xml:space="preserve">Informationspunkt </w:t>
      </w:r>
    </w:p>
    <w:p w:rsidR="00033299" w:rsidRPr="00E934F6" w:rsidRDefault="00033299">
      <w:pPr>
        <w:pStyle w:val="RKnormal"/>
      </w:pPr>
      <w:r w:rsidRPr="00E934F6">
        <w:tab/>
      </w:r>
    </w:p>
    <w:p w:rsidR="002D57EF" w:rsidRPr="00E934F6" w:rsidRDefault="00033299">
      <w:pPr>
        <w:pStyle w:val="RKnormal"/>
      </w:pPr>
      <w:r w:rsidRPr="00E934F6">
        <w:rPr>
          <w:u w:val="single"/>
        </w:rPr>
        <w:t>Dokument</w:t>
      </w:r>
      <w:r w:rsidRPr="00E934F6">
        <w:t xml:space="preserve">: </w:t>
      </w:r>
      <w:r w:rsidR="00D927D0" w:rsidRPr="00E934F6">
        <w:t>Ännu ej beslutade av kommissionen. Kommissionen förväntas presentera ett förslag till förordning avseende ackreditering och marknadskontroll samt ett förslag till beslut avseende de gemensamma beståndsdelar som idag tillämpas enligt de olika sektorsdirektiven (t.ex. definitioner, procedurer för bedömning av överensstämmelse samt procedurer för utseende av kontrollorgan, CE-märkning m.m.).</w:t>
      </w:r>
    </w:p>
    <w:p w:rsidR="00033299" w:rsidRPr="00E934F6" w:rsidRDefault="00033299">
      <w:pPr>
        <w:pStyle w:val="RKnormal"/>
      </w:pPr>
    </w:p>
    <w:p w:rsidR="00033299" w:rsidRPr="00E934F6" w:rsidRDefault="00033299">
      <w:pPr>
        <w:pStyle w:val="RKnormal"/>
      </w:pPr>
      <w:r w:rsidRPr="00E934F6">
        <w:rPr>
          <w:u w:val="single"/>
        </w:rPr>
        <w:t>Tidigare dokument</w:t>
      </w:r>
      <w:r w:rsidRPr="00E934F6">
        <w:t xml:space="preserve">:           </w:t>
      </w:r>
    </w:p>
    <w:p w:rsidR="00033299" w:rsidRPr="00E934F6" w:rsidRDefault="00033299">
      <w:pPr>
        <w:pStyle w:val="RKnormal"/>
      </w:pPr>
      <w:r w:rsidRPr="00E934F6">
        <w:t xml:space="preserve">Kommissionens meddelande om </w:t>
      </w:r>
      <w:r w:rsidR="007E3CA3" w:rsidRPr="00E934F6">
        <w:t>f</w:t>
      </w:r>
      <w:r w:rsidRPr="00E934F6">
        <w:t>örbättrat genomförande av direktiven enligt nya metoden (KOM (2003) 240 slutlig)</w:t>
      </w:r>
    </w:p>
    <w:p w:rsidR="007E3CA3" w:rsidRPr="00E934F6" w:rsidRDefault="007E3CA3">
      <w:pPr>
        <w:pStyle w:val="RKnormal"/>
      </w:pPr>
      <w:r w:rsidRPr="00E934F6">
        <w:t>Rådsresolution av den 10 november 2003 (2003/C282/02)</w:t>
      </w:r>
    </w:p>
    <w:p w:rsidR="007E3CA3" w:rsidRPr="00E934F6" w:rsidRDefault="007E3CA3">
      <w:pPr>
        <w:pStyle w:val="RKnormal"/>
      </w:pPr>
    </w:p>
    <w:p w:rsidR="00033299" w:rsidRPr="00E934F6" w:rsidRDefault="00033299">
      <w:pPr>
        <w:pStyle w:val="RKnormal"/>
      </w:pPr>
      <w:r w:rsidRPr="00E934F6">
        <w:rPr>
          <w:u w:val="single"/>
        </w:rPr>
        <w:t>Tidigare behandlad vid samråd med EU-nämnden</w:t>
      </w:r>
      <w:r w:rsidRPr="00E934F6">
        <w:t xml:space="preserve">: </w:t>
      </w:r>
    </w:p>
    <w:p w:rsidR="00033299" w:rsidRPr="00E934F6" w:rsidRDefault="00D927D0">
      <w:pPr>
        <w:pStyle w:val="RKnormal"/>
      </w:pPr>
      <w:r w:rsidRPr="00E934F6">
        <w:t>F</w:t>
      </w:r>
      <w:r w:rsidR="00033299" w:rsidRPr="00E934F6">
        <w:t>rågan inte varit föremål för samråd med EU-nämnden tidigare.</w:t>
      </w:r>
    </w:p>
    <w:p w:rsidR="00033299" w:rsidRPr="00E934F6" w:rsidRDefault="00033299">
      <w:pPr>
        <w:pStyle w:val="RKnormal"/>
      </w:pPr>
    </w:p>
    <w:p w:rsidR="00033299" w:rsidRPr="00E934F6" w:rsidRDefault="00033299">
      <w:pPr>
        <w:pStyle w:val="RKrubrik"/>
      </w:pPr>
      <w:r w:rsidRPr="00E934F6">
        <w:t>Bakgrund</w:t>
      </w:r>
    </w:p>
    <w:p w:rsidR="00083890" w:rsidRPr="00E934F6" w:rsidRDefault="007E3CA3" w:rsidP="00083890">
      <w:pPr>
        <w:pStyle w:val="RKnormal"/>
      </w:pPr>
      <w:r w:rsidRPr="00E934F6">
        <w:t xml:space="preserve">Den harmoniseringsmetod som kallas nya metoden (New Approach) används sedan 1980-talet för harmonisering av regler på produktsäkerhetsområdet. </w:t>
      </w:r>
      <w:r w:rsidR="00083890" w:rsidRPr="00E934F6">
        <w:t>Den gamla metoden för harmonisering som tidigare använts</w:t>
      </w:r>
      <w:r w:rsidR="008E5A23" w:rsidRPr="00E934F6">
        <w:t>, och fortfarande används inom vissa områden,</w:t>
      </w:r>
      <w:r w:rsidR="00083890" w:rsidRPr="00E934F6">
        <w:t xml:space="preserve"> innebar en detaljreglering av tekniska </w:t>
      </w:r>
      <w:r w:rsidR="00083890" w:rsidRPr="00E934F6">
        <w:lastRenderedPageBreak/>
        <w:t xml:space="preserve">specifikationer i själva direktiven, något som var mödosamt att förhandla fram liksom tungrott att ändra i takt med teknisk utveckling. Den nya metoden bygger </w:t>
      </w:r>
      <w:r w:rsidR="00B00982" w:rsidRPr="00E934F6">
        <w:t xml:space="preserve">i huvudsak </w:t>
      </w:r>
      <w:r w:rsidR="00083890" w:rsidRPr="00E934F6">
        <w:t xml:space="preserve">på att direktivet endast innehåller de väsentliga krav varorna måste uppfylla och att de tekniska specifikationerna sedan återfinns i harmoniserade, för industrin frivilliga standarder. </w:t>
      </w:r>
      <w:r w:rsidR="008E5A23" w:rsidRPr="00E934F6">
        <w:t>En vara som uppfyller relevant standar skall dock anses uppfylla de tvingande kraven i direktivet.</w:t>
      </w:r>
    </w:p>
    <w:p w:rsidR="008E5A23" w:rsidRPr="00E934F6" w:rsidRDefault="008E5A23" w:rsidP="008E5A23">
      <w:pPr>
        <w:pStyle w:val="RKnormal"/>
      </w:pPr>
    </w:p>
    <w:p w:rsidR="008E5A23" w:rsidRPr="00E934F6" w:rsidRDefault="008E5A23" w:rsidP="008E5A23">
      <w:pPr>
        <w:pStyle w:val="RKnormal"/>
      </w:pPr>
      <w:r w:rsidRPr="00E934F6">
        <w:t xml:space="preserve">Den nya metoden innehåller också ett systematik för bedömning av om en vara uppfyller ställda krav. Huvudregeln är att industrin själv skall bedöma och intyga att varan uppfyller kraven. I de fall </w:t>
      </w:r>
      <w:r w:rsidR="00037720" w:rsidRPr="00E934F6">
        <w:t>det</w:t>
      </w:r>
      <w:r w:rsidRPr="00E934F6">
        <w:t xml:space="preserve"> anses motiverat kan man i direktiven ange att vissa varukategorier skall kontrolleras av utomstående oberoende organ som medlemsstaterna anser kompetenta, s.k. anmälda organ. I ett särskilt beslut har åtta olika förfaranden för bedömning av överensstämmelse preciserats. Dessa förfaranden, s.k. moduler, beskriver olika grad av inblandning av anmält organ.</w:t>
      </w:r>
    </w:p>
    <w:p w:rsidR="00083890" w:rsidRPr="00E934F6" w:rsidRDefault="00083890" w:rsidP="00083890">
      <w:pPr>
        <w:pStyle w:val="RKnormal"/>
      </w:pPr>
    </w:p>
    <w:p w:rsidR="008E5A23" w:rsidRPr="00E934F6" w:rsidRDefault="00083890" w:rsidP="008E5A23">
      <w:pPr>
        <w:pStyle w:val="RKnormal"/>
      </w:pPr>
      <w:r w:rsidRPr="00E934F6">
        <w:t>Nya metoden är ett centralt inremarknadsinstrument för främjandet av en central EG-rättslig frihet, nämligen fri rörlighet för varor.</w:t>
      </w:r>
      <w:r w:rsidR="008E5A23" w:rsidRPr="00E934F6">
        <w:t xml:space="preserve"> Under åren har ca 25 olika direktiv antagits som helt eller delvis följer principerna i den nya metoden.  Skiljaktigheter i definitioner, begrepp och tillämpningen har därför uppstått.</w:t>
      </w:r>
    </w:p>
    <w:p w:rsidR="008E5A23" w:rsidRPr="00E934F6" w:rsidRDefault="008E5A23" w:rsidP="008E5A23">
      <w:pPr>
        <w:pStyle w:val="RKnormal"/>
      </w:pPr>
    </w:p>
    <w:p w:rsidR="008E5A23" w:rsidRPr="00E934F6" w:rsidRDefault="008E5A23" w:rsidP="007E3CA3">
      <w:pPr>
        <w:pStyle w:val="RKnormal"/>
      </w:pPr>
      <w:r w:rsidRPr="00E934F6">
        <w:t xml:space="preserve">För att tillvarata erfarenheterna och råda bot på skiljaktigheterna har kommissionen inlett ett översynsarbete.  Under flera år har kommissionen diskuterat olika aspekter på den nya metoden i den rådgivande gruppen för </w:t>
      </w:r>
      <w:r w:rsidR="007E3CA3" w:rsidRPr="00E934F6">
        <w:t>frågor om standardisering och provning m.m. (</w:t>
      </w:r>
      <w:r w:rsidR="007E3CA3" w:rsidRPr="00E934F6">
        <w:rPr>
          <w:i/>
        </w:rPr>
        <w:t>SOGS</w:t>
      </w:r>
      <w:r w:rsidR="007E3CA3" w:rsidRPr="00E934F6">
        <w:t>).</w:t>
      </w:r>
    </w:p>
    <w:p w:rsidR="008E5A23" w:rsidRPr="00E934F6" w:rsidRDefault="008E5A23" w:rsidP="008E5A23">
      <w:pPr>
        <w:pStyle w:val="RKnormal"/>
      </w:pPr>
    </w:p>
    <w:p w:rsidR="008E5A23" w:rsidRPr="00E934F6" w:rsidRDefault="008E5A23" w:rsidP="008E5A23">
      <w:pPr>
        <w:pStyle w:val="RKnormal"/>
      </w:pPr>
      <w:r w:rsidRPr="00E934F6">
        <w:t>Översynen har inriktats på utpekande av anmälda organ, ackreditering av provorgan, modulerna, marknadskontroll och skyddsklausulerna.</w:t>
      </w:r>
    </w:p>
    <w:p w:rsidR="007E3CA3" w:rsidRPr="00E934F6" w:rsidRDefault="007E3CA3" w:rsidP="007E3CA3">
      <w:pPr>
        <w:pStyle w:val="RKnormal"/>
      </w:pPr>
      <w:r w:rsidRPr="00E934F6">
        <w:t xml:space="preserve"> </w:t>
      </w:r>
    </w:p>
    <w:p w:rsidR="00033299" w:rsidRPr="00E934F6" w:rsidRDefault="00033299">
      <w:pPr>
        <w:pStyle w:val="RKrubrik"/>
      </w:pPr>
      <w:r w:rsidRPr="00E934F6">
        <w:t>Rättslig grund och beslutsförfarande</w:t>
      </w:r>
    </w:p>
    <w:p w:rsidR="00D927D0" w:rsidRPr="00E934F6" w:rsidRDefault="00D927D0" w:rsidP="00D927D0">
      <w:pPr>
        <w:pStyle w:val="RKnormal"/>
      </w:pPr>
      <w:r w:rsidRPr="00E934F6">
        <w:t>Ännu ej känt, troligen artikel 95 samt artikel 133 EG-fördraget.</w:t>
      </w:r>
    </w:p>
    <w:p w:rsidR="00033299" w:rsidRPr="00E934F6" w:rsidRDefault="00033299">
      <w:pPr>
        <w:pStyle w:val="RKrubrik"/>
        <w:rPr>
          <w:i/>
          <w:iCs/>
        </w:rPr>
      </w:pPr>
      <w:r w:rsidRPr="00E934F6">
        <w:rPr>
          <w:i/>
          <w:iCs/>
        </w:rPr>
        <w:t>Svensk ståndpunkt</w:t>
      </w:r>
      <w:r w:rsidR="00D927D0" w:rsidRPr="00E934F6">
        <w:rPr>
          <w:i/>
          <w:iCs/>
        </w:rPr>
        <w:t xml:space="preserve"> </w:t>
      </w:r>
    </w:p>
    <w:p w:rsidR="00FC5187" w:rsidRPr="00E934F6" w:rsidRDefault="00FC5187" w:rsidP="00FC5187">
      <w:pPr>
        <w:pStyle w:val="RKnormal"/>
      </w:pPr>
      <w:r w:rsidRPr="00E934F6">
        <w:t xml:space="preserve">SE ställer sig positiv till de idéer </w:t>
      </w:r>
      <w:r w:rsidR="004408EF" w:rsidRPr="00E934F6">
        <w:t xml:space="preserve">och förslag </w:t>
      </w:r>
      <w:r w:rsidRPr="00E934F6">
        <w:t xml:space="preserve">som kommissionen </w:t>
      </w:r>
      <w:r w:rsidR="004408EF" w:rsidRPr="00E934F6">
        <w:t xml:space="preserve">i olika sammanhang </w:t>
      </w:r>
      <w:r w:rsidRPr="00E934F6">
        <w:t xml:space="preserve">har framfört inom ramen för översynen av den nya harmoniseringsmetoden (nya metoden). </w:t>
      </w:r>
      <w:r w:rsidR="00B00982" w:rsidRPr="00E934F6">
        <w:t>Dock är det i nuläget för tidigt att helt ta ställning i frågan eftersom inget förslag har lämnats.</w:t>
      </w:r>
    </w:p>
    <w:p w:rsidR="00FC5187" w:rsidRPr="00E934F6" w:rsidRDefault="00FC5187" w:rsidP="00FC5187">
      <w:pPr>
        <w:pStyle w:val="RKnormal"/>
      </w:pPr>
    </w:p>
    <w:p w:rsidR="00FC5187" w:rsidRPr="00E934F6" w:rsidRDefault="00FC5187" w:rsidP="00FC5187">
      <w:pPr>
        <w:pStyle w:val="RKnormal"/>
        <w:rPr>
          <w:szCs w:val="28"/>
        </w:rPr>
      </w:pPr>
      <w:r w:rsidRPr="00E934F6">
        <w:rPr>
          <w:szCs w:val="28"/>
        </w:rPr>
        <w:t xml:space="preserve">SE stödjer </w:t>
      </w:r>
      <w:r w:rsidR="00037720" w:rsidRPr="00E934F6">
        <w:rPr>
          <w:szCs w:val="28"/>
        </w:rPr>
        <w:t xml:space="preserve">dock idén </w:t>
      </w:r>
      <w:r w:rsidRPr="00E934F6">
        <w:rPr>
          <w:szCs w:val="28"/>
        </w:rPr>
        <w:t xml:space="preserve">att skapa ett nytt gemensamt horisontellt regelverk för harmonisering av tekniska krav på produkter. En enhetlig tillämpning på den inre marknaden av definitioner och procedurer för provning är till fördel för </w:t>
      </w:r>
      <w:r w:rsidR="00BC3284" w:rsidRPr="00E934F6">
        <w:rPr>
          <w:szCs w:val="28"/>
        </w:rPr>
        <w:t xml:space="preserve">både </w:t>
      </w:r>
      <w:r w:rsidRPr="00E934F6">
        <w:rPr>
          <w:szCs w:val="28"/>
        </w:rPr>
        <w:t>industrin</w:t>
      </w:r>
      <w:r w:rsidR="00BC3284" w:rsidRPr="00E934F6">
        <w:rPr>
          <w:szCs w:val="28"/>
        </w:rPr>
        <w:t xml:space="preserve"> och medlemsstaternas myndigheter</w:t>
      </w:r>
      <w:r w:rsidRPr="00E934F6">
        <w:rPr>
          <w:szCs w:val="28"/>
        </w:rPr>
        <w:t xml:space="preserve">. </w:t>
      </w:r>
      <w:r w:rsidR="00083890" w:rsidRPr="00E934F6">
        <w:rPr>
          <w:szCs w:val="28"/>
        </w:rPr>
        <w:t>E</w:t>
      </w:r>
      <w:r w:rsidR="0095602E" w:rsidRPr="00E934F6">
        <w:rPr>
          <w:szCs w:val="28"/>
        </w:rPr>
        <w:t>n</w:t>
      </w:r>
      <w:r w:rsidR="00083890" w:rsidRPr="00E934F6">
        <w:rPr>
          <w:szCs w:val="28"/>
        </w:rPr>
        <w:t xml:space="preserve"> förbättra</w:t>
      </w:r>
      <w:r w:rsidR="0095602E" w:rsidRPr="00E934F6">
        <w:rPr>
          <w:szCs w:val="28"/>
        </w:rPr>
        <w:t>d</w:t>
      </w:r>
      <w:r w:rsidR="00083890" w:rsidRPr="00E934F6">
        <w:rPr>
          <w:szCs w:val="28"/>
        </w:rPr>
        <w:t xml:space="preserve"> </w:t>
      </w:r>
      <w:r w:rsidR="0095602E" w:rsidRPr="00E934F6">
        <w:rPr>
          <w:szCs w:val="28"/>
        </w:rPr>
        <w:t xml:space="preserve">tillämpning av </w:t>
      </w:r>
      <w:r w:rsidR="00083890" w:rsidRPr="00E934F6">
        <w:rPr>
          <w:szCs w:val="28"/>
        </w:rPr>
        <w:t>regelverk</w:t>
      </w:r>
      <w:r w:rsidR="0095602E" w:rsidRPr="00E934F6">
        <w:rPr>
          <w:szCs w:val="28"/>
        </w:rPr>
        <w:t>et</w:t>
      </w:r>
      <w:r w:rsidR="00083890" w:rsidRPr="00E934F6">
        <w:rPr>
          <w:szCs w:val="28"/>
        </w:rPr>
        <w:t xml:space="preserve"> </w:t>
      </w:r>
      <w:r w:rsidR="0095602E" w:rsidRPr="00E934F6">
        <w:rPr>
          <w:szCs w:val="28"/>
        </w:rPr>
        <w:t xml:space="preserve">tillgodoser såväl </w:t>
      </w:r>
      <w:r w:rsidR="00083890" w:rsidRPr="00E934F6">
        <w:rPr>
          <w:szCs w:val="28"/>
        </w:rPr>
        <w:t xml:space="preserve">fri rörlighet för varor </w:t>
      </w:r>
      <w:r w:rsidR="0095602E" w:rsidRPr="00E934F6">
        <w:rPr>
          <w:szCs w:val="28"/>
        </w:rPr>
        <w:t xml:space="preserve">som </w:t>
      </w:r>
      <w:r w:rsidR="00083890" w:rsidRPr="00E934F6">
        <w:rPr>
          <w:szCs w:val="28"/>
        </w:rPr>
        <w:t>medborgarnas grundläggande behov av att endast säkra varor omsätts på den inre marknaden.</w:t>
      </w:r>
    </w:p>
    <w:p w:rsidR="00FC5187" w:rsidRPr="00E934F6" w:rsidRDefault="00FC5187" w:rsidP="00FC5187">
      <w:pPr>
        <w:pStyle w:val="RKnormal"/>
        <w:rPr>
          <w:szCs w:val="28"/>
        </w:rPr>
      </w:pPr>
    </w:p>
    <w:p w:rsidR="00FC5187" w:rsidRPr="00E934F6" w:rsidRDefault="00FC5187" w:rsidP="00FC5187">
      <w:pPr>
        <w:pStyle w:val="RKnormal"/>
        <w:rPr>
          <w:szCs w:val="28"/>
        </w:rPr>
      </w:pPr>
      <w:r w:rsidRPr="00E934F6">
        <w:rPr>
          <w:szCs w:val="28"/>
        </w:rPr>
        <w:t>För det fortsatta arbetet inom ramen för översynen är det viktigt att nå konsensus vad gäller ackrediteringens rättsliga status</w:t>
      </w:r>
      <w:r w:rsidR="004408EF" w:rsidRPr="00E934F6">
        <w:rPr>
          <w:szCs w:val="28"/>
        </w:rPr>
        <w:t>.</w:t>
      </w:r>
      <w:r w:rsidRPr="00E934F6">
        <w:rPr>
          <w:szCs w:val="28"/>
        </w:rPr>
        <w:t xml:space="preserve"> </w:t>
      </w:r>
      <w:r w:rsidR="004408EF" w:rsidRPr="00E934F6">
        <w:rPr>
          <w:szCs w:val="28"/>
        </w:rPr>
        <w:t>Ett</w:t>
      </w:r>
      <w:r w:rsidRPr="00E934F6">
        <w:rPr>
          <w:szCs w:val="28"/>
        </w:rPr>
        <w:t xml:space="preserve"> europeiskt system för ackreditering</w:t>
      </w:r>
      <w:r w:rsidR="004408EF" w:rsidRPr="00E934F6">
        <w:rPr>
          <w:szCs w:val="28"/>
        </w:rPr>
        <w:t xml:space="preserve"> välkomnas</w:t>
      </w:r>
      <w:r w:rsidRPr="00E934F6">
        <w:rPr>
          <w:szCs w:val="28"/>
        </w:rPr>
        <w:t xml:space="preserve">. Vi ser </w:t>
      </w:r>
      <w:r w:rsidR="004408EF" w:rsidRPr="00E934F6">
        <w:rPr>
          <w:szCs w:val="28"/>
        </w:rPr>
        <w:t xml:space="preserve">även </w:t>
      </w:r>
      <w:r w:rsidRPr="00E934F6">
        <w:rPr>
          <w:szCs w:val="28"/>
        </w:rPr>
        <w:t xml:space="preserve">fördelar med ett gemensamt system för ackreditering som </w:t>
      </w:r>
      <w:r w:rsidR="004408EF" w:rsidRPr="00E934F6">
        <w:rPr>
          <w:szCs w:val="28"/>
        </w:rPr>
        <w:t xml:space="preserve">skulle sträcka </w:t>
      </w:r>
      <w:r w:rsidRPr="00E934F6">
        <w:rPr>
          <w:szCs w:val="28"/>
        </w:rPr>
        <w:t xml:space="preserve">sig längre än de områden som sektorsvis harmoniserats med hjälp av den nya metoden, t.ex. till de icke-harmoniserade områden där principen om ömsesidigt erkännande skall gälla, eller till områden som inte omfattas av inremarknadslagstiftningen men där EU har en gemensam politik, t.ex. jordbruksområdet. </w:t>
      </w:r>
    </w:p>
    <w:p w:rsidR="00FC5187" w:rsidRPr="00E934F6" w:rsidRDefault="00FC5187" w:rsidP="00FC5187">
      <w:pPr>
        <w:pStyle w:val="RKnormal"/>
        <w:rPr>
          <w:szCs w:val="28"/>
        </w:rPr>
      </w:pPr>
    </w:p>
    <w:p w:rsidR="00FC5187" w:rsidRPr="00E934F6" w:rsidRDefault="00FC5187" w:rsidP="00FC5187">
      <w:pPr>
        <w:pStyle w:val="RKnormal"/>
        <w:rPr>
          <w:szCs w:val="28"/>
        </w:rPr>
      </w:pPr>
      <w:r w:rsidRPr="00E934F6">
        <w:rPr>
          <w:szCs w:val="28"/>
        </w:rPr>
        <w:t xml:space="preserve">Sverige delar kommissionens uppfattning att marknadskontrollen behöver förstärkas i medlemsstaterna. </w:t>
      </w:r>
      <w:r w:rsidR="00083890" w:rsidRPr="00E934F6">
        <w:rPr>
          <w:szCs w:val="28"/>
        </w:rPr>
        <w:t xml:space="preserve">Vi välkomnar </w:t>
      </w:r>
      <w:r w:rsidR="00127344" w:rsidRPr="00E934F6">
        <w:rPr>
          <w:szCs w:val="28"/>
        </w:rPr>
        <w:t>gemensamma ramar</w:t>
      </w:r>
      <w:r w:rsidRPr="00E934F6">
        <w:rPr>
          <w:szCs w:val="28"/>
        </w:rPr>
        <w:t xml:space="preserve"> för marknadskontrollen i EG-rätten. </w:t>
      </w:r>
      <w:r w:rsidR="00127344" w:rsidRPr="00E934F6">
        <w:rPr>
          <w:szCs w:val="28"/>
        </w:rPr>
        <w:t>Det är viktigt för att myndigheterna på ett adekvat sätt skall kunna agera som tillsynsmyndigheter.</w:t>
      </w:r>
    </w:p>
    <w:p w:rsidR="00033299" w:rsidRPr="00E934F6" w:rsidRDefault="00033299">
      <w:pPr>
        <w:pStyle w:val="RKrubrik"/>
      </w:pPr>
      <w:r w:rsidRPr="00E934F6">
        <w:t>Europaparlamentets inställning</w:t>
      </w:r>
    </w:p>
    <w:p w:rsidR="00033299" w:rsidRPr="00E934F6" w:rsidRDefault="00033299">
      <w:pPr>
        <w:pStyle w:val="RKnormal"/>
      </w:pPr>
      <w:r w:rsidRPr="00E934F6">
        <w:t>Ännu ej känd.</w:t>
      </w:r>
    </w:p>
    <w:p w:rsidR="00033299" w:rsidRPr="00E934F6" w:rsidRDefault="00033299">
      <w:pPr>
        <w:pStyle w:val="RKrubrik"/>
        <w:rPr>
          <w:i/>
          <w:iCs/>
        </w:rPr>
      </w:pPr>
      <w:r w:rsidRPr="00E934F6">
        <w:rPr>
          <w:i/>
          <w:iCs/>
        </w:rPr>
        <w:t>Förslaget</w:t>
      </w:r>
    </w:p>
    <w:p w:rsidR="007E3CA3" w:rsidRPr="00E934F6" w:rsidRDefault="007E3CA3" w:rsidP="007E3CA3">
      <w:pPr>
        <w:pStyle w:val="RKnormal"/>
      </w:pPr>
      <w:r w:rsidRPr="00E934F6">
        <w:t xml:space="preserve">Kommissionens förslag </w:t>
      </w:r>
      <w:r w:rsidR="00D927D0" w:rsidRPr="00E934F6">
        <w:t xml:space="preserve">kommer med stor sannolikhet att </w:t>
      </w:r>
      <w:r w:rsidRPr="00E934F6">
        <w:t>innehåll</w:t>
      </w:r>
      <w:r w:rsidR="00D927D0" w:rsidRPr="00E934F6">
        <w:t>a</w:t>
      </w:r>
      <w:r w:rsidRPr="00E934F6">
        <w:t xml:space="preserve"> </w:t>
      </w:r>
      <w:r w:rsidRPr="00E934F6">
        <w:rPr>
          <w:i/>
        </w:rPr>
        <w:t>dels</w:t>
      </w:r>
      <w:r w:rsidRPr="00E934F6">
        <w:t xml:space="preserve"> ett förslag till förordning angående regleringen av marknadskontroll och kompetensbedömning av organ som utför provningstjänster m.m. (ackreditering), </w:t>
      </w:r>
      <w:r w:rsidRPr="00E934F6">
        <w:rPr>
          <w:i/>
        </w:rPr>
        <w:t>dels</w:t>
      </w:r>
      <w:r w:rsidRPr="00E934F6">
        <w:t xml:space="preserve"> ett förslag till beslut innehållande de gemensamma beståndsdelar som idag återfinns i de olika sektorsdirektiven och som skall samlas i ett horisontellt regelverk. Det horisontella regelverket </w:t>
      </w:r>
      <w:r w:rsidR="00D927D0" w:rsidRPr="00E934F6">
        <w:t xml:space="preserve">är sedan tänkt </w:t>
      </w:r>
      <w:r w:rsidRPr="00E934F6">
        <w:t xml:space="preserve">att kunna ligga till grund för revidering av befintlig sektorslagstiftning och för framtida rättsakter. </w:t>
      </w:r>
    </w:p>
    <w:p w:rsidR="00033299" w:rsidRPr="00E934F6" w:rsidRDefault="00033299">
      <w:pPr>
        <w:pStyle w:val="RKrubrik"/>
        <w:rPr>
          <w:i/>
          <w:iCs/>
        </w:rPr>
      </w:pPr>
      <w:r w:rsidRPr="00E934F6">
        <w:rPr>
          <w:i/>
          <w:iCs/>
        </w:rPr>
        <w:t>Gällande svenska regler och förslagets effekter på dessa</w:t>
      </w:r>
    </w:p>
    <w:p w:rsidR="00466B07" w:rsidRPr="00E934F6" w:rsidRDefault="00D927D0">
      <w:pPr>
        <w:pStyle w:val="RKnormal"/>
      </w:pPr>
      <w:r w:rsidRPr="00E934F6">
        <w:t xml:space="preserve">Mot bakgrund av att kommissionen ännu inte presenterat förslagen går det inte att förutse vilka nationella regler som kan komma att beröras. Generellt kan dock sägas att översynen delvis syftar till att definiera gemensamma beståndsdelar som idag tillämpas enligt de olika sektorsdirektiven. Sektorsdirektiven, idag införlivade i svensk rätt, kan därmed komma att revideras, med efterföljande förändringar i den nationella rätten. </w:t>
      </w:r>
    </w:p>
    <w:p w:rsidR="00033299" w:rsidRPr="00E934F6" w:rsidRDefault="00033299">
      <w:pPr>
        <w:pStyle w:val="RKrubrik"/>
      </w:pPr>
      <w:r w:rsidRPr="00E934F6">
        <w:t>Ekonomiska konsekvenser</w:t>
      </w:r>
    </w:p>
    <w:p w:rsidR="00033299" w:rsidRPr="00E934F6" w:rsidRDefault="00037720">
      <w:pPr>
        <w:pStyle w:val="RKnormal"/>
      </w:pPr>
      <w:r w:rsidRPr="00E934F6">
        <w:t>Måste analyseras närmare när kommissionens förslag presenterats.</w:t>
      </w:r>
    </w:p>
    <w:p w:rsidR="00033299" w:rsidRPr="00E934F6" w:rsidRDefault="00033299">
      <w:pPr>
        <w:pStyle w:val="RKrubrik"/>
      </w:pPr>
      <w:r w:rsidRPr="00E934F6">
        <w:t>Övrigt</w:t>
      </w:r>
    </w:p>
    <w:p w:rsidR="00033299" w:rsidRPr="00E934F6" w:rsidRDefault="00033299">
      <w:pPr>
        <w:pStyle w:val="RKnormal"/>
      </w:pPr>
    </w:p>
    <w:p w:rsidR="00033299" w:rsidRPr="00E934F6" w:rsidRDefault="00033299">
      <w:pPr>
        <w:pStyle w:val="RKnormal"/>
        <w:rPr>
          <w:i/>
          <w:iCs/>
        </w:rPr>
      </w:pPr>
    </w:p>
    <w:p w:rsidR="00033299" w:rsidRPr="00E934F6" w:rsidRDefault="00033299">
      <w:pPr>
        <w:pStyle w:val="RKnormal"/>
        <w:ind w:left="-1134"/>
      </w:pPr>
    </w:p>
    <w:p w:rsidR="004C627E" w:rsidRPr="00E934F6" w:rsidRDefault="004C627E">
      <w:pPr>
        <w:pStyle w:val="RKrubrik"/>
        <w:spacing w:before="0" w:after="0"/>
      </w:pPr>
    </w:p>
    <w:p w:rsidR="004C627E" w:rsidRPr="00E934F6" w:rsidRDefault="004C627E">
      <w:pPr>
        <w:pStyle w:val="RKnormal"/>
      </w:pPr>
    </w:p>
    <w:p w:rsidR="00033299" w:rsidRPr="00E934F6" w:rsidRDefault="00033299">
      <w:pPr>
        <w:pStyle w:val="RKnormal"/>
      </w:pPr>
    </w:p>
    <w:sectPr w:rsidR="00033299" w:rsidRPr="00E934F6">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0D75" w:rsidRPr="00E934F6" w:rsidRDefault="00060D75">
      <w:r w:rsidRPr="00E934F6">
        <w:separator/>
      </w:r>
    </w:p>
  </w:endnote>
  <w:endnote w:type="continuationSeparator" w:id="0">
    <w:p w:rsidR="00060D75" w:rsidRPr="00E934F6" w:rsidRDefault="00060D75">
      <w:r w:rsidRPr="00E934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0D75" w:rsidRPr="00E934F6" w:rsidRDefault="00060D75">
      <w:r w:rsidRPr="00E934F6">
        <w:separator/>
      </w:r>
    </w:p>
  </w:footnote>
  <w:footnote w:type="continuationSeparator" w:id="0">
    <w:p w:rsidR="00060D75" w:rsidRPr="00E934F6" w:rsidRDefault="00060D75">
      <w:r w:rsidRPr="00E934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D2A" w:rsidRPr="00E934F6" w:rsidRDefault="00FC4D2A">
    <w:pPr>
      <w:pStyle w:val="Sidhuvud"/>
      <w:framePr w:wrap="around" w:vAnchor="text" w:hAnchor="margin" w:xAlign="right" w:y="1"/>
      <w:rPr>
        <w:rStyle w:val="Sidnummer"/>
        <w:rPrChange w:id="1" w:author="Lars Brink" w:date="2025-12-17T05:02:00Z" w16du:dateUtc="2025-12-17T04:02:00Z">
          <w:rPr>
            <w:rStyle w:val="Sidnummer"/>
          </w:rPr>
        </w:rPrChange>
      </w:rPr>
    </w:pPr>
    <w:r w:rsidRPr="00E934F6">
      <w:rPr>
        <w:rStyle w:val="Sidnummer"/>
      </w:rPr>
      <w:fldChar w:fldCharType="begin" w:fldLock="1"/>
    </w:r>
    <w:r w:rsidRPr="00E934F6">
      <w:rPr>
        <w:rStyle w:val="Sidnummer"/>
      </w:rPr>
      <w:instrText xml:space="preserve">PAGE  </w:instrText>
    </w:r>
    <w:r w:rsidRPr="00E934F6">
      <w:rPr>
        <w:rStyle w:val="Sidnummer"/>
      </w:rPr>
      <w:fldChar w:fldCharType="separate"/>
    </w:r>
    <w:r w:rsidR="00782755" w:rsidRPr="00E934F6">
      <w:rPr>
        <w:rStyle w:val="Sidnummer"/>
        <w:rPrChange w:id="2" w:author="Lars Brink" w:date="2025-12-17T05:02:00Z" w16du:dateUtc="2025-12-17T04:02:00Z">
          <w:rPr>
            <w:rStyle w:val="Sidnummer"/>
            <w:noProof/>
          </w:rPr>
        </w:rPrChange>
      </w:rPr>
      <w:t>2</w:t>
    </w:r>
    <w:r w:rsidRPr="00E934F6">
      <w:rPr>
        <w:rStyle w:val="Sidnummer"/>
        <w:rPrChange w:id="3" w:author="Lars Brink" w:date="2025-12-17T05:02:00Z" w16du:dateUtc="2025-12-17T04:02: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FC4D2A" w:rsidRPr="00E934F6">
      <w:tblPrEx>
        <w:tblCellMar>
          <w:top w:w="0" w:type="dxa"/>
          <w:bottom w:w="0" w:type="dxa"/>
        </w:tblCellMar>
      </w:tblPrEx>
      <w:trPr>
        <w:cantSplit/>
      </w:trPr>
      <w:tc>
        <w:tcPr>
          <w:tcW w:w="3119" w:type="dxa"/>
        </w:tcPr>
        <w:p w:rsidR="00FC4D2A" w:rsidRPr="00E934F6" w:rsidRDefault="00FC4D2A">
          <w:pPr>
            <w:pStyle w:val="Sidhuvud"/>
            <w:spacing w:line="200" w:lineRule="atLeast"/>
            <w:ind w:right="357"/>
            <w:rPr>
              <w:rFonts w:ascii="TradeGothic" w:hAnsi="TradeGothic"/>
              <w:b/>
              <w:bCs/>
              <w:sz w:val="16"/>
              <w:rPrChange w:id="4" w:author="Lars Brink" w:date="2025-12-17T05:02:00Z" w16du:dateUtc="2025-12-17T04:02:00Z">
                <w:rPr>
                  <w:rFonts w:ascii="TradeGothic" w:hAnsi="TradeGothic"/>
                  <w:b/>
                  <w:bCs/>
                  <w:sz w:val="16"/>
                </w:rPr>
              </w:rPrChange>
            </w:rPr>
          </w:pPr>
        </w:p>
      </w:tc>
      <w:tc>
        <w:tcPr>
          <w:tcW w:w="4111" w:type="dxa"/>
          <w:tcMar>
            <w:left w:w="567" w:type="dxa"/>
          </w:tcMar>
        </w:tcPr>
        <w:p w:rsidR="00FC4D2A" w:rsidRPr="00E934F6" w:rsidRDefault="00FC4D2A">
          <w:pPr>
            <w:pStyle w:val="Sidhuvud"/>
            <w:ind w:right="360"/>
            <w:rPr>
              <w:rPrChange w:id="5" w:author="Lars Brink" w:date="2025-12-17T05:02:00Z" w16du:dateUtc="2025-12-17T04:02:00Z">
                <w:rPr/>
              </w:rPrChange>
            </w:rPr>
          </w:pPr>
        </w:p>
      </w:tc>
      <w:tc>
        <w:tcPr>
          <w:tcW w:w="1525" w:type="dxa"/>
        </w:tcPr>
        <w:p w:rsidR="00FC4D2A" w:rsidRPr="00E934F6" w:rsidRDefault="00FC4D2A">
          <w:pPr>
            <w:pStyle w:val="Sidhuvud"/>
            <w:ind w:right="360"/>
            <w:rPr>
              <w:rPrChange w:id="6" w:author="Lars Brink" w:date="2025-12-17T05:02:00Z" w16du:dateUtc="2025-12-17T04:02:00Z">
                <w:rPr/>
              </w:rPrChange>
            </w:rPr>
          </w:pPr>
        </w:p>
      </w:tc>
    </w:tr>
  </w:tbl>
  <w:p w:rsidR="00FC4D2A" w:rsidRPr="00E934F6" w:rsidRDefault="00FC4D2A">
    <w:pPr>
      <w:pStyle w:val="Sidhuvud"/>
      <w:ind w:right="357" w:firstLine="357"/>
      <w:rPr>
        <w:rPrChange w:id="7" w:author="Lars Brink" w:date="2025-12-17T05:02:00Z" w16du:dateUtc="2025-12-17T04:02: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D2A" w:rsidRPr="00E934F6" w:rsidRDefault="00FC4D2A">
    <w:pPr>
      <w:pStyle w:val="Sidhuvud"/>
      <w:framePr w:wrap="around" w:vAnchor="text" w:hAnchor="margin" w:xAlign="right" w:y="1"/>
      <w:rPr>
        <w:rStyle w:val="Sidnummer"/>
        <w:rPrChange w:id="8" w:author="Lars Brink" w:date="2025-12-17T05:02:00Z" w16du:dateUtc="2025-12-17T04:02:00Z">
          <w:rPr>
            <w:rStyle w:val="Sidnummer"/>
          </w:rPr>
        </w:rPrChange>
      </w:rPr>
    </w:pPr>
    <w:r w:rsidRPr="00E934F6">
      <w:rPr>
        <w:rStyle w:val="Sidnummer"/>
      </w:rPr>
      <w:fldChar w:fldCharType="begin" w:fldLock="1"/>
    </w:r>
    <w:r w:rsidRPr="00E934F6">
      <w:rPr>
        <w:rStyle w:val="Sidnummer"/>
      </w:rPr>
      <w:instrText xml:space="preserve">PAGE  </w:instrText>
    </w:r>
    <w:r w:rsidRPr="00E934F6">
      <w:rPr>
        <w:rStyle w:val="Sidnummer"/>
      </w:rPr>
      <w:fldChar w:fldCharType="separate"/>
    </w:r>
    <w:r w:rsidR="00782755" w:rsidRPr="00E934F6">
      <w:rPr>
        <w:rStyle w:val="Sidnummer"/>
        <w:rPrChange w:id="9" w:author="Lars Brink" w:date="2025-12-17T05:02:00Z" w16du:dateUtc="2025-12-17T04:02:00Z">
          <w:rPr>
            <w:rStyle w:val="Sidnummer"/>
            <w:noProof/>
          </w:rPr>
        </w:rPrChange>
      </w:rPr>
      <w:t>3</w:t>
    </w:r>
    <w:r w:rsidRPr="00E934F6">
      <w:rPr>
        <w:rStyle w:val="Sidnummer"/>
        <w:rPrChange w:id="10" w:author="Lars Brink" w:date="2025-12-17T05:02:00Z" w16du:dateUtc="2025-12-17T04:02: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FC4D2A" w:rsidRPr="00E934F6">
      <w:tblPrEx>
        <w:tblCellMar>
          <w:top w:w="0" w:type="dxa"/>
          <w:bottom w:w="0" w:type="dxa"/>
        </w:tblCellMar>
      </w:tblPrEx>
      <w:trPr>
        <w:cantSplit/>
      </w:trPr>
      <w:tc>
        <w:tcPr>
          <w:tcW w:w="3119" w:type="dxa"/>
        </w:tcPr>
        <w:p w:rsidR="00FC4D2A" w:rsidRPr="00E934F6" w:rsidRDefault="00FC4D2A">
          <w:pPr>
            <w:pStyle w:val="Sidhuvud"/>
            <w:spacing w:line="200" w:lineRule="atLeast"/>
            <w:ind w:right="357"/>
            <w:rPr>
              <w:rFonts w:ascii="TradeGothic" w:hAnsi="TradeGothic"/>
              <w:b/>
              <w:bCs/>
              <w:sz w:val="16"/>
              <w:rPrChange w:id="11" w:author="Lars Brink" w:date="2025-12-17T05:02:00Z" w16du:dateUtc="2025-12-17T04:02:00Z">
                <w:rPr>
                  <w:rFonts w:ascii="TradeGothic" w:hAnsi="TradeGothic"/>
                  <w:b/>
                  <w:bCs/>
                  <w:sz w:val="16"/>
                </w:rPr>
              </w:rPrChange>
            </w:rPr>
          </w:pPr>
        </w:p>
      </w:tc>
      <w:tc>
        <w:tcPr>
          <w:tcW w:w="4111" w:type="dxa"/>
          <w:tcMar>
            <w:left w:w="567" w:type="dxa"/>
          </w:tcMar>
        </w:tcPr>
        <w:p w:rsidR="00FC4D2A" w:rsidRPr="00E934F6" w:rsidRDefault="00FC4D2A">
          <w:pPr>
            <w:pStyle w:val="Sidhuvud"/>
            <w:ind w:right="360"/>
            <w:rPr>
              <w:rPrChange w:id="12" w:author="Lars Brink" w:date="2025-12-17T05:02:00Z" w16du:dateUtc="2025-12-17T04:02:00Z">
                <w:rPr/>
              </w:rPrChange>
            </w:rPr>
          </w:pPr>
        </w:p>
      </w:tc>
      <w:tc>
        <w:tcPr>
          <w:tcW w:w="1525" w:type="dxa"/>
        </w:tcPr>
        <w:p w:rsidR="00FC4D2A" w:rsidRPr="00E934F6" w:rsidRDefault="00FC4D2A">
          <w:pPr>
            <w:pStyle w:val="Sidhuvud"/>
            <w:ind w:right="360"/>
            <w:rPr>
              <w:rPrChange w:id="13" w:author="Lars Brink" w:date="2025-12-17T05:02:00Z" w16du:dateUtc="2025-12-17T04:02:00Z">
                <w:rPr/>
              </w:rPrChange>
            </w:rPr>
          </w:pPr>
        </w:p>
      </w:tc>
    </w:tr>
  </w:tbl>
  <w:p w:rsidR="00FC4D2A" w:rsidRPr="00E934F6" w:rsidRDefault="00FC4D2A">
    <w:pPr>
      <w:pStyle w:val="Sidhuvud"/>
      <w:ind w:right="357" w:firstLine="357"/>
      <w:rPr>
        <w:rPrChange w:id="14" w:author="Lars Brink" w:date="2025-12-17T05:02:00Z" w16du:dateUtc="2025-12-17T04:02: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D2A" w:rsidRPr="00E934F6" w:rsidRDefault="00E934F6">
    <w:pPr>
      <w:framePr w:w="2948" w:h="1321" w:hRule="exact" w:wrap="notBeside" w:vAnchor="page" w:hAnchor="page" w:x="1362" w:y="653"/>
    </w:pPr>
    <w:r w:rsidRPr="00E934F6">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C4D2A" w:rsidRPr="00E934F6" w:rsidRDefault="00FC4D2A">
    <w:pPr>
      <w:pStyle w:val="RKrubrik"/>
      <w:keepNext w:val="0"/>
      <w:tabs>
        <w:tab w:val="clear" w:pos="1134"/>
        <w:tab w:val="clear" w:pos="2835"/>
      </w:tabs>
      <w:spacing w:before="0" w:after="0" w:line="320" w:lineRule="atLeast"/>
      <w:rPr>
        <w:bCs/>
      </w:rPr>
    </w:pPr>
  </w:p>
  <w:p w:rsidR="00FC4D2A" w:rsidRPr="00E934F6" w:rsidRDefault="00FC4D2A">
    <w:pPr>
      <w:rPr>
        <w:rFonts w:ascii="TradeGothic" w:hAnsi="TradeGothic"/>
        <w:b/>
        <w:bCs/>
        <w:spacing w:val="12"/>
        <w:sz w:val="22"/>
      </w:rPr>
    </w:pPr>
  </w:p>
  <w:p w:rsidR="00FC4D2A" w:rsidRPr="00E934F6" w:rsidRDefault="00FC4D2A">
    <w:pPr>
      <w:pStyle w:val="RKrubrik"/>
      <w:keepNext w:val="0"/>
      <w:tabs>
        <w:tab w:val="clear" w:pos="1134"/>
        <w:tab w:val="clear" w:pos="2835"/>
      </w:tabs>
      <w:spacing w:before="0" w:after="0" w:line="320" w:lineRule="atLeast"/>
      <w:rPr>
        <w:bCs/>
      </w:rPr>
    </w:pPr>
  </w:p>
  <w:p w:rsidR="00FC4D2A" w:rsidRPr="00E934F6" w:rsidRDefault="00FC4D2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4E71E4"/>
    <w:multiLevelType w:val="singleLevel"/>
    <w:tmpl w:val="DF3CACF2"/>
    <w:lvl w:ilvl="0">
      <w:start w:val="1"/>
      <w:numFmt w:val="decimal"/>
      <w:pStyle w:val="Par-number1"/>
      <w:lvlText w:val="%1."/>
      <w:lvlJc w:val="left"/>
      <w:pPr>
        <w:tabs>
          <w:tab w:val="num" w:pos="567"/>
        </w:tabs>
        <w:ind w:left="567" w:hanging="567"/>
      </w:pPr>
      <w:rPr>
        <w:rFonts w:hint="default"/>
      </w:rPr>
    </w:lvl>
  </w:abstractNum>
  <w:num w:numId="1" w16cid:durableId="17424057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033299"/>
    <w:rsid w:val="00033299"/>
    <w:rsid w:val="00037720"/>
    <w:rsid w:val="00060D75"/>
    <w:rsid w:val="00083890"/>
    <w:rsid w:val="00127344"/>
    <w:rsid w:val="001570E1"/>
    <w:rsid w:val="00197530"/>
    <w:rsid w:val="0026455E"/>
    <w:rsid w:val="00287B09"/>
    <w:rsid w:val="002D57EF"/>
    <w:rsid w:val="004408EF"/>
    <w:rsid w:val="00466B07"/>
    <w:rsid w:val="004C627E"/>
    <w:rsid w:val="006646B0"/>
    <w:rsid w:val="00782755"/>
    <w:rsid w:val="007E3CA3"/>
    <w:rsid w:val="007F6F8C"/>
    <w:rsid w:val="008E5A23"/>
    <w:rsid w:val="0095602E"/>
    <w:rsid w:val="00B00982"/>
    <w:rsid w:val="00BA3341"/>
    <w:rsid w:val="00BC3284"/>
    <w:rsid w:val="00D6762C"/>
    <w:rsid w:val="00D927D0"/>
    <w:rsid w:val="00DE01C8"/>
    <w:rsid w:val="00DE4653"/>
    <w:rsid w:val="00E223BD"/>
    <w:rsid w:val="00E934F6"/>
    <w:rsid w:val="00EC0CC3"/>
    <w:rsid w:val="00F921F2"/>
    <w:rsid w:val="00FC4D2A"/>
    <w:rsid w:val="00FC5187"/>
    <w:rsid w:val="00FF4D9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89BC97-15AC-4E3B-9E20-29DC43590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Par-number1">
    <w:name w:val="Par-number 1."/>
    <w:basedOn w:val="Normal"/>
    <w:next w:val="Normal"/>
    <w:link w:val="Par-number1Char"/>
    <w:rsid w:val="00033299"/>
    <w:pPr>
      <w:widowControl w:val="0"/>
      <w:numPr>
        <w:numId w:val="1"/>
      </w:numPr>
      <w:overflowPunct/>
      <w:autoSpaceDE/>
      <w:autoSpaceDN/>
      <w:adjustRightInd/>
      <w:spacing w:line="240" w:lineRule="auto"/>
      <w:textAlignment w:val="auto"/>
    </w:pPr>
    <w:rPr>
      <w:rFonts w:ascii="Times New Roman" w:hAnsi="Times New Roman"/>
      <w:b/>
      <w:lang w:val="en-GB" w:eastAsia="fr-BE"/>
    </w:rPr>
  </w:style>
  <w:style w:type="paragraph" w:customStyle="1" w:styleId="ZchnZchnCharCharCharChar">
    <w:name w:val=" Zchn Zchn Char Char Char Char"/>
    <w:basedOn w:val="Normal"/>
    <w:rsid w:val="00033299"/>
    <w:pPr>
      <w:overflowPunct/>
      <w:autoSpaceDE/>
      <w:autoSpaceDN/>
      <w:adjustRightInd/>
      <w:spacing w:after="160" w:line="240" w:lineRule="exact"/>
      <w:textAlignment w:val="auto"/>
    </w:pPr>
    <w:rPr>
      <w:rFonts w:ascii="Tahoma" w:hAnsi="Tahoma"/>
      <w:sz w:val="20"/>
      <w:lang w:val="en-US"/>
    </w:rPr>
  </w:style>
  <w:style w:type="character" w:customStyle="1" w:styleId="Par-number1Char">
    <w:name w:val="Par-number 1. Char"/>
    <w:basedOn w:val="Standardstycketeckensnitt"/>
    <w:link w:val="Par-number1"/>
    <w:rsid w:val="00033299"/>
    <w:rPr>
      <w:b/>
      <w:sz w:val="24"/>
      <w:lang w:val="en-GB" w:eastAsia="fr-BE" w:bidi="ar-SA"/>
    </w:rPr>
  </w:style>
  <w:style w:type="paragraph" w:styleId="Revision">
    <w:name w:val="Revision"/>
    <w:hidden/>
    <w:uiPriority w:val="99"/>
    <w:semiHidden/>
    <w:rsid w:val="00E934F6"/>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837</Words>
  <Characters>5296</Characters>
  <Application>Microsoft Office Word</Application>
  <DocSecurity>4</DocSecurity>
  <Lines>143</Lines>
  <Paragraphs>49</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2007-02-07T15:58:00Z</cp:lastPrinted>
  <dcterms:created xsi:type="dcterms:W3CDTF">2025-12-17T04:02:00Z</dcterms:created>
  <dcterms:modified xsi:type="dcterms:W3CDTF">2025-12-17T04:02:00Z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3;0;0;220</vt:lpwstr>
  </property>
  <property fmtid="{D5CDD505-2E9C-101B-9397-08002B2CF9AE}" pid="3" name="Sprak">
    <vt:lpwstr>Svenska</vt:lpwstr>
  </property>
  <property fmtid="{D5CDD505-2E9C-101B-9397-08002B2CF9AE}" pid="4" name="DokID">
    <vt:i4>60</vt:i4>
  </property>
</Properties>
</file>