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6AED" w:rsidRPr="00800274" w:rsidRDefault="002B6AED">
      <w:pPr>
        <w:pStyle w:val="Frslagsrubrik"/>
      </w:pPr>
      <w:r w:rsidRPr="00800274">
        <w:t>Förslag till riksdagsbeslut</w:t>
      </w:r>
    </w:p>
    <w:p w:rsidR="002B6AED" w:rsidRPr="00800274" w:rsidRDefault="002B6AED">
      <w:pPr>
        <w:pStyle w:val="Hemstlatt"/>
        <w:numPr>
          <w:ilvl w:val="0"/>
          <w:numId w:val="0"/>
        </w:numPr>
      </w:pPr>
      <w:r w:rsidRPr="00800274">
        <w:t>Riksdagen anvisar till utgiftsområde 20 Allmän miljö- och naturvård 360 000 000 kr utöver vad regeringen föreslagit för budgetåret 2012 eller således 5 385 000 000 kr enligt uppställning:</w:t>
      </w:r>
    </w:p>
    <w:tbl>
      <w:tblPr>
        <w:tblW w:w="5954" w:type="dxa"/>
        <w:tblInd w:w="5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49"/>
        <w:gridCol w:w="4004"/>
        <w:gridCol w:w="1501"/>
      </w:tblGrid>
      <w:tr w:rsidR="00000000" w:rsidRPr="00800274">
        <w:tc>
          <w:tcPr>
            <w:tcW w:w="449" w:type="dxa"/>
            <w:tcBorders>
              <w:top w:val="single" w:sz="4" w:space="0" w:color="auto"/>
              <w:bottom w:val="single" w:sz="4" w:space="0" w:color="auto"/>
            </w:tcBorders>
            <w:noWrap/>
          </w:tcPr>
          <w:p w:rsidR="002B6AED" w:rsidRPr="00800274" w:rsidRDefault="002B6AED">
            <w:pPr>
              <w:spacing w:before="60" w:line="200" w:lineRule="exact"/>
              <w:jc w:val="center"/>
              <w:rPr>
                <w:sz w:val="16"/>
                <w:szCs w:val="16"/>
              </w:rPr>
            </w:pPr>
            <w:r w:rsidRPr="00800274">
              <w:rPr>
                <w:sz w:val="16"/>
                <w:szCs w:val="16"/>
              </w:rPr>
              <w:t> </w:t>
            </w:r>
          </w:p>
        </w:tc>
        <w:tc>
          <w:tcPr>
            <w:tcW w:w="4004" w:type="dxa"/>
            <w:tcBorders>
              <w:top w:val="single" w:sz="4" w:space="0" w:color="auto"/>
              <w:bottom w:val="single" w:sz="4" w:space="0" w:color="auto"/>
            </w:tcBorders>
          </w:tcPr>
          <w:p w:rsidR="002B6AED" w:rsidRPr="00800274" w:rsidRDefault="002B6AED">
            <w:pPr>
              <w:spacing w:before="60" w:line="200" w:lineRule="exact"/>
              <w:rPr>
                <w:b/>
                <w:bCs/>
                <w:sz w:val="16"/>
                <w:szCs w:val="16"/>
              </w:rPr>
            </w:pPr>
            <w:r w:rsidRPr="00800274">
              <w:rPr>
                <w:b/>
                <w:bCs/>
                <w:sz w:val="16"/>
                <w:szCs w:val="16"/>
              </w:rPr>
              <w:t>Anslag</w:t>
            </w:r>
          </w:p>
        </w:tc>
        <w:tc>
          <w:tcPr>
            <w:tcW w:w="1501" w:type="dxa"/>
            <w:tcBorders>
              <w:top w:val="single" w:sz="4" w:space="0" w:color="auto"/>
              <w:bottom w:val="single" w:sz="4" w:space="0" w:color="auto"/>
            </w:tcBorders>
            <w:noWrap/>
          </w:tcPr>
          <w:p w:rsidR="002B6AED" w:rsidRPr="00800274" w:rsidRDefault="002B6AED">
            <w:pPr>
              <w:spacing w:before="60" w:line="200" w:lineRule="exact"/>
              <w:jc w:val="right"/>
              <w:rPr>
                <w:b/>
                <w:sz w:val="16"/>
                <w:szCs w:val="16"/>
              </w:rPr>
            </w:pPr>
            <w:r w:rsidRPr="00800274">
              <w:rPr>
                <w:b/>
                <w:sz w:val="16"/>
                <w:szCs w:val="16"/>
              </w:rPr>
              <w:t>Anslagsförändring </w:t>
            </w:r>
          </w:p>
        </w:tc>
      </w:tr>
      <w:tr w:rsidR="00000000" w:rsidRPr="00800274">
        <w:tc>
          <w:tcPr>
            <w:tcW w:w="449" w:type="dxa"/>
            <w:tcBorders>
              <w:top w:val="single" w:sz="4" w:space="0" w:color="auto"/>
            </w:tcBorders>
            <w:noWrap/>
          </w:tcPr>
          <w:p w:rsidR="002B6AED" w:rsidRPr="00800274" w:rsidRDefault="002B6AED">
            <w:pPr>
              <w:spacing w:before="60" w:line="200" w:lineRule="exact"/>
              <w:jc w:val="center"/>
              <w:rPr>
                <w:sz w:val="16"/>
                <w:szCs w:val="16"/>
              </w:rPr>
            </w:pPr>
            <w:r w:rsidRPr="00800274">
              <w:rPr>
                <w:sz w:val="16"/>
                <w:szCs w:val="16"/>
              </w:rPr>
              <w:t>1:1</w:t>
            </w:r>
          </w:p>
        </w:tc>
        <w:tc>
          <w:tcPr>
            <w:tcW w:w="4004" w:type="dxa"/>
            <w:tcBorders>
              <w:top w:val="single" w:sz="4" w:space="0" w:color="auto"/>
            </w:tcBorders>
          </w:tcPr>
          <w:p w:rsidR="002B6AED" w:rsidRPr="00800274" w:rsidRDefault="002B6AED">
            <w:pPr>
              <w:spacing w:before="60" w:line="200" w:lineRule="exact"/>
              <w:rPr>
                <w:sz w:val="16"/>
                <w:szCs w:val="16"/>
              </w:rPr>
            </w:pPr>
            <w:r w:rsidRPr="00800274">
              <w:rPr>
                <w:sz w:val="16"/>
                <w:szCs w:val="16"/>
              </w:rPr>
              <w:t>Naturvårdsverket</w:t>
            </w:r>
          </w:p>
        </w:tc>
        <w:tc>
          <w:tcPr>
            <w:tcW w:w="1501" w:type="dxa"/>
            <w:tcBorders>
              <w:top w:val="single" w:sz="4" w:space="0" w:color="auto"/>
            </w:tcBorders>
            <w:noWrap/>
          </w:tcPr>
          <w:p w:rsidR="002B6AED" w:rsidRPr="00800274" w:rsidRDefault="002B6AED">
            <w:pPr>
              <w:spacing w:before="60" w:line="200" w:lineRule="exact"/>
              <w:jc w:val="right"/>
              <w:rPr>
                <w:sz w:val="16"/>
                <w:szCs w:val="16"/>
              </w:rPr>
            </w:pPr>
            <w:r w:rsidRPr="00800274">
              <w:rPr>
                <w:sz w:val="16"/>
                <w:szCs w:val="16"/>
              </w:rPr>
              <w:t>+50</w:t>
            </w:r>
          </w:p>
        </w:tc>
      </w:tr>
      <w:tr w:rsidR="00000000" w:rsidRPr="00800274">
        <w:tc>
          <w:tcPr>
            <w:tcW w:w="449" w:type="dxa"/>
            <w:noWrap/>
          </w:tcPr>
          <w:p w:rsidR="002B6AED" w:rsidRPr="00800274" w:rsidRDefault="002B6AED">
            <w:pPr>
              <w:spacing w:before="60" w:line="200" w:lineRule="exact"/>
              <w:jc w:val="center"/>
              <w:rPr>
                <w:sz w:val="16"/>
                <w:szCs w:val="16"/>
              </w:rPr>
            </w:pPr>
            <w:r w:rsidRPr="00800274">
              <w:rPr>
                <w:sz w:val="16"/>
                <w:szCs w:val="16"/>
              </w:rPr>
              <w:t>1:4</w:t>
            </w:r>
          </w:p>
        </w:tc>
        <w:tc>
          <w:tcPr>
            <w:tcW w:w="4004" w:type="dxa"/>
          </w:tcPr>
          <w:p w:rsidR="002B6AED" w:rsidRPr="00800274" w:rsidRDefault="002B6AED">
            <w:pPr>
              <w:spacing w:before="60" w:line="200" w:lineRule="exact"/>
              <w:rPr>
                <w:sz w:val="16"/>
                <w:szCs w:val="16"/>
              </w:rPr>
            </w:pPr>
            <w:r w:rsidRPr="00800274">
              <w:rPr>
                <w:sz w:val="16"/>
                <w:szCs w:val="16"/>
              </w:rPr>
              <w:t>Sanering och återställning av förorenade områden</w:t>
            </w:r>
          </w:p>
        </w:tc>
        <w:tc>
          <w:tcPr>
            <w:tcW w:w="1501" w:type="dxa"/>
            <w:noWrap/>
          </w:tcPr>
          <w:p w:rsidR="002B6AED" w:rsidRPr="00800274" w:rsidRDefault="002B6AED">
            <w:pPr>
              <w:spacing w:before="60" w:line="200" w:lineRule="exact"/>
              <w:jc w:val="right"/>
              <w:rPr>
                <w:sz w:val="16"/>
                <w:szCs w:val="16"/>
              </w:rPr>
            </w:pPr>
            <w:r w:rsidRPr="00800274">
              <w:rPr>
                <w:sz w:val="16"/>
                <w:szCs w:val="16"/>
              </w:rPr>
              <w:t>+100</w:t>
            </w:r>
          </w:p>
        </w:tc>
      </w:tr>
      <w:tr w:rsidR="00000000" w:rsidRPr="00800274">
        <w:tc>
          <w:tcPr>
            <w:tcW w:w="449" w:type="dxa"/>
            <w:noWrap/>
          </w:tcPr>
          <w:p w:rsidR="002B6AED" w:rsidRPr="00800274" w:rsidRDefault="002B6AED">
            <w:pPr>
              <w:spacing w:before="60" w:line="200" w:lineRule="exact"/>
              <w:jc w:val="center"/>
              <w:rPr>
                <w:sz w:val="16"/>
                <w:szCs w:val="16"/>
              </w:rPr>
            </w:pPr>
            <w:r w:rsidRPr="00800274">
              <w:rPr>
                <w:sz w:val="16"/>
                <w:szCs w:val="16"/>
              </w:rPr>
              <w:t>1:6</w:t>
            </w:r>
          </w:p>
        </w:tc>
        <w:tc>
          <w:tcPr>
            <w:tcW w:w="4004" w:type="dxa"/>
          </w:tcPr>
          <w:p w:rsidR="002B6AED" w:rsidRPr="00800274" w:rsidRDefault="002B6AED">
            <w:pPr>
              <w:spacing w:before="60" w:line="200" w:lineRule="exact"/>
              <w:rPr>
                <w:sz w:val="16"/>
                <w:szCs w:val="16"/>
              </w:rPr>
            </w:pPr>
            <w:r w:rsidRPr="00800274">
              <w:rPr>
                <w:sz w:val="16"/>
                <w:szCs w:val="16"/>
              </w:rPr>
              <w:t>Kemikalieinspektionen</w:t>
            </w:r>
          </w:p>
        </w:tc>
        <w:tc>
          <w:tcPr>
            <w:tcW w:w="1501" w:type="dxa"/>
            <w:noWrap/>
          </w:tcPr>
          <w:p w:rsidR="002B6AED" w:rsidRPr="00800274" w:rsidRDefault="002B6AED">
            <w:pPr>
              <w:spacing w:before="60" w:line="200" w:lineRule="exact"/>
              <w:jc w:val="right"/>
              <w:rPr>
                <w:sz w:val="16"/>
                <w:szCs w:val="16"/>
              </w:rPr>
            </w:pPr>
            <w:r w:rsidRPr="00800274">
              <w:rPr>
                <w:sz w:val="16"/>
                <w:szCs w:val="16"/>
              </w:rPr>
              <w:t>+10</w:t>
            </w:r>
          </w:p>
        </w:tc>
      </w:tr>
      <w:tr w:rsidR="00000000" w:rsidRPr="00800274">
        <w:tc>
          <w:tcPr>
            <w:tcW w:w="449" w:type="dxa"/>
            <w:noWrap/>
          </w:tcPr>
          <w:p w:rsidR="002B6AED" w:rsidRPr="00800274" w:rsidRDefault="002B6AED">
            <w:pPr>
              <w:spacing w:before="60" w:line="200" w:lineRule="exact"/>
              <w:jc w:val="center"/>
              <w:rPr>
                <w:sz w:val="16"/>
                <w:szCs w:val="16"/>
              </w:rPr>
            </w:pPr>
            <w:r w:rsidRPr="00800274">
              <w:rPr>
                <w:sz w:val="16"/>
                <w:szCs w:val="16"/>
              </w:rPr>
              <w:t>1:12</w:t>
            </w:r>
          </w:p>
        </w:tc>
        <w:tc>
          <w:tcPr>
            <w:tcW w:w="4004" w:type="dxa"/>
          </w:tcPr>
          <w:p w:rsidR="002B6AED" w:rsidRPr="00800274" w:rsidRDefault="002B6AED">
            <w:pPr>
              <w:spacing w:before="60" w:line="200" w:lineRule="exact"/>
              <w:rPr>
                <w:sz w:val="16"/>
                <w:szCs w:val="16"/>
              </w:rPr>
            </w:pPr>
            <w:r w:rsidRPr="00800274">
              <w:rPr>
                <w:sz w:val="16"/>
                <w:szCs w:val="16"/>
              </w:rPr>
              <w:t>Åtgärder för havs- och vattenmiljö</w:t>
            </w:r>
          </w:p>
        </w:tc>
        <w:tc>
          <w:tcPr>
            <w:tcW w:w="1501" w:type="dxa"/>
            <w:noWrap/>
          </w:tcPr>
          <w:p w:rsidR="002B6AED" w:rsidRPr="00800274" w:rsidRDefault="002B6AED">
            <w:pPr>
              <w:spacing w:before="60" w:line="200" w:lineRule="exact"/>
              <w:jc w:val="right"/>
              <w:rPr>
                <w:sz w:val="16"/>
                <w:szCs w:val="16"/>
              </w:rPr>
            </w:pPr>
            <w:r w:rsidRPr="00800274">
              <w:rPr>
                <w:sz w:val="16"/>
                <w:szCs w:val="16"/>
              </w:rPr>
              <w:t>+200</w:t>
            </w:r>
          </w:p>
        </w:tc>
      </w:tr>
      <w:tr w:rsidR="00000000" w:rsidRPr="00800274">
        <w:tc>
          <w:tcPr>
            <w:tcW w:w="449" w:type="dxa"/>
            <w:noWrap/>
          </w:tcPr>
          <w:p w:rsidR="002B6AED" w:rsidRPr="00800274" w:rsidRDefault="002B6AED">
            <w:pPr>
              <w:spacing w:before="60" w:line="200" w:lineRule="exact"/>
              <w:jc w:val="center"/>
              <w:rPr>
                <w:sz w:val="16"/>
                <w:szCs w:val="16"/>
              </w:rPr>
            </w:pPr>
            <w:r w:rsidRPr="00800274">
              <w:rPr>
                <w:sz w:val="16"/>
                <w:szCs w:val="16"/>
              </w:rPr>
              <w:t> </w:t>
            </w:r>
          </w:p>
        </w:tc>
        <w:tc>
          <w:tcPr>
            <w:tcW w:w="4004" w:type="dxa"/>
          </w:tcPr>
          <w:p w:rsidR="002B6AED" w:rsidRPr="00800274" w:rsidRDefault="002B6AED">
            <w:pPr>
              <w:spacing w:before="60" w:line="200" w:lineRule="exact"/>
              <w:rPr>
                <w:b/>
                <w:bCs/>
                <w:i/>
                <w:iCs/>
                <w:sz w:val="16"/>
                <w:szCs w:val="16"/>
              </w:rPr>
            </w:pPr>
            <w:r w:rsidRPr="00800274">
              <w:rPr>
                <w:b/>
                <w:bCs/>
                <w:i/>
                <w:iCs/>
                <w:sz w:val="16"/>
                <w:szCs w:val="16"/>
              </w:rPr>
              <w:t>Summa</w:t>
            </w:r>
          </w:p>
        </w:tc>
        <w:tc>
          <w:tcPr>
            <w:tcW w:w="1501" w:type="dxa"/>
            <w:noWrap/>
          </w:tcPr>
          <w:p w:rsidR="002B6AED" w:rsidRPr="00800274" w:rsidRDefault="002B6AED">
            <w:pPr>
              <w:spacing w:before="60" w:line="200" w:lineRule="exact"/>
              <w:jc w:val="right"/>
              <w:rPr>
                <w:b/>
                <w:bCs/>
                <w:i/>
                <w:iCs/>
                <w:sz w:val="16"/>
                <w:szCs w:val="16"/>
              </w:rPr>
            </w:pPr>
            <w:r w:rsidRPr="00800274">
              <w:rPr>
                <w:b/>
                <w:bCs/>
                <w:i/>
                <w:iCs/>
                <w:sz w:val="16"/>
                <w:szCs w:val="16"/>
              </w:rPr>
              <w:t>+360</w:t>
            </w:r>
          </w:p>
        </w:tc>
      </w:tr>
    </w:tbl>
    <w:p w:rsidR="002B6AED" w:rsidRPr="00800274" w:rsidRDefault="002B6AED">
      <w:pPr>
        <w:pStyle w:val="Rubrik1"/>
      </w:pPr>
      <w:r w:rsidRPr="00800274">
        <w:t>Motivering</w:t>
      </w:r>
    </w:p>
    <w:p w:rsidR="002B6AED" w:rsidRPr="00800274" w:rsidRDefault="002B6AED">
      <w:r w:rsidRPr="00800274">
        <w:t>Sverigedemokraterna tar situationen i vårt innanhav Östersjön på allvar – dels genom ett årligt, successivt ökande, tillskott på 200 miljoner kronor och dels genom att öka resurserna för att sanera och återställa förorenade områden med Östersjön som prioriterat område. Vi stärker även anslagen för åtgärder för att främja biologisk mångfald. Slutligen får Kemikalieinspektionen ökat anslag för att leva upp till vårt mål om att genomföra en radikal begränsning av kemiska tillsatser.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0274">
        <w:trPr>
          <w:cantSplit/>
        </w:trPr>
        <w:tc>
          <w:tcPr>
            <w:tcW w:w="3046" w:type="dxa"/>
          </w:tcPr>
          <w:p w:rsidR="002B6AED" w:rsidRPr="00800274" w:rsidRDefault="002B6AED">
            <w:pPr>
              <w:pStyle w:val="UnderskriftDatum"/>
              <w:spacing w:before="240"/>
            </w:pPr>
            <w:r w:rsidRPr="00800274">
              <w:t>Stockholm den 3 oktober 2011</w:t>
            </w:r>
          </w:p>
        </w:tc>
        <w:tc>
          <w:tcPr>
            <w:tcW w:w="3047" w:type="dxa"/>
          </w:tcPr>
          <w:p w:rsidR="002B6AED" w:rsidRPr="00800274" w:rsidRDefault="002B6AED">
            <w:pPr>
              <w:pStyle w:val="Underskrifter"/>
              <w:spacing w:before="240"/>
            </w:pPr>
          </w:p>
        </w:tc>
      </w:tr>
      <w:tr w:rsidR="00000000" w:rsidRPr="00800274">
        <w:trPr>
          <w:cantSplit/>
        </w:trPr>
        <w:tc>
          <w:tcPr>
            <w:tcW w:w="3046" w:type="dxa"/>
          </w:tcPr>
          <w:p w:rsidR="002B6AED" w:rsidRPr="00800274" w:rsidRDefault="002B6AED">
            <w:pPr>
              <w:pStyle w:val="Underskrifter"/>
            </w:pPr>
            <w:r w:rsidRPr="00800274">
              <w:t>Josef Fransson (SD)</w:t>
            </w:r>
          </w:p>
        </w:tc>
        <w:tc>
          <w:tcPr>
            <w:tcW w:w="3046" w:type="dxa"/>
          </w:tcPr>
          <w:p w:rsidR="002B6AED" w:rsidRPr="00800274" w:rsidRDefault="002B6AED">
            <w:pPr>
              <w:pStyle w:val="Underskrifter"/>
            </w:pPr>
          </w:p>
        </w:tc>
      </w:tr>
      <w:tr w:rsidR="00000000" w:rsidRPr="00800274">
        <w:trPr>
          <w:cantSplit/>
        </w:trPr>
        <w:tc>
          <w:tcPr>
            <w:tcW w:w="3046" w:type="dxa"/>
          </w:tcPr>
          <w:p w:rsidR="002B6AED" w:rsidRPr="00800274" w:rsidRDefault="002B6AED">
            <w:pPr>
              <w:pStyle w:val="Underskrifter"/>
            </w:pPr>
            <w:r w:rsidRPr="00800274">
              <w:t>Mikael Jansson (SD)</w:t>
            </w:r>
          </w:p>
        </w:tc>
        <w:tc>
          <w:tcPr>
            <w:tcW w:w="3046" w:type="dxa"/>
          </w:tcPr>
          <w:p w:rsidR="002B6AED" w:rsidRPr="00800274" w:rsidRDefault="002B6AED">
            <w:pPr>
              <w:pStyle w:val="Underskrifter"/>
            </w:pPr>
            <w:r w:rsidRPr="00800274">
              <w:t>Thoralf Alfsson (SD)</w:t>
            </w:r>
          </w:p>
        </w:tc>
      </w:tr>
    </w:tbl>
    <w:p w:rsidR="002B6AED" w:rsidRPr="00800274" w:rsidRDefault="002B6AED">
      <w:pPr>
        <w:pStyle w:val="Normaltindrag"/>
      </w:pPr>
    </w:p>
    <w:sectPr w:rsidR="002B6AED" w:rsidRPr="008002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6AED" w:rsidRPr="00800274" w:rsidRDefault="002B6AED">
      <w:r w:rsidRPr="00800274">
        <w:separator/>
      </w:r>
    </w:p>
  </w:endnote>
  <w:endnote w:type="continuationSeparator" w:id="0">
    <w:p w:rsidR="002B6AED" w:rsidRPr="00800274" w:rsidRDefault="002B6AED">
      <w:r w:rsidRPr="008002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AED" w:rsidRPr="00800274" w:rsidRDefault="00800274">
    <w:pPr>
      <w:pStyle w:val="Sidfot"/>
    </w:pPr>
    <w:r w:rsidRPr="008002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39721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AED" w:rsidRDefault="002B6AE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6AED" w:rsidRDefault="002B6AE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AED" w:rsidRPr="00800274" w:rsidRDefault="00800274">
    <w:pPr>
      <w:pStyle w:val="Sidfot"/>
    </w:pPr>
    <w:r w:rsidRPr="008002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39521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AED" w:rsidRDefault="002B6A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6AED" w:rsidRDefault="002B6A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AED" w:rsidRPr="00800274" w:rsidRDefault="00800274">
    <w:pPr>
      <w:pStyle w:val="Sidfot"/>
    </w:pPr>
    <w:r w:rsidRPr="008002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79614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AED" w:rsidRDefault="002B6A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6AED" w:rsidRDefault="002B6A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6AED" w:rsidRPr="00800274" w:rsidRDefault="002B6AED">
      <w:r w:rsidRPr="00800274">
        <w:separator/>
      </w:r>
    </w:p>
  </w:footnote>
  <w:footnote w:type="continuationSeparator" w:id="0">
    <w:p w:rsidR="002B6AED" w:rsidRPr="00800274" w:rsidRDefault="002B6AED">
      <w:r w:rsidRPr="008002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AED" w:rsidRPr="00800274" w:rsidRDefault="00800274">
    <w:pPr>
      <w:pStyle w:val="Sidhuvud"/>
    </w:pPr>
    <w:r w:rsidRPr="008002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21135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AED" w:rsidRDefault="002B6AE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6AED" w:rsidRDefault="002B6AE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AED" w:rsidRPr="00800274" w:rsidRDefault="00800274">
    <w:pPr>
      <w:pStyle w:val="Sidhuvud"/>
    </w:pPr>
    <w:r w:rsidRPr="008002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77501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AED" w:rsidRDefault="002B6AE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6AED" w:rsidRDefault="002B6AE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AED" w:rsidRPr="00800274" w:rsidRDefault="002B6AED">
    <w:pPr>
      <w:pStyle w:val="FSHNormal"/>
      <w:tabs>
        <w:tab w:val="right" w:pos="5840"/>
      </w:tabs>
    </w:pPr>
    <w:r w:rsidRPr="00800274">
      <w:br/>
    </w:r>
    <w:r w:rsidRPr="00800274">
      <w:fldChar w:fldCharType="begin" w:fldLock="1"/>
    </w:r>
    <w:r w:rsidRPr="00800274">
      <w:instrText xml:space="preserve"> DOCPROPERTY</w:instrText>
    </w:r>
    <w:r w:rsidRPr="00800274">
      <w:rPr>
        <w:sz w:val="18"/>
      </w:rPr>
      <w:instrText xml:space="preserve"> "YearUser" *\charformat </w:instrText>
    </w:r>
    <w:r w:rsidRPr="00800274">
      <w:fldChar w:fldCharType="separate"/>
    </w:r>
    <w:r w:rsidRPr="00800274">
      <w:t>2011/12</w:t>
    </w:r>
    <w:r w:rsidRPr="00800274">
      <w:fldChar w:fldCharType="end"/>
    </w:r>
    <w:r w:rsidRPr="00800274">
      <w:t xml:space="preserve"> </w:t>
    </w:r>
    <w:r w:rsidRPr="00800274">
      <w:tab/>
      <w:t xml:space="preserve">mnr: </w:t>
    </w:r>
    <w:r w:rsidRPr="00800274">
      <w:fldChar w:fldCharType="begin" w:fldLock="1"/>
    </w:r>
    <w:r w:rsidRPr="00800274">
      <w:instrText xml:space="preserve"> DOCPROPERTY</w:instrText>
    </w:r>
    <w:r w:rsidRPr="00800274">
      <w:rPr>
        <w:sz w:val="18"/>
      </w:rPr>
      <w:instrText xml:space="preserve"> "Motionsnummer" *\charformat </w:instrText>
    </w:r>
    <w:r w:rsidRPr="00800274">
      <w:fldChar w:fldCharType="separate"/>
    </w:r>
    <w:r w:rsidRPr="00800274">
      <w:t>MJ475</w:t>
    </w:r>
    <w:r w:rsidRPr="00800274">
      <w:fldChar w:fldCharType="end"/>
    </w:r>
    <w:r w:rsidRPr="00800274">
      <w:br/>
    </w:r>
    <w:r w:rsidRPr="00800274">
      <w:fldChar w:fldCharType="begin" w:fldLock="1"/>
    </w:r>
    <w:r w:rsidRPr="00800274">
      <w:instrText xml:space="preserve"> DOCPROPERTY</w:instrText>
    </w:r>
    <w:r w:rsidRPr="00800274">
      <w:rPr>
        <w:sz w:val="18"/>
      </w:rPr>
      <w:instrText xml:space="preserve"> "Samling" *\charformat </w:instrText>
    </w:r>
    <w:r w:rsidRPr="00800274">
      <w:fldChar w:fldCharType="end"/>
    </w:r>
    <w:r w:rsidRPr="00800274">
      <w:tab/>
      <w:t xml:space="preserve">pnr: </w:t>
    </w:r>
    <w:r w:rsidRPr="00800274">
      <w:fldChar w:fldCharType="begin" w:fldLock="1"/>
    </w:r>
    <w:r w:rsidRPr="00800274">
      <w:instrText xml:space="preserve"> DOCPROPERTY</w:instrText>
    </w:r>
    <w:r w:rsidRPr="00800274">
      <w:rPr>
        <w:sz w:val="18"/>
      </w:rPr>
      <w:instrText xml:space="preserve"> "Partinummer" *\charformat </w:instrText>
    </w:r>
    <w:r w:rsidRPr="00800274">
      <w:fldChar w:fldCharType="separate"/>
    </w:r>
    <w:r w:rsidRPr="00800274">
      <w:t>SD270</w:t>
    </w:r>
    <w:r w:rsidRPr="00800274">
      <w:fldChar w:fldCharType="end"/>
    </w:r>
  </w:p>
  <w:p w:rsidR="002B6AED" w:rsidRPr="00800274" w:rsidRDefault="002B6AED">
    <w:pPr>
      <w:pStyle w:val="FSHRub1"/>
    </w:pPr>
    <w:r w:rsidRPr="00800274">
      <w:t>Motion till riksdagen</w:t>
    </w:r>
    <w:r w:rsidRPr="00800274">
      <w:br/>
    </w:r>
    <w:r w:rsidRPr="00800274">
      <w:fldChar w:fldCharType="begin" w:fldLock="1"/>
    </w:r>
    <w:r w:rsidRPr="00800274">
      <w:instrText xml:space="preserve"> DOCPROPERTY "YearUser" *\charformat </w:instrText>
    </w:r>
    <w:r w:rsidRPr="00800274">
      <w:fldChar w:fldCharType="separate"/>
    </w:r>
    <w:r w:rsidRPr="00800274">
      <w:t>2011/12</w:t>
    </w:r>
    <w:r w:rsidRPr="00800274">
      <w:fldChar w:fldCharType="end"/>
    </w:r>
    <w:r w:rsidRPr="00800274">
      <w:t>:</w:t>
    </w:r>
    <w:r w:rsidRPr="00800274">
      <w:fldChar w:fldCharType="begin" w:fldLock="1"/>
    </w:r>
    <w:r w:rsidRPr="00800274">
      <w:instrText xml:space="preserve"> DOCPROPERTY "Motionsnummer" *\charformat </w:instrText>
    </w:r>
    <w:r w:rsidRPr="00800274">
      <w:fldChar w:fldCharType="separate"/>
    </w:r>
    <w:r w:rsidRPr="00800274">
      <w:t>MJ475</w:t>
    </w:r>
    <w:r w:rsidRPr="00800274">
      <w:fldChar w:fldCharType="end"/>
    </w:r>
  </w:p>
  <w:p w:rsidR="002B6AED" w:rsidRPr="00800274" w:rsidRDefault="002B6AED">
    <w:pPr>
      <w:pStyle w:val="FSHNormalS5"/>
    </w:pPr>
    <w:r w:rsidRPr="00800274">
      <w:fldChar w:fldCharType="begin" w:fldLock="1"/>
    </w:r>
    <w:r w:rsidRPr="00800274">
      <w:instrText xml:space="preserve"> DOCPROPERTY "MotionarText" *\charformat </w:instrText>
    </w:r>
    <w:r w:rsidRPr="00800274">
      <w:fldChar w:fldCharType="separate"/>
    </w:r>
    <w:r w:rsidRPr="00800274">
      <w:t>av Josef Fransson m.fl. (SD)</w:t>
    </w:r>
    <w:r w:rsidRPr="00800274">
      <w:fldChar w:fldCharType="end"/>
    </w:r>
    <w:r w:rsidRPr="00800274">
      <w:br/>
    </w:r>
    <w:r w:rsidRPr="00800274">
      <w:fldChar w:fldCharType="begin" w:fldLock="1"/>
    </w:r>
    <w:r w:rsidRPr="00800274">
      <w:instrText xml:space="preserve"> DOCPROPERTY "SvarFrasKort" *\charformat </w:instrText>
    </w:r>
    <w:r w:rsidRPr="00800274">
      <w:fldChar w:fldCharType="end"/>
    </w:r>
  </w:p>
  <w:p w:rsidR="002B6AED" w:rsidRPr="00800274" w:rsidRDefault="002B6AED">
    <w:pPr>
      <w:pStyle w:val="FSHTitel"/>
    </w:pPr>
    <w:r w:rsidRPr="00800274">
      <w:fldChar w:fldCharType="begin" w:fldLock="1"/>
    </w:r>
    <w:r w:rsidRPr="00800274">
      <w:instrText xml:space="preserve"> DOCPROPERTY</w:instrText>
    </w:r>
    <w:r w:rsidRPr="00800274">
      <w:rPr>
        <w:sz w:val="18"/>
      </w:rPr>
      <w:instrText xml:space="preserve"> "RubrikSvar" *\charformat </w:instrText>
    </w:r>
    <w:r w:rsidRPr="00800274">
      <w:fldChar w:fldCharType="separate"/>
    </w:r>
    <w:r w:rsidRPr="00800274">
      <w:t>Utgiftsområde 20 Allmän miljö- och naturvård</w:t>
    </w:r>
    <w:r w:rsidRPr="00800274">
      <w:fldChar w:fldCharType="end"/>
    </w:r>
  </w:p>
  <w:p w:rsidR="002B6AED" w:rsidRPr="00800274" w:rsidRDefault="002B6AED">
    <w:pPr>
      <w:pStyle w:val="Normal00"/>
    </w:pPr>
  </w:p>
  <w:p w:rsidR="002B6AED" w:rsidRPr="00800274" w:rsidRDefault="002B6A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2E17EFF"/>
    <w:multiLevelType w:val="hybridMultilevel"/>
    <w:tmpl w:val="B0D095DC"/>
    <w:lvl w:ilvl="0" w:tplc="47D06C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25458261">
    <w:abstractNumId w:val="3"/>
  </w:num>
  <w:num w:numId="2" w16cid:durableId="255215313">
    <w:abstractNumId w:val="2"/>
  </w:num>
  <w:num w:numId="3" w16cid:durableId="199439909">
    <w:abstractNumId w:val="1"/>
  </w:num>
  <w:num w:numId="4" w16cid:durableId="1784493962">
    <w:abstractNumId w:val="0"/>
  </w:num>
  <w:num w:numId="5" w16cid:durableId="1492679269">
    <w:abstractNumId w:val="7"/>
  </w:num>
  <w:num w:numId="6" w16cid:durableId="882593865">
    <w:abstractNumId w:val="6"/>
  </w:num>
  <w:num w:numId="7" w16cid:durableId="1259630763">
    <w:abstractNumId w:val="5"/>
  </w:num>
  <w:num w:numId="8" w16cid:durableId="700933962">
    <w:abstractNumId w:val="4"/>
  </w:num>
  <w:num w:numId="9" w16cid:durableId="1462646225">
    <w:abstractNumId w:val="8"/>
  </w:num>
  <w:num w:numId="10" w16cid:durableId="1546410531">
    <w:abstractNumId w:val="9"/>
  </w:num>
  <w:num w:numId="11" w16cid:durableId="974874523">
    <w:abstractNumId w:val="10"/>
  </w:num>
  <w:num w:numId="12" w16cid:durableId="2142994049">
    <w:abstractNumId w:val="13"/>
  </w:num>
  <w:num w:numId="13" w16cid:durableId="1890993218">
    <w:abstractNumId w:val="15"/>
  </w:num>
  <w:num w:numId="14" w16cid:durableId="1263488171">
    <w:abstractNumId w:val="16"/>
  </w:num>
  <w:num w:numId="15" w16cid:durableId="325285949">
    <w:abstractNumId w:val="11"/>
  </w:num>
  <w:num w:numId="16" w16cid:durableId="406651839">
    <w:abstractNumId w:val="19"/>
  </w:num>
  <w:num w:numId="17" w16cid:durableId="1948731983">
    <w:abstractNumId w:val="17"/>
  </w:num>
  <w:num w:numId="18" w16cid:durableId="2060739685">
    <w:abstractNumId w:val="14"/>
  </w:num>
  <w:num w:numId="19" w16cid:durableId="1418281967">
    <w:abstractNumId w:val="12"/>
  </w:num>
  <w:num w:numId="20" w16cid:durableId="20930457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491B6133-BA6C-4CF0-8568-EAFCE78CCE82},{3D217574-0DDF-4581-95BF-BB95138898CF},{E777D43E-410F-4BC9-BB70-4814C6DA875C}"/>
  </w:docVars>
  <w:rsids>
    <w:rsidRoot w:val="00E9107D"/>
    <w:rsid w:val="002B6AED"/>
    <w:rsid w:val="00800274"/>
    <w:rsid w:val="00E910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4F0291-7738-404D-90CF-F0B33C8E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869</Characters>
  <Application>Microsoft Office Word</Application>
  <DocSecurity>4</DocSecurity>
  <Lines>37</Lines>
  <Paragraphs>28</Paragraphs>
  <ScaleCrop>false</ScaleCrop>
  <HeadingPairs>
    <vt:vector size="2" baseType="variant">
      <vt:variant>
        <vt:lpstr>Rubrik</vt:lpstr>
      </vt:variant>
      <vt:variant>
        <vt:i4>1</vt:i4>
      </vt:variant>
    </vt:vector>
  </HeadingPairs>
  <TitlesOfParts>
    <vt:vector size="1" baseType="lpstr">
      <vt:lpstr>SD270</vt:lpstr>
    </vt:vector>
  </TitlesOfParts>
  <Company>Riksdagen</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SD270</dc:title>
  <dc:subject>SD270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2011-11-03T14:43:00Z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20 Allmän miljö- och naturvård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20 Allmän miljö- och naturvård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SD270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Josef Fransson m.fl. (SD)</vt:lpwstr>
  </property>
  <property fmtid="{D5CDD505-2E9C-101B-9397-08002B2CF9AE}" pid="26" name="MotionarLista">
    <vt:lpwstr>Fransson, Josef (SD)\Jansson, Mikael (SD)\Alfsson, Thoralf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 Fransson (SD), Mikael Jansson (SD), Thoralf Alfsson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MJ475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20112012000000830068000002700075</vt:lpwstr>
  </property>
  <property fmtid="{D5CDD505-2E9C-101B-9397-08002B2CF9AE}" pid="47" name="datum">
    <vt:lpwstr>111003</vt:lpwstr>
  </property>
  <property fmtid="{D5CDD505-2E9C-101B-9397-08002B2CF9AE}" pid="48" name="avsändar-e-post">
    <vt:lpwstr>paula.bieler@riksdagen.se</vt:lpwstr>
  </property>
  <property fmtid="{D5CDD505-2E9C-101B-9397-08002B2CF9AE}" pid="49" name="id">
    <vt:lpwstr>20112012000000830068000002700075</vt:lpwstr>
  </property>
  <property fmtid="{D5CDD505-2E9C-101B-9397-08002B2CF9AE}" pid="50" name="nummer">
    <vt:lpwstr>475</vt:lpwstr>
  </property>
  <property fmtid="{D5CDD505-2E9C-101B-9397-08002B2CF9AE}" pid="51" name="utskottsbeteckning">
    <vt:lpwstr>MJ</vt:lpwstr>
  </property>
  <property fmtid="{D5CDD505-2E9C-101B-9397-08002B2CF9AE}" pid="52" name="GlobalUID">
    <vt:lpwstr>{E0AB117A-BD41-4FDA-AC79-DE50438BE8ED}</vt:lpwstr>
  </property>
  <property fmtid="{D5CDD505-2E9C-101B-9397-08002B2CF9AE}" pid="53" name="Överföringar">
    <vt:i4>0</vt:i4>
  </property>
  <property fmtid="{D5CDD505-2E9C-101B-9397-08002B2CF9AE}" pid="54" name="Checksum">
    <vt:lpwstr>*0002436886036*</vt:lpwstr>
  </property>
  <property fmtid="{D5CDD505-2E9C-101B-9397-08002B2CF9AE}" pid="55" name="skuggnummer">
    <vt:lpwstr>3172</vt:lpwstr>
  </property>
  <property fmtid="{D5CDD505-2E9C-101B-9397-08002B2CF9AE}" pid="56" name="urixVersion">
    <vt:lpwstr>4.5.0.25</vt:lpwstr>
  </property>
  <property fmtid="{D5CDD505-2E9C-101B-9397-08002B2CF9AE}" pid="57" name="urixOrigin">
    <vt:lpwstr>111123 14:51:38.573</vt:lpwstr>
  </property>
  <property fmtid="{D5CDD505-2E9C-101B-9397-08002B2CF9AE}" pid="58" name="urixGuid">
    <vt:lpwstr>{2974D900-404B-4EEE-927E-A788EE9DB67D}</vt:lpwstr>
  </property>
</Properties>
</file>