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98697C5C8A54BD1B38491E21226DAD5"/>
        </w:placeholder>
        <w15:appearance w15:val="hidden"/>
        <w:text/>
      </w:sdtPr>
      <w:sdtEndPr/>
      <w:sdtContent>
        <w:p w:rsidRPr="009B062B" w:rsidR="00AF30DD" w:rsidP="009B062B" w:rsidRDefault="00AF30DD" w14:paraId="663FA64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1fd9ab4-4b26-4003-b446-c5fa7e1c9bc9"/>
        <w:id w:val="-591476280"/>
        <w:lock w:val="sdtLocked"/>
      </w:sdtPr>
      <w:sdtEndPr/>
      <w:sdtContent>
        <w:p w:rsidR="0027273C" w:rsidRDefault="00DE4A9A" w14:paraId="663FA641" w14:textId="39AE8AE7">
          <w:pPr>
            <w:pStyle w:val="Frslagstext"/>
            <w:numPr>
              <w:ilvl w:val="0"/>
              <w:numId w:val="0"/>
            </w:numPr>
          </w:pPr>
          <w:r>
            <w:t>Riksdagen avslår regeringens proposition 2017/18:18 Läsa, skriva, räkna – en åtgärdsgaranti.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3B0B88B1C54A508ADECFE3A247EAD0"/>
        </w:placeholder>
        <w15:appearance w15:val="hidden"/>
        <w:text/>
      </w:sdtPr>
      <w:sdtEndPr/>
      <w:sdtContent>
        <w:p w:rsidRPr="009B062B" w:rsidR="006D79C9" w:rsidP="00333E95" w:rsidRDefault="006D79C9" w14:paraId="663FA642" w14:textId="77777777">
          <w:pPr>
            <w:pStyle w:val="Rubrik1"/>
          </w:pPr>
          <w:r>
            <w:t>Motivering</w:t>
          </w:r>
        </w:p>
      </w:sdtContent>
    </w:sdt>
    <w:p w:rsidR="0065185F" w:rsidP="00185526" w:rsidRDefault="000A3061" w14:paraId="663FA643" w14:textId="1416D659">
      <w:pPr>
        <w:pStyle w:val="Normalutanindragellerluft"/>
      </w:pPr>
      <w:r>
        <w:t xml:space="preserve">Syftet med den åtgärdsgaranti som föreslås i propositionen, </w:t>
      </w:r>
      <w:r w:rsidR="00FF70F4">
        <w:t>dvs.</w:t>
      </w:r>
      <w:r>
        <w:t xml:space="preserve"> att en elev som är i behov av stöd tidigt ska få detta utformat utifrån sitt behov, är mycket lovvärt. </w:t>
      </w:r>
    </w:p>
    <w:p w:rsidR="000A3061" w:rsidP="00185526" w:rsidRDefault="0065185F" w14:paraId="663FA644" w14:textId="77777777">
      <w:r>
        <w:t>Vi</w:t>
      </w:r>
      <w:r w:rsidR="000A3061">
        <w:t xml:space="preserve"> menar </w:t>
      </w:r>
      <w:r>
        <w:t>tillsammans med en rad remissinstanser att lagförslaget</w:t>
      </w:r>
      <w:r w:rsidR="000A3061">
        <w:t xml:space="preserve"> inte </w:t>
      </w:r>
      <w:r>
        <w:t xml:space="preserve">kommer </w:t>
      </w:r>
      <w:r w:rsidR="000A3061">
        <w:t>få avsedd effekt så som det nu är utformat.</w:t>
      </w:r>
    </w:p>
    <w:p w:rsidR="000A3061" w:rsidP="00824260" w:rsidRDefault="0065185F" w14:paraId="663FA645" w14:textId="36A890FE">
      <w:r>
        <w:t>Vi</w:t>
      </w:r>
      <w:r w:rsidR="000A3061">
        <w:t xml:space="preserve"> befarar att införandet av åtgärdsgarantin kan bli ytterligare en pålaga som riskerar att bidra till en fokusering på processen och skapa mer adminis</w:t>
      </w:r>
      <w:r>
        <w:t>tration i skolan. Vi anser att</w:t>
      </w:r>
      <w:r w:rsidR="000A3061">
        <w:t xml:space="preserve"> det fokuseras för mycket på processen, i</w:t>
      </w:r>
      <w:r w:rsidR="00FF70F4">
        <w:t xml:space="preserve"> </w:t>
      </w:r>
      <w:r w:rsidR="000A3061">
        <w:t xml:space="preserve">stället för innehållet i </w:t>
      </w:r>
      <w:r>
        <w:t>undervisning</w:t>
      </w:r>
      <w:r w:rsidR="00FF70F4">
        <w:t>en</w:t>
      </w:r>
      <w:r>
        <w:t xml:space="preserve"> och stödåtgärderna.</w:t>
      </w:r>
      <w:r w:rsidR="000A3061">
        <w:t xml:space="preserve"> </w:t>
      </w:r>
      <w:r>
        <w:t>Detta</w:t>
      </w:r>
      <w:r w:rsidR="000A3061">
        <w:t xml:space="preserve"> kommer</w:t>
      </w:r>
      <w:r>
        <w:t xml:space="preserve"> drabba eleverna negativt</w:t>
      </w:r>
      <w:r w:rsidR="000A3061">
        <w:t>.</w:t>
      </w:r>
    </w:p>
    <w:p w:rsidR="000A3061" w:rsidP="00824260" w:rsidRDefault="000A3061" w14:paraId="663FA646" w14:textId="7CB5E3BE">
      <w:r>
        <w:t xml:space="preserve">Vidare finns det redan i </w:t>
      </w:r>
      <w:r w:rsidR="00FF70F4">
        <w:t>3 kap. skollagen</w:t>
      </w:r>
      <w:r w:rsidR="008D6A6D">
        <w:t xml:space="preserve"> en</w:t>
      </w:r>
      <w:r>
        <w:t xml:space="preserve"> skrivning om att det ska finnas specialpedagogisk kompetens i skolan.</w:t>
      </w:r>
    </w:p>
    <w:p w:rsidR="000A3061" w:rsidP="000A3061" w:rsidRDefault="0065185F" w14:paraId="663FA647" w14:textId="57E78B7A">
      <w:pPr>
        <w:pStyle w:val="Normalutanindragellerluft"/>
      </w:pPr>
      <w:r>
        <w:t>Skolverket betonar i sitt remissvar</w:t>
      </w:r>
      <w:r w:rsidR="000A3061">
        <w:t xml:space="preserve"> att ”</w:t>
      </w:r>
      <w:r w:rsidR="00FF70F4">
        <w:t>e</w:t>
      </w:r>
      <w:r w:rsidR="000A3061">
        <w:t xml:space="preserve">nligt Skolverket är det i nu gällande lagstiftning tydligt att eleverna har sådana rättigheter”. </w:t>
      </w:r>
    </w:p>
    <w:p w:rsidR="000A3061" w:rsidP="00824260" w:rsidRDefault="000A3061" w14:paraId="663FA649" w14:textId="076B01DD">
      <w:r>
        <w:t xml:space="preserve">Enligt förslaget ska garantin anses vara uppfylld om huvudmännen och skolorna har följt arbetsgången som beskrivs i bestämmelsen. Vi är kritiska till detta eftersom vi </w:t>
      </w:r>
      <w:bookmarkStart w:name="_GoBack" w:id="1"/>
      <w:bookmarkEnd w:id="1"/>
      <w:r>
        <w:t>menar att det faktum att man följer en arbetsgång inte är en garanti för att tillräckligt med stöd och insatser finns till</w:t>
      </w:r>
      <w:r w:rsidR="00E03B5D">
        <w:t xml:space="preserve"> </w:t>
      </w:r>
      <w:r>
        <w:t>hands.</w:t>
      </w:r>
    </w:p>
    <w:p w:rsidR="0065185F" w:rsidP="00824260" w:rsidRDefault="000A3061" w14:paraId="663FA64A" w14:textId="77777777">
      <w:r>
        <w:t>Vidare anser vi att den föreslagna åtgärdsgarantin kommer att kräva stora insatser för att motverka bristen på speciallärare och specialpedagoger.</w:t>
      </w:r>
    </w:p>
    <w:p w:rsidR="000A3061" w:rsidP="00824260" w:rsidRDefault="000A3061" w14:paraId="663FA64B" w14:textId="77777777">
      <w:r>
        <w:t>Vi menar att risken finns för att implementeringen av åtgärdsgarantin inte kommer att lyckas om man inte kan anställa tillräckligt med personal med rätt kompetens.</w:t>
      </w:r>
    </w:p>
    <w:p w:rsidR="000A3061" w:rsidP="00824260" w:rsidRDefault="000A3061" w14:paraId="663FA64C" w14:textId="105F1B81">
      <w:r>
        <w:t xml:space="preserve">Åtgärdsgarantin i sig är bra och intentionerna är goda. Så som den föreslagna garantin är formulerad är den tämligen tandlös eftersom det anses vara tillräckligt att </w:t>
      </w:r>
      <w:r>
        <w:lastRenderedPageBreak/>
        <w:t>man har följt den föreslagna processen för att garantin ska anses vara uppfylld. Vi menar att man i</w:t>
      </w:r>
      <w:r w:rsidR="00E03B5D">
        <w:t xml:space="preserve"> </w:t>
      </w:r>
      <w:r>
        <w:t>stället borde ha konstaterat att eleven i</w:t>
      </w:r>
      <w:r w:rsidR="00E03B5D">
        <w:t xml:space="preserve"> </w:t>
      </w:r>
      <w:r>
        <w:t>fråga som är i behov av stöd faktiskt har fått konkret hjälp och stöd utifrån sina behov. Vi delar därfö</w:t>
      </w:r>
      <w:r w:rsidR="00E03B5D">
        <w:t xml:space="preserve">r Skolverkets ståndpunkt </w:t>
      </w:r>
      <w:r>
        <w:t xml:space="preserve">att </w:t>
      </w:r>
      <w:r w:rsidR="00E03B5D">
        <w:t>mer</w:t>
      </w:r>
      <w:r>
        <w:t xml:space="preserve"> stöd till huvudmän, rektorer, lärare och förskollärare vore att föredra framför ytterligare detaljreglering av processen för hur stöd ska ges.</w:t>
      </w:r>
    </w:p>
    <w:p w:rsidR="00652B73" w:rsidP="00824260" w:rsidRDefault="000A3061" w14:paraId="663FA64E" w14:textId="77777777">
      <w:r>
        <w:t>Mot denna bakgrund avstyrker vi lagförslaget om en åtgärdsgaranti även om vi delar intentionerna avseende vikten av att sätta in stödet tidigt.</w:t>
      </w:r>
    </w:p>
    <w:p w:rsidRPr="00881181" w:rsidR="00881181" w:rsidP="00881181" w:rsidRDefault="00881181" w14:paraId="663FA64F" w14:textId="77777777"/>
    <w:sdt>
      <w:sdtPr>
        <w:alias w:val="CC_Underskrifter"/>
        <w:tag w:val="CC_Underskrifter"/>
        <w:id w:val="583496634"/>
        <w:lock w:val="sdtContentLocked"/>
        <w:placeholder>
          <w:docPart w:val="BF2943E5C7C9469BB672D110520C597B"/>
        </w:placeholder>
        <w15:appearance w15:val="hidden"/>
      </w:sdtPr>
      <w:sdtEndPr/>
      <w:sdtContent>
        <w:p w:rsidR="004801AC" w:rsidP="007E0A97" w:rsidRDefault="008D6A6D" w14:paraId="663FA65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031E43" w:rsidRDefault="00031E43" w14:paraId="663FA654" w14:textId="77777777"/>
    <w:sectPr w:rsidR="00031E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FA656" w14:textId="77777777" w:rsidR="00740D65" w:rsidRDefault="00740D65" w:rsidP="000C1CAD">
      <w:pPr>
        <w:spacing w:line="240" w:lineRule="auto"/>
      </w:pPr>
      <w:r>
        <w:separator/>
      </w:r>
    </w:p>
  </w:endnote>
  <w:endnote w:type="continuationSeparator" w:id="0">
    <w:p w14:paraId="663FA657" w14:textId="77777777" w:rsidR="00740D65" w:rsidRDefault="00740D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FA65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FA65D" w14:textId="01F0061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D6A6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FA654" w14:textId="77777777" w:rsidR="00740D65" w:rsidRDefault="00740D65" w:rsidP="000C1CAD">
      <w:pPr>
        <w:spacing w:line="240" w:lineRule="auto"/>
      </w:pPr>
      <w:r>
        <w:separator/>
      </w:r>
    </w:p>
  </w:footnote>
  <w:footnote w:type="continuationSeparator" w:id="0">
    <w:p w14:paraId="663FA655" w14:textId="77777777" w:rsidR="00740D65" w:rsidRDefault="00740D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63FA65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3FA667" wp14:anchorId="663FA6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D6A6D" w14:paraId="663FA66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FA951ACBC5499AB87E72EE02F69D42"/>
                              </w:placeholder>
                              <w:text/>
                            </w:sdtPr>
                            <w:sdtEndPr/>
                            <w:sdtContent>
                              <w:r w:rsidR="000A306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04C9996BFC4CA6AAC3F6274C98B75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63FA6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85526" w14:paraId="663FA66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FA951ACBC5499AB87E72EE02F69D42"/>
                        </w:placeholder>
                        <w:text/>
                      </w:sdtPr>
                      <w:sdtEndPr/>
                      <w:sdtContent>
                        <w:r w:rsidR="000A306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04C9996BFC4CA6AAC3F6274C98B758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63FA65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D6A6D" w14:paraId="663FA65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F04C9996BFC4CA6AAC3F6274C98B758"/>
        </w:placeholder>
        <w:text/>
      </w:sdtPr>
      <w:sdtEndPr/>
      <w:sdtContent>
        <w:r w:rsidR="000A3061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63FA6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D6A6D" w14:paraId="663FA65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A306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8D6A6D" w14:paraId="663FA65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D6A6D" w14:paraId="663FA66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D6A6D" w14:paraId="663FA66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:3906</w:t>
        </w:r>
      </w:sdtContent>
    </w:sdt>
  </w:p>
  <w:p w:rsidR="004F35FE" w:rsidP="00E03A3D" w:rsidRDefault="008D6A6D" w14:paraId="663FA66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E4A9A" w14:paraId="663FA663" w14:textId="28B4D95B">
        <w:pPr>
          <w:pStyle w:val="FSHRub2"/>
        </w:pPr>
        <w:r>
          <w:t>med anledning av prop. 2017/18:18 Läsa, skriva, räkna – en åtgärdsgaranti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63FA6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1B8E7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124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08D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F0EB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6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1E43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061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526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273C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85F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602F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0D65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A97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60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D6A6D"/>
    <w:rsid w:val="008D77E8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3FAB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43A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0499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4A9A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B5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B0B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8FD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0F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3FA63F"/>
  <w15:chartTrackingRefBased/>
  <w15:docId w15:val="{76A75020-53A5-4DD9-8765-D8110409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8697C5C8A54BD1B38491E21226D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7FB422-621A-40C0-BAAC-978214F3B5BF}"/>
      </w:docPartPr>
      <w:docPartBody>
        <w:p w:rsidR="00AE736F" w:rsidRDefault="00132D9E">
          <w:pPr>
            <w:pStyle w:val="A98697C5C8A54BD1B38491E21226DA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3B0B88B1C54A508ADECFE3A247EA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31E64-8CD5-401A-BAD6-86841C7672B5}"/>
      </w:docPartPr>
      <w:docPartBody>
        <w:p w:rsidR="00AE736F" w:rsidRDefault="00132D9E">
          <w:pPr>
            <w:pStyle w:val="F23B0B88B1C54A508ADECFE3A247EA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2943E5C7C9469BB672D110520C59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F53B2-5104-4010-B73D-DF106044939F}"/>
      </w:docPartPr>
      <w:docPartBody>
        <w:p w:rsidR="00AE736F" w:rsidRDefault="00132D9E">
          <w:pPr>
            <w:pStyle w:val="BF2943E5C7C9469BB672D110520C597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27FA951ACBC5499AB87E72EE02F69D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3B7A9-AF07-454B-B797-B2F450DE931D}"/>
      </w:docPartPr>
      <w:docPartBody>
        <w:p w:rsidR="00AE736F" w:rsidRDefault="00132D9E">
          <w:pPr>
            <w:pStyle w:val="27FA951ACBC5499AB87E72EE02F69D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04C9996BFC4CA6AAC3F6274C98B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D9808-B27B-41D0-93E8-CA33BA84C033}"/>
      </w:docPartPr>
      <w:docPartBody>
        <w:p w:rsidR="00AE736F" w:rsidRDefault="00132D9E">
          <w:pPr>
            <w:pStyle w:val="1F04C9996BFC4CA6AAC3F6274C98B75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9E"/>
    <w:rsid w:val="00132D9E"/>
    <w:rsid w:val="00AE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8697C5C8A54BD1B38491E21226DAD5">
    <w:name w:val="A98697C5C8A54BD1B38491E21226DAD5"/>
  </w:style>
  <w:style w:type="paragraph" w:customStyle="1" w:styleId="BD50592F8CA94048AF4C44DFD2307A65">
    <w:name w:val="BD50592F8CA94048AF4C44DFD2307A65"/>
  </w:style>
  <w:style w:type="paragraph" w:customStyle="1" w:styleId="67BE14266CDB4118AE8BEFDE474CE6AF">
    <w:name w:val="67BE14266CDB4118AE8BEFDE474CE6AF"/>
  </w:style>
  <w:style w:type="paragraph" w:customStyle="1" w:styleId="F23B0B88B1C54A508ADECFE3A247EAD0">
    <w:name w:val="F23B0B88B1C54A508ADECFE3A247EAD0"/>
  </w:style>
  <w:style w:type="paragraph" w:customStyle="1" w:styleId="BF2943E5C7C9469BB672D110520C597B">
    <w:name w:val="BF2943E5C7C9469BB672D110520C597B"/>
  </w:style>
  <w:style w:type="paragraph" w:customStyle="1" w:styleId="27FA951ACBC5499AB87E72EE02F69D42">
    <w:name w:val="27FA951ACBC5499AB87E72EE02F69D42"/>
  </w:style>
  <w:style w:type="paragraph" w:customStyle="1" w:styleId="1F04C9996BFC4CA6AAC3F6274C98B758">
    <w:name w:val="1F04C9996BFC4CA6AAC3F6274C98B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AAE2E-0116-43F2-B843-81F436A84C07}"/>
</file>

<file path=customXml/itemProps2.xml><?xml version="1.0" encoding="utf-8"?>
<ds:datastoreItem xmlns:ds="http://schemas.openxmlformats.org/officeDocument/2006/customXml" ds:itemID="{BA60B4C5-454A-43F1-BC29-6A0C9B38BE65}"/>
</file>

<file path=customXml/itemProps3.xml><?xml version="1.0" encoding="utf-8"?>
<ds:datastoreItem xmlns:ds="http://schemas.openxmlformats.org/officeDocument/2006/customXml" ds:itemID="{13CEAFAC-3645-458E-AB26-6D94DF0F7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368</Words>
  <Characters>2030</Characters>
  <Application>Microsoft Office Word</Application>
  <DocSecurity>0</DocSecurity>
  <Lines>37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Läsa  skriva räkna  en åtgärdsgaranti</vt:lpstr>
      <vt:lpstr>
      </vt:lpstr>
    </vt:vector>
  </TitlesOfParts>
  <Company>Sveriges riksdag</Company>
  <LinksUpToDate>false</LinksUpToDate>
  <CharactersWithSpaces>2381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