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C28AB">
        <w:tblPrEx>
          <w:tblCellMar>
            <w:top w:w="0" w:type="dxa"/>
            <w:bottom w:w="0" w:type="dxa"/>
          </w:tblCellMar>
        </w:tblPrEx>
        <w:trPr>
          <w:cantSplit/>
          <w:trHeight w:hRule="exact" w:val="1260"/>
        </w:trPr>
        <w:tc>
          <w:tcPr>
            <w:tcW w:w="6024" w:type="dxa"/>
            <w:gridSpan w:val="2"/>
            <w:vMerge w:val="restart"/>
          </w:tcPr>
          <w:p w:rsidR="00400BE2" w:rsidRPr="00EC28AB" w:rsidRDefault="00400BE2">
            <w:pPr>
              <w:pStyle w:val="HuvudRubrik"/>
            </w:pPr>
            <w:bookmarkStart w:id="0" w:name="BetänkandeRubrik"/>
            <w:bookmarkEnd w:id="0"/>
            <w:r w:rsidRPr="00EC28AB">
              <w:t>Finansutskottets yttrande</w:t>
            </w:r>
            <w:r w:rsidR="00EC28AB" w:rsidRPr="00EC28A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18012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00BE2" w:rsidRPr="00EC28AB" w:rsidRDefault="00400BE2">
                                  <w:pPr>
                                    <w:pStyle w:val="Logo"/>
                                  </w:pPr>
                                  <w:r w:rsidRPr="00EC28A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7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00BE2" w:rsidRPr="00EC28AB" w:rsidRDefault="00400BE2">
                            <w:pPr>
                              <w:pStyle w:val="Logo"/>
                            </w:pPr>
                            <w:r w:rsidRPr="00EC28AB">
                              <w:object w:dxaOrig="840" w:dyaOrig="1545">
                                <v:shape id="_x0000_i1025" type="#_x0000_t75" style="width:90.45pt;height:77.15pt" fillcolor="window">
                                  <v:imagedata r:id="rId7" o:title="" cropright="-75835f"/>
                                </v:shape>
                                <o:OLEObject Type="Embed" ProgID="Word.Picture.8" ShapeID="_x0000_i1025" DrawAspect="Content" ObjectID="_1827347476" r:id="rId9"/>
                              </w:object>
                            </w:r>
                          </w:p>
                        </w:txbxContent>
                      </v:textbox>
                      <w10:wrap anchorx="page" anchory="page"/>
                    </v:shape>
                  </w:pict>
                </mc:Fallback>
              </mc:AlternateContent>
            </w:r>
          </w:p>
          <w:p w:rsidR="00400BE2" w:rsidRPr="00EC28AB" w:rsidRDefault="00400BE2">
            <w:pPr>
              <w:pStyle w:val="HuvudRubrikRad2"/>
            </w:pPr>
            <w:bookmarkStart w:id="17" w:name="BetänkandeNr"/>
            <w:bookmarkEnd w:id="17"/>
            <w:r w:rsidRPr="00EC28AB">
              <w:t>1999/2000:FiU3y</w:t>
            </w:r>
          </w:p>
          <w:p w:rsidR="00400BE2" w:rsidRPr="00EC28AB" w:rsidRDefault="00400BE2">
            <w:pPr>
              <w:pStyle w:val="BetnkandeRubrik"/>
            </w:pPr>
            <w:bookmarkStart w:id="18" w:name="Huvudrubrik"/>
            <w:bookmarkEnd w:id="18"/>
            <w:r w:rsidRPr="00EC28AB">
              <w:t>Verksamheten i Europeiska unionen under 1999 (skr. 1999/2000:60)</w:t>
            </w:r>
          </w:p>
        </w:tc>
        <w:tc>
          <w:tcPr>
            <w:tcW w:w="1559" w:type="dxa"/>
            <w:tcBorders>
              <w:bottom w:val="nil"/>
            </w:tcBorders>
          </w:tcPr>
          <w:p w:rsidR="00400BE2" w:rsidRPr="00EC28AB" w:rsidRDefault="00400BE2">
            <w:pPr>
              <w:spacing w:before="0" w:line="230" w:lineRule="auto"/>
              <w:rPr>
                <w:sz w:val="24"/>
              </w:rPr>
            </w:pPr>
          </w:p>
        </w:tc>
      </w:tr>
      <w:tr w:rsidR="00000000" w:rsidRPr="00EC28AB">
        <w:tblPrEx>
          <w:tblCellMar>
            <w:top w:w="0" w:type="dxa"/>
            <w:bottom w:w="0" w:type="dxa"/>
          </w:tblCellMar>
        </w:tblPrEx>
        <w:trPr>
          <w:cantSplit/>
          <w:trHeight w:hRule="exact" w:val="240"/>
        </w:trPr>
        <w:tc>
          <w:tcPr>
            <w:tcW w:w="6024" w:type="dxa"/>
            <w:gridSpan w:val="2"/>
            <w:vMerge/>
            <w:tcBorders>
              <w:top w:val="nil"/>
              <w:bottom w:val="nil"/>
            </w:tcBorders>
          </w:tcPr>
          <w:p w:rsidR="00400BE2" w:rsidRPr="00EC28AB" w:rsidRDefault="00400BE2">
            <w:pPr>
              <w:spacing w:before="40" w:after="900" w:line="280" w:lineRule="exact"/>
              <w:jc w:val="left"/>
              <w:rPr>
                <w:sz w:val="28"/>
              </w:rPr>
            </w:pPr>
          </w:p>
        </w:tc>
        <w:tc>
          <w:tcPr>
            <w:tcW w:w="1559" w:type="dxa"/>
          </w:tcPr>
          <w:p w:rsidR="00400BE2" w:rsidRPr="00EC28AB" w:rsidRDefault="00400BE2">
            <w:pPr>
              <w:pStyle w:val="rtal"/>
            </w:pPr>
            <w:r w:rsidRPr="00EC28AB">
              <w:t>1999/2000</w:t>
            </w:r>
          </w:p>
        </w:tc>
      </w:tr>
      <w:tr w:rsidR="00000000" w:rsidRPr="00EC28AB">
        <w:tblPrEx>
          <w:tblCellMar>
            <w:top w:w="0" w:type="dxa"/>
            <w:bottom w:w="0" w:type="dxa"/>
          </w:tblCellMar>
        </w:tblPrEx>
        <w:trPr>
          <w:cantSplit/>
          <w:trHeight w:val="560"/>
        </w:trPr>
        <w:tc>
          <w:tcPr>
            <w:tcW w:w="6024" w:type="dxa"/>
            <w:gridSpan w:val="2"/>
            <w:vMerge/>
            <w:tcBorders>
              <w:top w:val="nil"/>
              <w:bottom w:val="single" w:sz="6" w:space="0" w:color="auto"/>
            </w:tcBorders>
          </w:tcPr>
          <w:p w:rsidR="00400BE2" w:rsidRPr="00EC28AB" w:rsidRDefault="00400BE2">
            <w:pPr>
              <w:spacing w:before="40" w:after="900" w:line="280" w:lineRule="exact"/>
              <w:jc w:val="left"/>
              <w:rPr>
                <w:sz w:val="28"/>
              </w:rPr>
            </w:pPr>
          </w:p>
        </w:tc>
        <w:tc>
          <w:tcPr>
            <w:tcW w:w="1559" w:type="dxa"/>
            <w:tcBorders>
              <w:bottom w:val="single" w:sz="6" w:space="0" w:color="auto"/>
            </w:tcBorders>
          </w:tcPr>
          <w:p w:rsidR="00400BE2" w:rsidRPr="00EC28AB" w:rsidRDefault="00400BE2">
            <w:pPr>
              <w:pStyle w:val="rtal"/>
            </w:pPr>
            <w:r w:rsidRPr="00EC28AB">
              <w:t>FiU3y</w:t>
            </w:r>
          </w:p>
        </w:tc>
      </w:tr>
      <w:tr w:rsidR="00000000" w:rsidRPr="00EC28AB">
        <w:tblPrEx>
          <w:tblCellMar>
            <w:top w:w="0" w:type="dxa"/>
            <w:bottom w:w="0" w:type="dxa"/>
          </w:tblCellMar>
        </w:tblPrEx>
        <w:trPr>
          <w:cantSplit/>
          <w:trHeight w:hRule="exact" w:val="660"/>
        </w:trPr>
        <w:tc>
          <w:tcPr>
            <w:tcW w:w="3012" w:type="dxa"/>
          </w:tcPr>
          <w:p w:rsidR="00400BE2" w:rsidRPr="00EC28AB" w:rsidRDefault="00400BE2">
            <w:pPr>
              <w:pStyle w:val="StatusSida1"/>
            </w:pPr>
          </w:p>
          <w:p w:rsidR="00400BE2" w:rsidRPr="00EC28AB" w:rsidRDefault="00400BE2"/>
        </w:tc>
        <w:tc>
          <w:tcPr>
            <w:tcW w:w="3012" w:type="dxa"/>
          </w:tcPr>
          <w:p w:rsidR="00400BE2" w:rsidRPr="00EC28AB" w:rsidRDefault="00400BE2"/>
        </w:tc>
        <w:tc>
          <w:tcPr>
            <w:tcW w:w="1559" w:type="dxa"/>
          </w:tcPr>
          <w:p w:rsidR="00400BE2" w:rsidRPr="00EC28AB" w:rsidRDefault="00400BE2"/>
        </w:tc>
      </w:tr>
    </w:tbl>
    <w:p w:rsidR="00400BE2" w:rsidRPr="00EC28AB" w:rsidRDefault="00400BE2">
      <w:pPr>
        <w:pStyle w:val="Rubrik1"/>
        <w:spacing w:before="0"/>
      </w:pPr>
      <w:bookmarkStart w:id="19" w:name="_Toc481403050"/>
      <w:r w:rsidRPr="00EC28AB">
        <w:t>Till utrikesutskottet</w:t>
      </w:r>
      <w:bookmarkEnd w:id="19"/>
    </w:p>
    <w:p w:rsidR="00400BE2" w:rsidRPr="00EC28AB" w:rsidRDefault="00400BE2">
      <w:bookmarkStart w:id="20" w:name="Textstart"/>
      <w:bookmarkEnd w:id="20"/>
      <w:r w:rsidRPr="00EC28AB">
        <w:t>Utrikesutskottet har den 6 april 2000 beslutat att bereda bl.a. finansutskottet tillfälle att yttra sig över regeringens skrivelse 1999/2000:60 Berättelse om verksamheten i Europeiska unionen under 1999 jämte motioner. Finansu</w:t>
      </w:r>
      <w:r w:rsidRPr="00EC28AB">
        <w:t>t</w:t>
      </w:r>
      <w:r w:rsidRPr="00EC28AB">
        <w:t>skottet yttrar sig över skrivelsen, ett yrkande om revisionsrättens slutsatser i en motion (mp) som har väckts med anledning av skrivelsen samt tre yrka</w:t>
      </w:r>
      <w:r w:rsidRPr="00EC28AB">
        <w:t>n</w:t>
      </w:r>
      <w:r w:rsidRPr="00EC28AB">
        <w:t>den från allmänna motionstiden 1999. Dessa yrkanden rör finansieringen av EU (m), alternativ till EMU (v) samt offentlig upphandling (mp).</w:t>
      </w:r>
    </w:p>
    <w:p w:rsidR="00400BE2" w:rsidRPr="00EC28AB" w:rsidRDefault="00400BE2">
      <w:pPr>
        <w:pStyle w:val="Normaltindrag"/>
      </w:pPr>
      <w:r w:rsidRPr="00EC28AB">
        <w:t>Finansutskottet föreslår att de i yttrandet behandlade motionsyrkandena avstyrks. Till yttrandet har fogats fyra avvikande meningar (m, v, kd, fp, mp).</w:t>
      </w:r>
    </w:p>
    <w:p w:rsidR="00400BE2" w:rsidRPr="00EC28AB" w:rsidRDefault="00400BE2">
      <w:pPr>
        <w:pStyle w:val="Rubrik2"/>
      </w:pPr>
      <w:bookmarkStart w:id="21" w:name="_Toc448028516"/>
      <w:bookmarkStart w:id="22" w:name="_Toc478890139"/>
      <w:bookmarkStart w:id="23" w:name="_Toc481403051"/>
      <w:r w:rsidRPr="00EC28AB">
        <w:t>Regeringens skrivelse</w:t>
      </w:r>
      <w:bookmarkEnd w:id="21"/>
      <w:bookmarkEnd w:id="22"/>
      <w:bookmarkEnd w:id="23"/>
    </w:p>
    <w:p w:rsidR="00400BE2" w:rsidRPr="00EC28AB" w:rsidRDefault="00400BE2">
      <w:r w:rsidRPr="00EC28AB">
        <w:t>Enligt riksdagsordningen 10 kap. 1 § skall regeringen fortlöpande informera riksdagen om vad som sker inom ramen för samarbetet i Europeiska unionen samt varje år till riksdagen lämna en skrivelse med berättelse över verksa</w:t>
      </w:r>
      <w:r w:rsidRPr="00EC28AB">
        <w:t>m</w:t>
      </w:r>
      <w:r w:rsidRPr="00EC28AB">
        <w:t>heten i Europeiska unionen. Årets skrivelse (skr. 1999/2000:60) avser 1999 och behandlar Europeiska unionens övergripande utveckling, det ekonomi</w:t>
      </w:r>
      <w:r w:rsidRPr="00EC28AB">
        <w:t>s</w:t>
      </w:r>
      <w:r w:rsidRPr="00EC28AB">
        <w:t>ka och sociala samarbetet, unionens förbindelser med omvärlden, det rättsl</w:t>
      </w:r>
      <w:r w:rsidRPr="00EC28AB">
        <w:t>i</w:t>
      </w:r>
      <w:r w:rsidRPr="00EC28AB">
        <w:t>ga och inrikes samarbetet samt unionens institutioner. Vidare redovisas fö</w:t>
      </w:r>
      <w:r w:rsidRPr="00EC28AB">
        <w:t>r</w:t>
      </w:r>
      <w:r w:rsidRPr="00EC28AB">
        <w:t xml:space="preserve">beredelser för Sveriges ordförandeskap i EU:s ministerråd första halvåret 2001. </w:t>
      </w:r>
    </w:p>
    <w:p w:rsidR="00400BE2" w:rsidRPr="00EC28AB" w:rsidRDefault="00400BE2">
      <w:r w:rsidRPr="00EC28AB">
        <w:t>Följande avsnitt i skrivelsen berör finansutskottets beredningsområde:</w:t>
      </w:r>
    </w:p>
    <w:p w:rsidR="00400BE2" w:rsidRPr="00EC28AB" w:rsidRDefault="00400BE2">
      <w:pPr>
        <w:outlineLvl w:val="0"/>
      </w:pPr>
      <w:r w:rsidRPr="00EC28AB">
        <w:t>3.2 EU:s reformering – Agenda 2000, i vad avser</w:t>
      </w:r>
    </w:p>
    <w:p w:rsidR="00400BE2" w:rsidRPr="00EC28AB" w:rsidRDefault="00400BE2">
      <w:pPr>
        <w:pStyle w:val="Normaltindrag"/>
      </w:pPr>
      <w:r w:rsidRPr="00EC28AB">
        <w:t>3.2.1 EU:s budget för perioden år 2000</w:t>
      </w:r>
      <w:r w:rsidRPr="00EC28AB">
        <w:softHyphen/>
        <w:t>–2006 (s. 40)</w:t>
      </w:r>
    </w:p>
    <w:p w:rsidR="00400BE2" w:rsidRPr="00EC28AB" w:rsidRDefault="00400BE2">
      <w:pPr>
        <w:pStyle w:val="Normaltindrag"/>
      </w:pPr>
      <w:r w:rsidRPr="00EC28AB">
        <w:t>3.2.2 Nytt beslut om egna medel (s. 40 f.)</w:t>
      </w:r>
    </w:p>
    <w:p w:rsidR="00400BE2" w:rsidRPr="00EC28AB" w:rsidRDefault="00400BE2">
      <w:pPr>
        <w:pStyle w:val="Normaltindrag"/>
        <w:spacing w:before="60"/>
        <w:ind w:firstLine="0"/>
      </w:pPr>
      <w:r w:rsidRPr="00EC28AB">
        <w:t>4 Den ekonomiska och monetära unionen – EMU (s. 45 f.)</w:t>
      </w:r>
    </w:p>
    <w:p w:rsidR="00400BE2" w:rsidRPr="00EC28AB" w:rsidRDefault="00400BE2">
      <w:pPr>
        <w:pStyle w:val="Normaltindrag"/>
        <w:spacing w:before="60"/>
        <w:ind w:firstLine="0"/>
      </w:pPr>
      <w:r w:rsidRPr="00EC28AB">
        <w:t>6 Tillväxt och sysselsättning (s. 57 f.)</w:t>
      </w:r>
    </w:p>
    <w:p w:rsidR="00400BE2" w:rsidRPr="00EC28AB" w:rsidRDefault="00400BE2">
      <w:pPr>
        <w:pStyle w:val="Normaltindrag"/>
        <w:spacing w:before="60"/>
        <w:ind w:firstLine="0"/>
      </w:pPr>
      <w:r w:rsidRPr="00EC28AB">
        <w:t>7 Inre marknadens utveckling, i vad avser</w:t>
      </w:r>
    </w:p>
    <w:p w:rsidR="00400BE2" w:rsidRPr="00EC28AB" w:rsidRDefault="00400BE2">
      <w:pPr>
        <w:pStyle w:val="Normaltindrag"/>
      </w:pPr>
      <w:r w:rsidRPr="00EC28AB">
        <w:t>7.7 Offentlig upphandling (s. 69)</w:t>
      </w:r>
    </w:p>
    <w:p w:rsidR="00400BE2" w:rsidRPr="00EC28AB" w:rsidRDefault="00400BE2">
      <w:pPr>
        <w:pStyle w:val="Normaltindrag"/>
        <w:spacing w:before="60"/>
        <w:ind w:firstLine="0"/>
      </w:pPr>
      <w:r w:rsidRPr="00EC28AB">
        <w:t>10 Fri rörlighet för tjänster och kapital, i vad avser</w:t>
      </w:r>
    </w:p>
    <w:p w:rsidR="00400BE2" w:rsidRPr="00EC28AB" w:rsidRDefault="00400BE2">
      <w:pPr>
        <w:pStyle w:val="Normaltindrag"/>
      </w:pPr>
      <w:r w:rsidRPr="00EC28AB">
        <w:t>10.1 Finansiella tjänster (s. 86 f.)</w:t>
      </w:r>
    </w:p>
    <w:p w:rsidR="00400BE2" w:rsidRPr="00EC28AB" w:rsidRDefault="00400BE2">
      <w:pPr>
        <w:pStyle w:val="Normaltindrag"/>
        <w:spacing w:before="60"/>
        <w:ind w:firstLine="0"/>
      </w:pPr>
      <w:r w:rsidRPr="00EC28AB">
        <w:br w:type="page"/>
      </w:r>
      <w:r w:rsidRPr="00EC28AB">
        <w:lastRenderedPageBreak/>
        <w:t>21 Konsumentpolitik, i vad avser</w:t>
      </w:r>
    </w:p>
    <w:p w:rsidR="00400BE2" w:rsidRPr="00EC28AB" w:rsidRDefault="00400BE2">
      <w:pPr>
        <w:pStyle w:val="Normaltindrag"/>
      </w:pPr>
      <w:r w:rsidRPr="00EC28AB">
        <w:t>21.4 Direktivförslag om distansförsäljning av finansiella tjänster till ko</w:t>
      </w:r>
      <w:r w:rsidRPr="00EC28AB">
        <w:t>n</w:t>
      </w:r>
      <w:r w:rsidRPr="00EC28AB">
        <w:t>sumenter (s. 181)</w:t>
      </w:r>
    </w:p>
    <w:p w:rsidR="00400BE2" w:rsidRPr="00EC28AB" w:rsidRDefault="00400BE2">
      <w:pPr>
        <w:pStyle w:val="Normaltindrag"/>
        <w:spacing w:before="60"/>
        <w:ind w:firstLine="0"/>
      </w:pPr>
      <w:r w:rsidRPr="00EC28AB">
        <w:t>27 EG:s statistikarbete (s. 202 f.)</w:t>
      </w:r>
    </w:p>
    <w:p w:rsidR="00400BE2" w:rsidRPr="00EC28AB" w:rsidRDefault="00400BE2">
      <w:pPr>
        <w:pStyle w:val="Normaltindrag"/>
        <w:spacing w:before="60"/>
        <w:ind w:firstLine="0"/>
      </w:pPr>
      <w:r w:rsidRPr="00EC28AB">
        <w:t>28 EU:s budget (s. 204 f.)</w:t>
      </w:r>
    </w:p>
    <w:p w:rsidR="00400BE2" w:rsidRPr="00EC28AB" w:rsidRDefault="00400BE2">
      <w:pPr>
        <w:pStyle w:val="Normaltindrag"/>
        <w:spacing w:before="60"/>
        <w:ind w:firstLine="0"/>
      </w:pPr>
      <w:r w:rsidRPr="00EC28AB">
        <w:t>29 Åtgärder mot fusk och andra oegentligheter, i vad avser</w:t>
      </w:r>
    </w:p>
    <w:p w:rsidR="00400BE2" w:rsidRPr="00EC28AB" w:rsidRDefault="00400BE2">
      <w:pPr>
        <w:pStyle w:val="Normaltindrag"/>
      </w:pPr>
      <w:r w:rsidRPr="00EC28AB">
        <w:t>29.2 Övriga åtgärder för att undvika fusk, fel och andra brister (s. 209 f.)</w:t>
      </w:r>
    </w:p>
    <w:p w:rsidR="00400BE2" w:rsidRPr="00EC28AB" w:rsidRDefault="00400BE2">
      <w:pPr>
        <w:pStyle w:val="Normaltindrag"/>
        <w:spacing w:before="60"/>
        <w:ind w:firstLine="0"/>
      </w:pPr>
      <w:r w:rsidRPr="00EC28AB">
        <w:t>35.3 Materiell straffrätt, i vad avser</w:t>
      </w:r>
    </w:p>
    <w:p w:rsidR="00400BE2" w:rsidRPr="00EC28AB" w:rsidRDefault="00400BE2">
      <w:pPr>
        <w:pStyle w:val="Normaltindrag"/>
      </w:pPr>
      <w:r w:rsidRPr="00EC28AB">
        <w:t>35.3.5 Offentlig upphandling (s. 285)</w:t>
      </w:r>
    </w:p>
    <w:p w:rsidR="00400BE2" w:rsidRPr="00EC28AB" w:rsidRDefault="00400BE2">
      <w:pPr>
        <w:pStyle w:val="Normaltindrag"/>
        <w:spacing w:before="60"/>
        <w:ind w:firstLine="0"/>
      </w:pPr>
      <w:r w:rsidRPr="00EC28AB">
        <w:t>39 Institutionernas funktion och verksamhet, i vad avser</w:t>
      </w:r>
    </w:p>
    <w:p w:rsidR="00400BE2" w:rsidRPr="00EC28AB" w:rsidRDefault="00400BE2">
      <w:pPr>
        <w:pStyle w:val="Normaltindrag"/>
      </w:pPr>
      <w:r w:rsidRPr="00EC28AB">
        <w:t>39.5 Europeiska revisionsrätten (s. 308 f.)</w:t>
      </w:r>
    </w:p>
    <w:p w:rsidR="00400BE2" w:rsidRPr="00EC28AB" w:rsidRDefault="00400BE2">
      <w:pPr>
        <w:pStyle w:val="Normaltindrag"/>
      </w:pPr>
      <w:r w:rsidRPr="00EC28AB">
        <w:t>39.8 Europeiska centralbanken (s. 311)</w:t>
      </w:r>
    </w:p>
    <w:p w:rsidR="00400BE2" w:rsidRPr="00EC28AB" w:rsidRDefault="00400BE2">
      <w:pPr>
        <w:pStyle w:val="Normaltindrag"/>
      </w:pPr>
      <w:r w:rsidRPr="00EC28AB">
        <w:t>39.9 Europeiska investeringsbanken (s. 311 f.)</w:t>
      </w:r>
    </w:p>
    <w:p w:rsidR="00400BE2" w:rsidRPr="00EC28AB" w:rsidRDefault="00400BE2">
      <w:pPr>
        <w:pStyle w:val="Normaltindrag"/>
        <w:rPr>
          <w:i/>
        </w:rPr>
      </w:pPr>
      <w:r w:rsidRPr="00EC28AB">
        <w:t>39.10 Europeiska investeringsfonden (s. 312)</w:t>
      </w:r>
    </w:p>
    <w:p w:rsidR="00400BE2" w:rsidRPr="00EC28AB" w:rsidRDefault="00400BE2">
      <w:r w:rsidRPr="00EC28AB">
        <w:t>Bilaga 10 EU-budgeten 1999 (s. 399)</w:t>
      </w:r>
    </w:p>
    <w:p w:rsidR="00400BE2" w:rsidRPr="00EC28AB" w:rsidRDefault="00400BE2">
      <w:pPr>
        <w:pStyle w:val="Rubrik2"/>
      </w:pPr>
      <w:bookmarkStart w:id="24" w:name="_Toc448028517"/>
      <w:bookmarkStart w:id="25" w:name="_Toc478890140"/>
      <w:bookmarkStart w:id="26" w:name="_Toc481403052"/>
      <w:r w:rsidRPr="00EC28AB">
        <w:t>Motionsyrkandena</w:t>
      </w:r>
      <w:bookmarkEnd w:id="24"/>
      <w:bookmarkEnd w:id="25"/>
      <w:bookmarkEnd w:id="26"/>
    </w:p>
    <w:p w:rsidR="00400BE2" w:rsidRPr="00EC28AB" w:rsidRDefault="00400BE2">
      <w:pPr>
        <w:pStyle w:val="Rubrik3"/>
        <w:spacing w:before="123"/>
      </w:pPr>
      <w:bookmarkStart w:id="27" w:name="_Toc448028518"/>
      <w:bookmarkStart w:id="28" w:name="_Toc478890141"/>
      <w:bookmarkStart w:id="29" w:name="_Toc481403053"/>
      <w:r w:rsidRPr="00EC28AB">
        <w:t>Motion med anledning av skrivelse 60</w:t>
      </w:r>
      <w:bookmarkEnd w:id="27"/>
      <w:bookmarkEnd w:id="28"/>
      <w:bookmarkEnd w:id="29"/>
    </w:p>
    <w:p w:rsidR="00400BE2" w:rsidRPr="00EC28AB" w:rsidRDefault="00400BE2">
      <w:r w:rsidRPr="00EC28AB">
        <w:t xml:space="preserve">1999/2000:U14 av Marianne Samuelsson och Yvonne Ruwaida (mp) vari yrkas </w:t>
      </w:r>
    </w:p>
    <w:p w:rsidR="00400BE2" w:rsidRPr="00EC28AB" w:rsidRDefault="00400BE2">
      <w:pPr>
        <w:pStyle w:val="Normaltindrag"/>
      </w:pPr>
      <w:r w:rsidRPr="00EC28AB">
        <w:t>10. att riksdagen som sin mening ger regeringen till känna vad i motionen anförts om att i kommande årsberättelser mer utförligt redogöra för Rev</w:t>
      </w:r>
      <w:r w:rsidRPr="00EC28AB">
        <w:t>i</w:t>
      </w:r>
      <w:r w:rsidRPr="00EC28AB">
        <w:t>sion</w:t>
      </w:r>
      <w:r w:rsidRPr="00EC28AB">
        <w:t>s</w:t>
      </w:r>
      <w:r w:rsidRPr="00EC28AB">
        <w:softHyphen/>
        <w:t>rättens slutsatser.</w:t>
      </w:r>
    </w:p>
    <w:p w:rsidR="00400BE2" w:rsidRPr="00EC28AB" w:rsidRDefault="00400BE2">
      <w:pPr>
        <w:pStyle w:val="Rubrik3"/>
      </w:pPr>
      <w:bookmarkStart w:id="30" w:name="_Toc478890142"/>
      <w:bookmarkStart w:id="31" w:name="_Toc481403054"/>
      <w:r w:rsidRPr="00EC28AB">
        <w:t>Motioner från allmänna motionstiden</w:t>
      </w:r>
      <w:bookmarkEnd w:id="30"/>
      <w:bookmarkEnd w:id="31"/>
    </w:p>
    <w:p w:rsidR="00400BE2" w:rsidRPr="00EC28AB" w:rsidRDefault="00400BE2">
      <w:r w:rsidRPr="00EC28AB">
        <w:t>1999/2000:U503 av Bo Lundgren m.fl. (m) vari yrkas</w:t>
      </w:r>
    </w:p>
    <w:p w:rsidR="00400BE2" w:rsidRPr="00EC28AB" w:rsidRDefault="00400BE2">
      <w:pPr>
        <w:pStyle w:val="Normaltindrag"/>
      </w:pPr>
      <w:r w:rsidRPr="00EC28AB">
        <w:t>9. att riksdagen som sin mening ger regeringen till känna vad i motionen anförts om inriktningen av Sveriges hållning inom EU-samarbetet i övrigt (delvis).</w:t>
      </w:r>
    </w:p>
    <w:p w:rsidR="00400BE2" w:rsidRPr="00EC28AB" w:rsidRDefault="00400BE2">
      <w:pPr>
        <w:outlineLvl w:val="0"/>
      </w:pPr>
      <w:r w:rsidRPr="00EC28AB">
        <w:t>1999/2000:U513 av Yvonne Ruwaida m.fl. (mp) vari yrkas</w:t>
      </w:r>
    </w:p>
    <w:p w:rsidR="00400BE2" w:rsidRPr="00EC28AB" w:rsidRDefault="00400BE2">
      <w:pPr>
        <w:pStyle w:val="Normaltindrag"/>
      </w:pPr>
      <w:r w:rsidRPr="00EC28AB">
        <w:t>22. att riksdagen som sin mening ger regeringen till känna vad i motionen anförts om att en prioriterad fråga för Sverige skall vara att verka för att EU:s upphandlingsregler ändras så att lokal upphandling kan ske utan inskrän</w:t>
      </w:r>
      <w:r w:rsidRPr="00EC28AB">
        <w:t>k</w:t>
      </w:r>
      <w:r w:rsidRPr="00EC28AB">
        <w:t>ningar.</w:t>
      </w:r>
    </w:p>
    <w:p w:rsidR="00400BE2" w:rsidRPr="00EC28AB" w:rsidRDefault="00400BE2">
      <w:pPr>
        <w:outlineLvl w:val="0"/>
      </w:pPr>
      <w:r w:rsidRPr="00EC28AB">
        <w:t xml:space="preserve">1999/2000:U903 av Gudrun Schyman m.fl. (v) vari yrkas </w:t>
      </w:r>
    </w:p>
    <w:p w:rsidR="00400BE2" w:rsidRPr="00EC28AB" w:rsidRDefault="00400BE2">
      <w:pPr>
        <w:pStyle w:val="Normaltindrag"/>
      </w:pPr>
      <w:r w:rsidRPr="00EC28AB">
        <w:t>7. att riksdagen som sin mening ger regeringen till känna vad i motionen anförts om internationellt samarbete som ett alternativ till medlemskap i EMU.</w:t>
      </w:r>
    </w:p>
    <w:p w:rsidR="00400BE2" w:rsidRPr="00EC28AB" w:rsidRDefault="00400BE2">
      <w:pPr>
        <w:pStyle w:val="Rubrik2"/>
      </w:pPr>
      <w:bookmarkStart w:id="32" w:name="_Toc448028519"/>
      <w:bookmarkStart w:id="33" w:name="_Toc481403055"/>
      <w:r w:rsidRPr="00EC28AB">
        <w:t>Utskottet</w:t>
      </w:r>
      <w:bookmarkEnd w:id="33"/>
    </w:p>
    <w:bookmarkEnd w:id="32"/>
    <w:p w:rsidR="00400BE2" w:rsidRPr="00EC28AB" w:rsidRDefault="00400BE2">
      <w:r w:rsidRPr="00EC28AB">
        <w:t xml:space="preserve">Finansutskottet konstaterade med tillfredsställelse i förra årets yttrande till utrikesutskottet över skrivelsen att regeringen i än större utsträckning än tidigare redovisade sina ställningstaganden i olika frågor. Finansutskottet förutsatte att regeringen även i kommande skrivelser tydligt redovisar sitt agerande och sina ställningstaganden i olika frågor (yttr. 1998/99:FiU3y). Utskottet kan konstatera att regeringen även i årets skrivelse redovisar sina ställningstaganden på </w:t>
      </w:r>
      <w:bookmarkStart w:id="34" w:name="_Toc448028520"/>
      <w:r w:rsidRPr="00EC28AB">
        <w:t>huvuddelen av de områden som rör utskottet. Utskottet välkomnar detta. Redovisningen fyller både ett uppföljande syfte och ett framåtblickande syfte. Dels kan riksdagen följa upp regeringens agerande under det gångna året, dels kan riksdagen i sitt löpande arbete med EU-frågor utnyttja skrivelsen för de många frågor i skrivelsen som kommer att vara aktuella också under år 2000 och därefter.</w:t>
      </w:r>
    </w:p>
    <w:p w:rsidR="00400BE2" w:rsidRPr="00EC28AB" w:rsidRDefault="00400BE2">
      <w:r w:rsidRPr="00EC28AB">
        <w:t>Utskottet övergår nu till att behandla de motionsyrkanden som berör utsko</w:t>
      </w:r>
      <w:r w:rsidRPr="00EC28AB">
        <w:t>t</w:t>
      </w:r>
      <w:r w:rsidRPr="00EC28AB">
        <w:t xml:space="preserve">tets område. </w:t>
      </w:r>
    </w:p>
    <w:p w:rsidR="00400BE2" w:rsidRPr="00EC28AB" w:rsidRDefault="00400BE2">
      <w:pPr>
        <w:pStyle w:val="Rubrik3"/>
      </w:pPr>
      <w:bookmarkStart w:id="35" w:name="_Toc478890144"/>
      <w:bookmarkStart w:id="36" w:name="_Toc481403056"/>
      <w:r w:rsidRPr="00EC28AB">
        <w:t>Finansiering av EU</w:t>
      </w:r>
      <w:bookmarkEnd w:id="35"/>
      <w:bookmarkEnd w:id="36"/>
    </w:p>
    <w:p w:rsidR="00400BE2" w:rsidRPr="00EC28AB" w:rsidRDefault="00400BE2">
      <w:pPr>
        <w:pStyle w:val="Rubrik4"/>
        <w:spacing w:before="123"/>
      </w:pPr>
      <w:bookmarkStart w:id="37" w:name="_Toc478890145"/>
      <w:bookmarkStart w:id="38" w:name="_Toc481403057"/>
      <w:r w:rsidRPr="00EC28AB">
        <w:t>Motionen</w:t>
      </w:r>
      <w:bookmarkEnd w:id="37"/>
      <w:bookmarkEnd w:id="38"/>
    </w:p>
    <w:p w:rsidR="00400BE2" w:rsidRPr="00EC28AB" w:rsidRDefault="00400BE2">
      <w:r w:rsidRPr="00EC28AB">
        <w:t xml:space="preserve">I </w:t>
      </w:r>
      <w:r w:rsidRPr="00EC28AB">
        <w:rPr>
          <w:i/>
        </w:rPr>
        <w:t>motion U503</w:t>
      </w:r>
      <w:r w:rsidRPr="00EC28AB">
        <w:t xml:space="preserve"> av Bo Lundgren m.fl. (m) erinras om att EU tar i anspråk 1,1 % av medlemsländernas samlade resurser. Av detta används hälften för jordbrukssubventioner och en tredjedel för regionalpolitik. Det är angeläget att EU inte utvecklas till en transfereringsunion utan strikt koncentrerar sig på de områden där EU verkligen behövs. Medlemsavgiften måste även for</w:t>
      </w:r>
      <w:r w:rsidRPr="00EC28AB">
        <w:t>t</w:t>
      </w:r>
      <w:r w:rsidRPr="00EC28AB">
        <w:t>sättningsvis beslutas enhälligt. Nettobidragsmottagande länder får inte ha möjlighet att rösta ned nettobidragsgivare i syfte att öka subsidier.</w:t>
      </w:r>
      <w:r w:rsidRPr="00EC28AB">
        <w:t xml:space="preserve"> Vidare anförs i motionen att EU inte skall ges rätt att ta ut skatt. Finansieringen skall som hittills ske via avgifter från medlemsländerna. Motionärerna yrkar att riksdagen som sin mening skall ge regeringen till känna vad i motionen anförts om inriktningen av Sveriges hållning inom EU-samarbetet. </w:t>
      </w:r>
    </w:p>
    <w:p w:rsidR="00400BE2" w:rsidRPr="00EC28AB" w:rsidRDefault="00400BE2">
      <w:pPr>
        <w:pStyle w:val="Rubrik4"/>
      </w:pPr>
      <w:bookmarkStart w:id="39" w:name="_Toc481403058"/>
      <w:r w:rsidRPr="00EC28AB">
        <w:t>Finansutskottets bedömning</w:t>
      </w:r>
      <w:bookmarkEnd w:id="39"/>
    </w:p>
    <w:p w:rsidR="00400BE2" w:rsidRPr="00EC28AB" w:rsidRDefault="00400BE2">
      <w:pPr>
        <w:keepNext/>
        <w:keepLines/>
      </w:pPr>
      <w:r w:rsidRPr="00EC28AB">
        <w:t>I skrivelsen redovisas beslutet om ett nytt finansiellt perspektiv som fattades vid Europeiska rådets möte i Berlin i mars 1999 (skr. 1999/2000:60 s. 40 f.). Det finansiella perspektivet utgör EU-budgetens långsiktiga utgiftstak dels för den totala budgeten, dels för de olika utgiftskategorierna. Inom ramen för det s.k. Agenda 2000-arbetet beslutades också vid Europeiska rådet i Berlin om vissa förändringar av systemet för egna medel som regleras i rådsbeslut. Överenskommelsen vid Europeiska rådet i Berlin</w:t>
      </w:r>
      <w:r w:rsidRPr="00EC28AB">
        <w:t xml:space="preserve"> måste därför formaliseras i ett nytt rådsbeslut om egna medel. </w:t>
      </w:r>
    </w:p>
    <w:p w:rsidR="00400BE2" w:rsidRPr="00EC28AB" w:rsidRDefault="00400BE2">
      <w:pPr>
        <w:pStyle w:val="Normaltindrag"/>
      </w:pPr>
      <w:r w:rsidRPr="00EC28AB">
        <w:t>Kommissionen lade under sommaren 1999 fram ett förslag till nytt beslut som innebär att förändringarna enligt Europeiska rådets beslut fullföljs. Rådsbehandlingen är ännu inte avslutad. När rådets beslut antagits vidtar en process för nationellt godkännande av beslutet. Detta innebär att regeringen så snart beslutet antagits kommer att återkomma till riksdagen med förslag om att godkänna det nya beslutet om egna medel. I likhet med proposition</w:t>
      </w:r>
      <w:r w:rsidRPr="00EC28AB">
        <w:t>en om godkännande av rådets beslut 1994 angående systemet för gemenskapens egna medel (prop. 1994/95:210, bet. 1994/95:FiU25) kan denna proposition förväntas bli remitterad till finansutsko</w:t>
      </w:r>
      <w:r w:rsidRPr="00EC28AB">
        <w:t>t</w:t>
      </w:r>
      <w:r w:rsidRPr="00EC28AB">
        <w:t xml:space="preserve">tet. </w:t>
      </w:r>
    </w:p>
    <w:p w:rsidR="00400BE2" w:rsidRPr="00EC28AB" w:rsidRDefault="00400BE2">
      <w:pPr>
        <w:pStyle w:val="Normaltindrag"/>
      </w:pPr>
      <w:r w:rsidRPr="00EC28AB">
        <w:t>För närvarande krävs alltså enhällighet mellan medlemsstaterna för beslut om medlemsavgiften. Sverige har inte drivit någon annan linje. Frågan fö</w:t>
      </w:r>
      <w:r w:rsidRPr="00EC28AB">
        <w:t>r</w:t>
      </w:r>
      <w:r w:rsidRPr="00EC28AB">
        <w:t>väntas inte heller aktualiseras under den pågående regeringskonferensen där frågan om en eventuellt utökad tillämpning av majoritetsb</w:t>
      </w:r>
      <w:r w:rsidRPr="00EC28AB">
        <w:t>e</w:t>
      </w:r>
      <w:r w:rsidRPr="00EC28AB">
        <w:t xml:space="preserve">slut behandlas. </w:t>
      </w:r>
    </w:p>
    <w:p w:rsidR="00400BE2" w:rsidRPr="00EC28AB" w:rsidRDefault="00400BE2">
      <w:pPr>
        <w:pStyle w:val="Normaltindrag"/>
      </w:pPr>
      <w:r w:rsidRPr="00EC28AB">
        <w:t>Beträffande beskattningsrätt har utskottet tidigare uttalat att EU inte skall erhålla beskattningsrätt. EU:s verksamhet bör även fortsättningsvis finansi</w:t>
      </w:r>
      <w:r w:rsidRPr="00EC28AB">
        <w:t>e</w:t>
      </w:r>
      <w:r w:rsidRPr="00EC28AB">
        <w:t>ras genom avgifter från medlemsstaterna (yttr. 1995/96:FiU3y, bet. 1996/97:FiU5). Utskottet vidhåller denna uppfattning.</w:t>
      </w:r>
    </w:p>
    <w:p w:rsidR="00400BE2" w:rsidRPr="00EC28AB" w:rsidRDefault="00400BE2">
      <w:pPr>
        <w:pStyle w:val="Normaltindrag"/>
      </w:pPr>
      <w:r w:rsidRPr="00EC28AB">
        <w:t>Med hänvisning till det anförda finner finansutskottet inte att något til</w:t>
      </w:r>
      <w:r w:rsidRPr="00EC28AB">
        <w:t>l</w:t>
      </w:r>
      <w:r w:rsidRPr="00EC28AB">
        <w:t>kännagivande är påkallat. Finansutskottet anser således att utrikesutskottet bör avstyrka motion U503 (m) yrkande 9 i denna del.</w:t>
      </w:r>
    </w:p>
    <w:p w:rsidR="00400BE2" w:rsidRPr="00EC28AB" w:rsidRDefault="00400BE2">
      <w:pPr>
        <w:pStyle w:val="Rubrik3"/>
      </w:pPr>
      <w:bookmarkStart w:id="40" w:name="_Toc478890147"/>
      <w:bookmarkStart w:id="41" w:name="_Toc481403059"/>
      <w:r w:rsidRPr="00EC28AB">
        <w:t>Internationellt samarbete som ett alternativ till deltagande i EMU</w:t>
      </w:r>
      <w:bookmarkEnd w:id="40"/>
      <w:bookmarkEnd w:id="41"/>
    </w:p>
    <w:p w:rsidR="00400BE2" w:rsidRPr="00EC28AB" w:rsidRDefault="00400BE2">
      <w:pPr>
        <w:pStyle w:val="Rubrik4"/>
        <w:spacing w:before="123"/>
      </w:pPr>
      <w:bookmarkStart w:id="42" w:name="_Toc478890148"/>
      <w:bookmarkStart w:id="43" w:name="_Toc481403060"/>
      <w:r w:rsidRPr="00EC28AB">
        <w:t>Motionen</w:t>
      </w:r>
      <w:bookmarkEnd w:id="42"/>
      <w:bookmarkEnd w:id="43"/>
    </w:p>
    <w:p w:rsidR="00400BE2" w:rsidRPr="00EC28AB" w:rsidRDefault="00400BE2">
      <w:r w:rsidRPr="00EC28AB">
        <w:t xml:space="preserve">Enligt </w:t>
      </w:r>
      <w:r w:rsidRPr="00EC28AB">
        <w:rPr>
          <w:i/>
        </w:rPr>
        <w:t>motion U903</w:t>
      </w:r>
      <w:r w:rsidRPr="00EC28AB">
        <w:t xml:space="preserve"> av Gudrun Schyman m.fl. (v) framställs EMU ofta som ett medel för politiken att begränsa kapitalets makt och förhindra valutasp</w:t>
      </w:r>
      <w:r w:rsidRPr="00EC28AB">
        <w:t>e</w:t>
      </w:r>
      <w:r w:rsidRPr="00EC28AB">
        <w:t>kulation – ett verktyg för folkvalda och regeringar att återta förlorad makt i en globaliserad värld. Men det är en uppfattning som det går att resa många invändningar emot. EMU är en garanti för globaliserade kapitalrörelser, inte ett hinder för dem.</w:t>
      </w:r>
    </w:p>
    <w:p w:rsidR="00400BE2" w:rsidRPr="00EC28AB" w:rsidRDefault="00400BE2">
      <w:pPr>
        <w:pStyle w:val="Normaltindrag"/>
      </w:pPr>
      <w:r w:rsidRPr="00EC28AB">
        <w:t>Vidare konstateras att huvudmålet för ECB är att uppnå prisstabilitet. An</w:t>
      </w:r>
      <w:r w:rsidRPr="00EC28AB">
        <w:t>d</w:t>
      </w:r>
      <w:r w:rsidRPr="00EC28AB">
        <w:t>ra viktiga mål som ökad sysselsättning, jämställdhet och tillväxt är helt u</w:t>
      </w:r>
      <w:r w:rsidRPr="00EC28AB">
        <w:t>n</w:t>
      </w:r>
      <w:r w:rsidRPr="00EC28AB">
        <w:t xml:space="preserve">derordnade detta mål. </w:t>
      </w:r>
    </w:p>
    <w:p w:rsidR="00400BE2" w:rsidRPr="00EC28AB" w:rsidRDefault="00400BE2">
      <w:pPr>
        <w:pStyle w:val="Normaltindrag"/>
      </w:pPr>
      <w:r w:rsidRPr="00EC28AB">
        <w:t>Det finns starka finanspolitiska restriktioner via den så kallade stabilitet</w:t>
      </w:r>
      <w:r w:rsidRPr="00EC28AB">
        <w:t>s</w:t>
      </w:r>
      <w:r w:rsidRPr="00EC28AB">
        <w:t>pakten, som kraftigt begränsar regeringarnas och ländernas handlingsutry</w:t>
      </w:r>
      <w:r w:rsidRPr="00EC28AB">
        <w:t>m</w:t>
      </w:r>
      <w:r w:rsidRPr="00EC28AB">
        <w:t xml:space="preserve">me och möjligheter att föra en mer expansiv och sysselsättningsinriktad politik. </w:t>
      </w:r>
    </w:p>
    <w:p w:rsidR="00400BE2" w:rsidRPr="00EC28AB" w:rsidRDefault="00400BE2">
      <w:pPr>
        <w:pStyle w:val="Normaltindrag"/>
      </w:pPr>
      <w:r w:rsidRPr="00EC28AB">
        <w:t>Det är mot bakgrund av denna institutionella miljö som påståendet om EMU som en motvikt till kapitalet måste prövas. Enligt motionärernas up</w:t>
      </w:r>
      <w:r w:rsidRPr="00EC28AB">
        <w:t>p</w:t>
      </w:r>
      <w:r w:rsidRPr="00EC28AB">
        <w:t>fattning är det rimligare att se EMU mer som de privata kapitalägarnas re</w:t>
      </w:r>
      <w:r w:rsidRPr="00EC28AB">
        <w:t>d</w:t>
      </w:r>
      <w:r w:rsidRPr="00EC28AB">
        <w:t>skap för att tygla demokratin än som demokratins redskap för att tygla kap</w:t>
      </w:r>
      <w:r w:rsidRPr="00EC28AB">
        <w:t>i</w:t>
      </w:r>
      <w:r w:rsidRPr="00EC28AB">
        <w:t>talägarna. Att valutafluktuationer uppfattas som något väldigt problematiskt är ofta utgångspunkten när man argumenterar för ett EMU-medlemskap och valutapolitisk stabilitet. Men även detta är en tveksam uppfattning, anser motion</w:t>
      </w:r>
      <w:r w:rsidRPr="00EC28AB">
        <w:t>ä</w:t>
      </w:r>
      <w:r w:rsidRPr="00EC28AB">
        <w:t>rerna. Vid en samlad bedömning hade den svenska EMU-utredningen svårt att finna belägg för att växelkursförändringar skulle ha några</w:t>
      </w:r>
      <w:r w:rsidRPr="00EC28AB">
        <w:t xml:space="preserve"> negativa effekter för utrikeshandel, räntor och investeringar. Däremot varnade utredningen för risken med ökad arbetslöshet om det inte går att anpassa valutan vid ekonomiska krislägen. Kan inte valutan vara flexibel måste arbetsmarknaden vara det. Därför är risken för ökad arbetslöshet bet</w:t>
      </w:r>
      <w:r w:rsidRPr="00EC28AB">
        <w:t>y</w:t>
      </w:r>
      <w:r w:rsidRPr="00EC28AB">
        <w:t>dande.</w:t>
      </w:r>
    </w:p>
    <w:p w:rsidR="00400BE2" w:rsidRPr="00EC28AB" w:rsidRDefault="00400BE2">
      <w:pPr>
        <w:pStyle w:val="Normaltindrag"/>
      </w:pPr>
      <w:r w:rsidRPr="00EC28AB">
        <w:t>EMU är enligt motionärerna i grunden en konstruktion byggd på det m</w:t>
      </w:r>
      <w:r w:rsidRPr="00EC28AB">
        <w:t>o</w:t>
      </w:r>
      <w:r w:rsidRPr="00EC28AB">
        <w:t>netaristiska högertänkandet som växte sig starkt under 1980-talet. Kärnan i detta tänkande är att allmänhet och förtroendevalda skall berövas ansvaret för den ekonomiska politiken, ett ansvar som i stället skall överlämnas till förment opolitiska experter. Minskad demokrati har alltid gynnat starka privata kapitalgrupper, så även i fallet med EMU. Sverige kan och skall spela en mer aktiv och mer progressiv roll i skapandet av en ny, mer rättvis och demokratisk världsordning utanför EMU. Detta bör riksdagen</w:t>
      </w:r>
      <w:r w:rsidRPr="00EC28AB">
        <w:t xml:space="preserve"> som sin m</w:t>
      </w:r>
      <w:r w:rsidRPr="00EC28AB">
        <w:t>e</w:t>
      </w:r>
      <w:r w:rsidRPr="00EC28AB">
        <w:t>ning ge regeringen till känna.</w:t>
      </w:r>
    </w:p>
    <w:p w:rsidR="00400BE2" w:rsidRPr="00EC28AB" w:rsidRDefault="00400BE2">
      <w:pPr>
        <w:pStyle w:val="Rubrik4"/>
      </w:pPr>
      <w:bookmarkStart w:id="44" w:name="_Toc481403061"/>
      <w:r w:rsidRPr="00EC28AB">
        <w:t>Finansutskottets bedömning</w:t>
      </w:r>
      <w:bookmarkEnd w:id="44"/>
    </w:p>
    <w:p w:rsidR="00400BE2" w:rsidRPr="00EC28AB" w:rsidRDefault="00400BE2">
      <w:r w:rsidRPr="00EC28AB">
        <w:t>Sverige har valt att inte delta i valutaunionen från starten. Ett eventuellt beslut om deltagande i valutaunionen måste ha ett brett folkligt stöd. Sverige håller dörren öppen för ett senare inträde i valutaunionen. Regeringens up</w:t>
      </w:r>
      <w:r w:rsidRPr="00EC28AB">
        <w:t>p</w:t>
      </w:r>
      <w:r w:rsidRPr="00EC28AB">
        <w:t>fattning är att det inte är aktuellt att delta i det europeiska växelkurssama</w:t>
      </w:r>
      <w:r w:rsidRPr="00EC28AB">
        <w:t>r</w:t>
      </w:r>
      <w:r w:rsidRPr="00EC28AB">
        <w:t>betet ERM2. Erfarenheterna från den nuvarande politiken inriktad på prisst</w:t>
      </w:r>
      <w:r w:rsidRPr="00EC28AB">
        <w:t>a</w:t>
      </w:r>
      <w:r w:rsidRPr="00EC28AB">
        <w:t>bilitet i kombination med rörlig växelkurs är goda.</w:t>
      </w:r>
    </w:p>
    <w:p w:rsidR="00400BE2" w:rsidRPr="00EC28AB" w:rsidRDefault="00400BE2">
      <w:pPr>
        <w:pStyle w:val="Normaltindrag"/>
      </w:pPr>
      <w:r w:rsidRPr="00EC28AB">
        <w:t>Kampen mot arbetslöshet och för full sysselsättning utgör även i fortsät</w:t>
      </w:r>
      <w:r w:rsidRPr="00EC28AB">
        <w:t>t</w:t>
      </w:r>
      <w:r w:rsidRPr="00EC28AB">
        <w:t>ningen ett viktigt inslag i en aktiv svensk Europapolitik. De politiska föru</w:t>
      </w:r>
      <w:r w:rsidRPr="00EC28AB">
        <w:t>t</w:t>
      </w:r>
      <w:r w:rsidRPr="00EC28AB">
        <w:t>sättningarna för ett stärkt samarbete är enligt utskottets mening goda. Reg</w:t>
      </w:r>
      <w:r w:rsidRPr="00EC28AB">
        <w:t>e</w:t>
      </w:r>
      <w:r w:rsidRPr="00EC28AB">
        <w:t>ringen har i budgetpropositionen 2000 deklarerat att den avser att arbeta för att riktlinjerna för sysselsättningspolitiken och dess övervakning ges samma vikt som motsvarande instrument på det ekonomiska området samt att sy</w:t>
      </w:r>
      <w:r w:rsidRPr="00EC28AB">
        <w:t>s</w:t>
      </w:r>
      <w:r w:rsidRPr="00EC28AB">
        <w:t xml:space="preserve">selsättningspakten som beslutades i Köln i juni blir en framgång. Mötet i Lissabon har fört denna fråga ytterligare ett steg framåt. </w:t>
      </w:r>
      <w:r w:rsidRPr="00EC28AB">
        <w:t>Man slog fast beh</w:t>
      </w:r>
      <w:r w:rsidRPr="00EC28AB">
        <w:t>o</w:t>
      </w:r>
      <w:r w:rsidRPr="00EC28AB">
        <w:t>vet av att sätta full sysselsättning som ett mål.</w:t>
      </w:r>
    </w:p>
    <w:p w:rsidR="00400BE2" w:rsidRPr="00EC28AB" w:rsidRDefault="00400BE2">
      <w:pPr>
        <w:pStyle w:val="Normaltindrag"/>
      </w:pPr>
      <w:r w:rsidRPr="00EC28AB">
        <w:t>Den nya avdelningen om sysselsättning i EG-fördraget har medfört att sy</w:t>
      </w:r>
      <w:r w:rsidRPr="00EC28AB">
        <w:t>s</w:t>
      </w:r>
      <w:r w:rsidRPr="00EC28AB">
        <w:t xml:space="preserve">selsättningsfrågan har fått en förstärkt position i EU:s samarbete. </w:t>
      </w:r>
    </w:p>
    <w:p w:rsidR="00400BE2" w:rsidRPr="00EC28AB" w:rsidRDefault="00400BE2">
      <w:pPr>
        <w:pStyle w:val="Normaltindrag"/>
      </w:pPr>
      <w:r w:rsidRPr="00EC28AB">
        <w:t>De allmänna riktlinjerna för den ekonomiska politiken och de gemensa</w:t>
      </w:r>
      <w:r w:rsidRPr="00EC28AB">
        <w:t>m</w:t>
      </w:r>
      <w:r w:rsidRPr="00EC28AB">
        <w:t>ma sysselsättningsriktlinjerna är viktiga instrument för ekonomisk-politisk samordning i EU. Ett starkt europeiskt samarbete skapar bättre förutsättnin</w:t>
      </w:r>
      <w:r w:rsidRPr="00EC28AB">
        <w:t>g</w:t>
      </w:r>
      <w:r w:rsidRPr="00EC28AB">
        <w:t>ar för ett samlat agerande och kan därmed stödja de nationella ansträngnin</w:t>
      </w:r>
      <w:r w:rsidRPr="00EC28AB">
        <w:t>g</w:t>
      </w:r>
      <w:r w:rsidRPr="00EC28AB">
        <w:t>arna för ökad tillväxt och sysselsättning.</w:t>
      </w:r>
    </w:p>
    <w:p w:rsidR="00400BE2" w:rsidRPr="00EC28AB" w:rsidRDefault="00400BE2">
      <w:pPr>
        <w:pStyle w:val="Normaltindrag"/>
      </w:pPr>
      <w:r w:rsidRPr="00EC28AB">
        <w:t>De allmänna riktlinjerna pekar på vikten av att medlemsstaterna bedriver en sammanhållen strategi för att skapa goda förutsättningar för en hög til</w:t>
      </w:r>
      <w:r w:rsidRPr="00EC28AB">
        <w:t>l</w:t>
      </w:r>
      <w:r w:rsidRPr="00EC28AB">
        <w:t>växt och sysselsättning.  Strategin bygger på en sund makroekonomisk pol</w:t>
      </w:r>
      <w:r w:rsidRPr="00EC28AB">
        <w:t>i</w:t>
      </w:r>
      <w:r w:rsidRPr="00EC28AB">
        <w:t>tik, åtgärder för att förbättra arbetsmarknadens funktionssätt samt ekonomi</w:t>
      </w:r>
      <w:r w:rsidRPr="00EC28AB">
        <w:t>s</w:t>
      </w:r>
      <w:r w:rsidRPr="00EC28AB">
        <w:t>ka reformer i syfte att öka effektiviteten på varu-, tjänste- och kapitalmar</w:t>
      </w:r>
      <w:r w:rsidRPr="00EC28AB">
        <w:t>k</w:t>
      </w:r>
      <w:r w:rsidRPr="00EC28AB">
        <w:t>naderna.</w:t>
      </w:r>
    </w:p>
    <w:p w:rsidR="00400BE2" w:rsidRPr="00EC28AB" w:rsidRDefault="00400BE2">
      <w:pPr>
        <w:pStyle w:val="Normaltindrag"/>
      </w:pPr>
      <w:r w:rsidRPr="00EC28AB">
        <w:t>Finansutskottet har vid flera tillfällen understrukit behovet av sunda stat</w:t>
      </w:r>
      <w:r w:rsidRPr="00EC28AB">
        <w:t>s</w:t>
      </w:r>
      <w:r w:rsidRPr="00EC28AB">
        <w:t>finanser, som är ett grundläggande inslag i stabilitetspakten, samt behandlat den svenska budgetkonsolideringens fördelningseffekter (senast i bet. 1998/99:FiU20 och i bet. 1999/2000:FiU1). Enligt utskottets uppfattning fanns det inte något alternativ till saneringen av de offentliga finanserna. Den var nödvändig för att återställa förtroendet för svensk ekonomi och få ned de höga räntor som allvarligt dämpade tillväxtkraften, inte minst i de mindre och medelstora företagen. Den var också nödvändig för att</w:t>
      </w:r>
      <w:r w:rsidRPr="00EC28AB">
        <w:t xml:space="preserve"> säkra den framt</w:t>
      </w:r>
      <w:r w:rsidRPr="00EC28AB">
        <w:t>i</w:t>
      </w:r>
      <w:r w:rsidRPr="00EC28AB">
        <w:t>da välfärden. Enligt utskottet är det också viktigt att inse att effekten på svensk ekonomi och de svenska hushållen av t.ex. den kraftiga finansiella oron under 1998 hade varit betydligt större än vad den i själva verket blev om inte budgetsaneringen varit framgångsrik. Sveriges motståndskraft mot internationell oro har till följd av den förda ekonomiska politiken förbättrats betydligt jämfört med situationen i början och mitten av 1990-talet.</w:t>
      </w:r>
    </w:p>
    <w:p w:rsidR="00400BE2" w:rsidRPr="00EC28AB" w:rsidRDefault="00400BE2">
      <w:pPr>
        <w:pStyle w:val="Normaltindrag"/>
      </w:pPr>
      <w:r w:rsidRPr="00EC28AB">
        <w:t>I betänkandet 1999/2000:FiU1 behandlade utskot</w:t>
      </w:r>
      <w:r w:rsidRPr="00EC28AB">
        <w:t>tet också Riksbankens roll och penningpolitikens betydelse för att upprätthålla ett stabilt pennin</w:t>
      </w:r>
      <w:r w:rsidRPr="00EC28AB">
        <w:t>g</w:t>
      </w:r>
      <w:r w:rsidRPr="00EC28AB">
        <w:t>värde. Utskottet konstaterade att den låga inflationen och de låga inflation</w:t>
      </w:r>
      <w:r w:rsidRPr="00EC28AB">
        <w:t>s</w:t>
      </w:r>
      <w:r w:rsidRPr="00EC28AB">
        <w:t>förväntningarna skapar förutsättningar för en bra reallönetillväxt även vid relativt låga nominella lönepåslag. Det framgår inte minst av utvecklingen under de senaste åren då reallönetillväxten varit hög samtidigt som de nom</w:t>
      </w:r>
      <w:r w:rsidRPr="00EC28AB">
        <w:t>i</w:t>
      </w:r>
      <w:r w:rsidRPr="00EC28AB">
        <w:t>nella löneökningarna historiskt sett varit små. Under 1970- och 1980-talen och de första åren på 1990-talet va</w:t>
      </w:r>
      <w:r w:rsidRPr="00EC28AB">
        <w:t>r situationen nästan den omvända. Höga nom</w:t>
      </w:r>
      <w:r w:rsidRPr="00EC28AB">
        <w:t>i</w:t>
      </w:r>
      <w:r w:rsidRPr="00EC28AB">
        <w:t>nella löneökningar gav nära nog obefintliga reallöneökningar.</w:t>
      </w:r>
    </w:p>
    <w:p w:rsidR="00400BE2" w:rsidRPr="00EC28AB" w:rsidRDefault="00400BE2">
      <w:pPr>
        <w:pStyle w:val="Normaltindrag"/>
      </w:pPr>
      <w:r w:rsidRPr="00EC28AB">
        <w:t>Att lönebildningen fungerar väl är avgörande ur sysselsättnings- och til</w:t>
      </w:r>
      <w:r w:rsidRPr="00EC28AB">
        <w:t>l</w:t>
      </w:r>
      <w:r w:rsidRPr="00EC28AB">
        <w:t>växtsynpunkt. Den totala svenska lönekostnadsutvecklingen bör anpassas till den allmänna produktivitetsutvecklingen och till vad som gäller i våra vikt</w:t>
      </w:r>
      <w:r w:rsidRPr="00EC28AB">
        <w:t>i</w:t>
      </w:r>
      <w:r w:rsidRPr="00EC28AB">
        <w:t>gaste konkurrentländer. Alltför höga löneökningar ger dämpad tillväxt och lägre sysselsättning. För att klara inflationsmålet tvingas Riksbanken i så fall föra en stram pennin</w:t>
      </w:r>
      <w:r w:rsidRPr="00EC28AB">
        <w:t>g</w:t>
      </w:r>
      <w:r w:rsidRPr="00EC28AB">
        <w:t>politik och höja räntorna.</w:t>
      </w:r>
    </w:p>
    <w:p w:rsidR="00400BE2" w:rsidRPr="00EC28AB" w:rsidRDefault="00400BE2">
      <w:pPr>
        <w:pStyle w:val="Normaltindrag"/>
      </w:pPr>
      <w:r w:rsidRPr="00EC28AB">
        <w:t>Med hänvisning till det anförda anser finansutskottet att utrikesutskottet bör avstyrka motion U903 (v) yrkande 7.</w:t>
      </w:r>
    </w:p>
    <w:p w:rsidR="00400BE2" w:rsidRPr="00EC28AB" w:rsidRDefault="00400BE2">
      <w:pPr>
        <w:pStyle w:val="Rubrik3"/>
      </w:pPr>
      <w:bookmarkStart w:id="45" w:name="_Toc478890153"/>
      <w:bookmarkStart w:id="46" w:name="_Toc481403062"/>
      <w:bookmarkEnd w:id="34"/>
      <w:r w:rsidRPr="00EC28AB">
        <w:t>Offentlig upphandling</w:t>
      </w:r>
      <w:bookmarkEnd w:id="45"/>
      <w:bookmarkEnd w:id="46"/>
    </w:p>
    <w:p w:rsidR="00400BE2" w:rsidRPr="00EC28AB" w:rsidRDefault="00400BE2">
      <w:pPr>
        <w:pStyle w:val="Rubrik4"/>
        <w:spacing w:before="123"/>
      </w:pPr>
      <w:bookmarkStart w:id="47" w:name="_Toc478890154"/>
      <w:bookmarkStart w:id="48" w:name="_Toc481403063"/>
      <w:r w:rsidRPr="00EC28AB">
        <w:t>Motionen</w:t>
      </w:r>
      <w:bookmarkEnd w:id="47"/>
      <w:bookmarkEnd w:id="48"/>
    </w:p>
    <w:p w:rsidR="00400BE2" w:rsidRPr="00EC28AB" w:rsidRDefault="00400BE2">
      <w:r w:rsidRPr="00EC28AB">
        <w:t xml:space="preserve">Enligt </w:t>
      </w:r>
      <w:r w:rsidRPr="00EC28AB">
        <w:rPr>
          <w:i/>
        </w:rPr>
        <w:t>motion U513</w:t>
      </w:r>
      <w:r w:rsidRPr="00EC28AB">
        <w:t xml:space="preserve"> av Yvonne Ruwaida m.fl. (mp) ställer EU:s upphan</w:t>
      </w:r>
      <w:r w:rsidRPr="00EC28AB">
        <w:t>d</w:t>
      </w:r>
      <w:r w:rsidRPr="00EC28AB">
        <w:t>lingsregler till förtret när det gäller närproducerade livsmedel. En prioriterad fråga för Sverige att driva måste vara att ändra EU:s upphandlingsregler, vilka bl.a. inskränker det kommunala självstyret, så att lokal upphandling kan ske utan i</w:t>
      </w:r>
      <w:r w:rsidRPr="00EC28AB">
        <w:t>n</w:t>
      </w:r>
      <w:r w:rsidRPr="00EC28AB">
        <w:t>skränkningar.</w:t>
      </w:r>
    </w:p>
    <w:p w:rsidR="00400BE2" w:rsidRPr="00EC28AB" w:rsidRDefault="00400BE2">
      <w:pPr>
        <w:pStyle w:val="Rubrik4"/>
      </w:pPr>
      <w:bookmarkStart w:id="49" w:name="_Toc478890155"/>
      <w:bookmarkStart w:id="50" w:name="_Toc481403064"/>
      <w:r w:rsidRPr="00EC28AB">
        <w:t>Finansutskottets bedömning</w:t>
      </w:r>
      <w:bookmarkEnd w:id="50"/>
    </w:p>
    <w:bookmarkEnd w:id="49"/>
    <w:p w:rsidR="00400BE2" w:rsidRPr="00EC28AB" w:rsidRDefault="00400BE2">
      <w:r w:rsidRPr="00EC28AB">
        <w:t>Finansutskottet har nyligen behandlat och avstyrkt 20 motioner om offentlig upphandling (bet. 1999/2000:FiU16). Betänkandet justerades i utskottet den 7 mars och kammaren beslutade enligt utskottets hemställan den 22 mars. Utskottet anförde bland a</w:t>
      </w:r>
      <w:r w:rsidRPr="00EC28AB">
        <w:t>n</w:t>
      </w:r>
      <w:r w:rsidRPr="00EC28AB">
        <w:t>nat (s. 9 f.):</w:t>
      </w:r>
    </w:p>
    <w:p w:rsidR="00400BE2" w:rsidRPr="00EC28AB" w:rsidRDefault="00400BE2">
      <w:pPr>
        <w:pStyle w:val="Citat"/>
      </w:pPr>
      <w:r w:rsidRPr="00EC28AB">
        <w:t>Som framgått ovan pågår ett omfattande arbete inom EU med upphandling</w:t>
      </w:r>
      <w:r w:rsidRPr="00EC28AB">
        <w:t>s</w:t>
      </w:r>
      <w:r w:rsidRPr="00EC28AB">
        <w:t>frågor. Bl.a. är offentlig upphandling ett område som enligt kommissionens handlingsplan för den inre marknaden bör prioriteras. Kommissionen har i ett meddelande om offentlig upphandling anfört att reglerna bör göras enklare, mer flexibla och anpassade efter förändringarna på marknaden. Genom Amsterdamfördraget betonas att miljöhänsyn skall integreras i alla geme</w:t>
      </w:r>
      <w:r w:rsidRPr="00EC28AB">
        <w:t>n</w:t>
      </w:r>
      <w:r w:rsidRPr="00EC28AB">
        <w:t xml:space="preserve">skapens politikområden för att en hållbar utveckling skall uppnås. Ett stort antal av de frågor som är aktuella inom EU är sådana som utskottet </w:t>
      </w:r>
      <w:r w:rsidRPr="00EC28AB">
        <w:t>anser vara viktiga, t.ex. möjligheten att ställa miljökrav. Utskottet ser med til</w:t>
      </w:r>
      <w:r w:rsidRPr="00EC28AB">
        <w:t>l</w:t>
      </w:r>
      <w:r w:rsidRPr="00EC28AB">
        <w:t xml:space="preserve">fredsställelse på denna utveckling och förutsätter att Sverige driver dessa frågor med stor kraft. </w:t>
      </w:r>
    </w:p>
    <w:p w:rsidR="00400BE2" w:rsidRPr="00EC28AB" w:rsidRDefault="00400BE2">
      <w:pPr>
        <w:pStyle w:val="Citat"/>
      </w:pPr>
      <w:r w:rsidRPr="00EC28AB">
        <w:t>I sammanhanget vill utskottet nämna att Upphandlingskommittén i sitt for</w:t>
      </w:r>
      <w:r w:rsidRPr="00EC28AB">
        <w:t>t</w:t>
      </w:r>
      <w:r w:rsidRPr="00EC28AB">
        <w:t xml:space="preserve">satta arbete bl.a. skall följa det arbete som bedrivs i fråga om miljökrav vid offentlig upphandling, </w:t>
      </w:r>
      <w:r w:rsidRPr="00EC28AB">
        <w:rPr>
          <w:i/>
        </w:rPr>
        <w:t>behandla frågan om möjligheten att upphandla lokalt</w:t>
      </w:r>
      <w:r w:rsidRPr="00EC28AB">
        <w:t xml:space="preserve"> (kursiv här) samt analysera möjligheterna för en upphandlande enhet att ta in s.k. antidiskrimineringsklausuler i upphandlingsavtalet. Kommittén skall också ta fram riktlinjer för det svenska arbetet med upphandlingsfrågor i EU. </w:t>
      </w:r>
    </w:p>
    <w:p w:rsidR="00400BE2" w:rsidRPr="00EC28AB" w:rsidRDefault="00400BE2">
      <w:r w:rsidRPr="00EC28AB">
        <w:t>Utskottet ansåg inte att det arbete som redovisades i utskottets betänkande borde föregripas. Utskottet kan konstatera att Upph</w:t>
      </w:r>
      <w:r w:rsidRPr="00EC28AB">
        <w:t>andlingskommittén kommer att behandla frågan om möjligheten att upphandla lokalt. Således finner inte utskottet något tillkännagivande påkallat och anser att utrikesu</w:t>
      </w:r>
      <w:r w:rsidRPr="00EC28AB">
        <w:t>t</w:t>
      </w:r>
      <w:r w:rsidRPr="00EC28AB">
        <w:t>skottet bör avstyrka motion U513 (mp) yrkande 22.</w:t>
      </w:r>
    </w:p>
    <w:p w:rsidR="00400BE2" w:rsidRPr="00EC28AB" w:rsidRDefault="00400BE2">
      <w:pPr>
        <w:pStyle w:val="Rubrik3"/>
      </w:pPr>
      <w:bookmarkStart w:id="51" w:name="_Toc448028522"/>
      <w:bookmarkStart w:id="52" w:name="_Toc478890150"/>
      <w:bookmarkStart w:id="53" w:name="_Toc481403065"/>
      <w:r w:rsidRPr="00EC28AB">
        <w:t>Revisionsrättens slutsatser</w:t>
      </w:r>
      <w:bookmarkEnd w:id="53"/>
    </w:p>
    <w:p w:rsidR="00400BE2" w:rsidRPr="00EC28AB" w:rsidRDefault="00400BE2">
      <w:pPr>
        <w:pStyle w:val="Rubrik4"/>
        <w:spacing w:before="123"/>
      </w:pPr>
      <w:bookmarkStart w:id="54" w:name="_Toc481403066"/>
      <w:r w:rsidRPr="00EC28AB">
        <w:t>Motionen</w:t>
      </w:r>
      <w:bookmarkEnd w:id="54"/>
    </w:p>
    <w:p w:rsidR="00400BE2" w:rsidRPr="00EC28AB" w:rsidRDefault="00400BE2">
      <w:r w:rsidRPr="00EC28AB">
        <w:t xml:space="preserve">I </w:t>
      </w:r>
      <w:r w:rsidRPr="00EC28AB">
        <w:rPr>
          <w:i/>
        </w:rPr>
        <w:t>motion U14</w:t>
      </w:r>
      <w:r w:rsidRPr="00EC28AB">
        <w:t xml:space="preserve"> av Marianne Samuelsson och Yvonne Ruwaida (mp) anförs att revisionsrättens iakttagelser om verksamhetsåret är en allvarlig kritik mot sättet att handha unionens resurser. Denna kritik var en bidragande orsak till kommissionens avgång vilken var en positiv omskakning av EU-systemet. Tyvärr har, anför motionärerna, inte tillfredsställande åtgärder från kommi</w:t>
      </w:r>
      <w:r w:rsidRPr="00EC28AB">
        <w:t>s</w:t>
      </w:r>
      <w:r w:rsidRPr="00EC28AB">
        <w:t>sionens sida synts till, och motionärerna saknar en utförligare redogörelse för den svenska regeringens arbete med denna fråga. I motionen yrk</w:t>
      </w:r>
      <w:r w:rsidRPr="00EC28AB">
        <w:t>as att rik</w:t>
      </w:r>
      <w:r w:rsidRPr="00EC28AB">
        <w:t>s</w:t>
      </w:r>
      <w:r w:rsidRPr="00EC28AB">
        <w:t>dagen som sin mening skall ge regeringen till känna att kommande årsberä</w:t>
      </w:r>
      <w:r w:rsidRPr="00EC28AB">
        <w:t>t</w:t>
      </w:r>
      <w:r w:rsidRPr="00EC28AB">
        <w:t xml:space="preserve">telser mer utförligt måste redogöra för revisionsrättens slutsatser. </w:t>
      </w:r>
    </w:p>
    <w:p w:rsidR="00400BE2" w:rsidRPr="00EC28AB" w:rsidRDefault="00400BE2">
      <w:pPr>
        <w:pStyle w:val="Rubrik4"/>
      </w:pPr>
      <w:bookmarkStart w:id="55" w:name="_Toc481403067"/>
      <w:r w:rsidRPr="00EC28AB">
        <w:t>Finansutskottets bedömning</w:t>
      </w:r>
      <w:bookmarkEnd w:id="55"/>
    </w:p>
    <w:p w:rsidR="00400BE2" w:rsidRPr="00EC28AB" w:rsidRDefault="00400BE2">
      <w:r w:rsidRPr="00EC28AB">
        <w:t>Revisionsrätten behandlas i skrivelsens avsnitt 29.2.3 (s. 211) och 39.5 (s. 308 f.). Den praxis som har utvecklats innebär att mer utförliga redogöre</w:t>
      </w:r>
      <w:r w:rsidRPr="00EC28AB">
        <w:t>l</w:t>
      </w:r>
      <w:r w:rsidRPr="00EC28AB">
        <w:t>ser för revisionsrättens iakttagelser ges i den ekonomiska vårpropositionen (prop. 1996/97:150 s. 219 f., prop. 1997/98:150 s. 203 f., prop. 1998/99:100 s. 191 f.). Finansutskottet har behandlat revisionsrättens iakttagelser, och regeringens bedömningar av dessa, i betänkandena med anledning av vå</w:t>
      </w:r>
      <w:r w:rsidRPr="00EC28AB">
        <w:t>r</w:t>
      </w:r>
      <w:r w:rsidRPr="00EC28AB">
        <w:t>propositionen (bet. 1997/97:FiU20 s. 274 f., 1997/98:FiU20 s. 209 f., 1998/99:FiU20 s. 185 f.). Vid behandlingen våren 1998 yttrade sig fyra utskott till finansutskottet rörande revisionsrättens iakttagelser (utr</w:t>
      </w:r>
      <w:r w:rsidRPr="00EC28AB">
        <w:t>ikes-, jordbruks-, närings- samt arbetsmarknadsutskotten). Våren 1999 yttrade sig utrikesutskottet. Finansutskottet har framhållit att stor vikt bör läggas vid revisionsrättens rapporter och att det är angeläget att regeringen redogör för sin bedömning av iakttagelser rörande Sverige i rättens rapporter. Utskottet har vidare anfört att det är angeläget för Sverige att gemenskapsmedel a</w:t>
      </w:r>
      <w:r w:rsidRPr="00EC28AB">
        <w:t>n</w:t>
      </w:r>
      <w:r w:rsidRPr="00EC28AB">
        <w:t>vänds på korrekt sätt. Det finns en mängd skäl till att stödja strävandena inom EU för ökad effektivitet, säker medelshante</w:t>
      </w:r>
      <w:r w:rsidRPr="00EC28AB">
        <w:t>ring, stärkt kontroll och revision. För Sverige som stor nettobidragsgivare är det angeläget att verka för en så ändamålsenlig och kostnadseffektiv användning av gemenskapens medel som möjligt. Det är också av avgörande betydelse för den geme</w:t>
      </w:r>
      <w:r w:rsidRPr="00EC28AB">
        <w:t>n</w:t>
      </w:r>
      <w:r w:rsidRPr="00EC28AB">
        <w:t>samma politiken att medlen går till avsedda ändamål och inte slösas bort på grund av dålig administration och kontroll.</w:t>
      </w:r>
    </w:p>
    <w:p w:rsidR="00400BE2" w:rsidRPr="00EC28AB" w:rsidRDefault="00400BE2">
      <w:pPr>
        <w:pStyle w:val="Normaltindrag"/>
      </w:pPr>
      <w:r w:rsidRPr="00EC28AB">
        <w:t>Kommissionens arbete med att bekämpa bedrägerier redovisas i skrive</w:t>
      </w:r>
      <w:r w:rsidRPr="00EC28AB">
        <w:t>l</w:t>
      </w:r>
      <w:r w:rsidRPr="00EC28AB">
        <w:t>sens avsnitt 29.2.2 (s. 209 f.). I skrivelsen erinras om att beslut fattats om att inrätta en ny byrå för bekämpning av bedrägerier, OLAF. Förslaget om att inrätta ett nytt organ bereddes i rådet under våren 1999 och kunde tack vare gott samarbete mellan rådet, Europaparlamentet och kommissionen och med inte minst Sverige som pådrivande part i förhandlingarna avslutas redan i maj 1999.</w:t>
      </w:r>
    </w:p>
    <w:p w:rsidR="00400BE2" w:rsidRPr="00EC28AB" w:rsidRDefault="00400BE2">
      <w:pPr>
        <w:pStyle w:val="Normaltindrag"/>
      </w:pPr>
      <w:r w:rsidRPr="00EC28AB">
        <w:t>Finansutskottet fann i sin behandling av ett liknande yrkande i samband med förra årets skrivelse ingen anledning att före</w:t>
      </w:r>
      <w:r w:rsidRPr="00EC28AB">
        <w:t>slå någon ändring av den form som etablerats för regeringens redovisning av revisionsrättens rapporter (yttr. 1998/99:FiU3y). Finansutskottet vidhåller sin bedömning och anser således att utrikesutskottet bör avstyrka motion U14 (mp) yrkande 10.</w:t>
      </w:r>
    </w:p>
    <w:bookmarkEnd w:id="51"/>
    <w:bookmarkEnd w:id="52"/>
    <w:p w:rsidR="00400BE2" w:rsidRPr="00EC28AB" w:rsidRDefault="00400BE2">
      <w:pPr>
        <w:pStyle w:val="Normaltindrag"/>
      </w:pPr>
    </w:p>
    <w:p w:rsidR="00400BE2" w:rsidRPr="00EC28AB" w:rsidRDefault="00400BE2">
      <w:pPr>
        <w:pStyle w:val="Stockholm"/>
        <w:outlineLvl w:val="0"/>
      </w:pPr>
      <w:r w:rsidRPr="00EC28AB">
        <w:t>Stockholm den 11 april 2000</w:t>
      </w:r>
    </w:p>
    <w:p w:rsidR="00400BE2" w:rsidRPr="00EC28AB" w:rsidRDefault="00400BE2">
      <w:pPr>
        <w:pStyle w:val="Vgnar"/>
      </w:pPr>
      <w:r w:rsidRPr="00EC28AB">
        <w:t>På finansutskottets vägnar</w:t>
      </w:r>
    </w:p>
    <w:p w:rsidR="00400BE2" w:rsidRPr="00EC28AB" w:rsidRDefault="00400BE2">
      <w:pPr>
        <w:pStyle w:val="Ordfnamn"/>
      </w:pPr>
      <w:bookmarkStart w:id="56" w:name="Ordförande"/>
      <w:bookmarkEnd w:id="56"/>
      <w:r w:rsidRPr="00EC28AB">
        <w:t xml:space="preserve">Jan Bergqvist </w:t>
      </w:r>
    </w:p>
    <w:p w:rsidR="00400BE2" w:rsidRPr="00EC28AB" w:rsidRDefault="00400BE2">
      <w:pPr>
        <w:pStyle w:val="Deltagare"/>
      </w:pPr>
      <w:bookmarkStart w:id="57" w:name="Deltagare"/>
      <w:bookmarkEnd w:id="57"/>
      <w:r w:rsidRPr="00EC28AB">
        <w:t>I beslutet har deltagit: Jan Bergqvist (s), Mats Odell (kd), Gunnar Hökmark (m), Bengt Silfverstrand (s), Lisbet Calner (s), Johan Lönnroth (v), Lennart Hedquist (m), Sonia Karlsson (s), Fredrik Reinfeldt (m), Carin Lundberg (s), Sven-Erik Österberg (s), Per Landgren (kd), Anna Åkerhielm (m), Matz Hammarström (mp), Karin Pilsäter (fp), Marie Engström (v) och Agne Han</w:t>
      </w:r>
      <w:r w:rsidRPr="00EC28AB">
        <w:t>s</w:t>
      </w:r>
      <w:r w:rsidRPr="00EC28AB">
        <w:t>son (c).</w:t>
      </w:r>
    </w:p>
    <w:p w:rsidR="00400BE2" w:rsidRPr="00EC28AB" w:rsidRDefault="00400BE2">
      <w:pPr>
        <w:pStyle w:val="Normaltindrag"/>
        <w:ind w:firstLine="0"/>
      </w:pPr>
    </w:p>
    <w:p w:rsidR="00400BE2" w:rsidRPr="00EC28AB" w:rsidRDefault="00400BE2">
      <w:pPr>
        <w:pStyle w:val="Normaltindrag"/>
        <w:ind w:firstLine="0"/>
      </w:pPr>
    </w:p>
    <w:p w:rsidR="00400BE2" w:rsidRPr="00EC28AB" w:rsidRDefault="00400BE2">
      <w:pPr>
        <w:pStyle w:val="Rubrik1"/>
      </w:pPr>
      <w:bookmarkStart w:id="58" w:name="_Toc481403068"/>
      <w:r w:rsidRPr="00EC28AB">
        <w:t>Avvikande meningar</w:t>
      </w:r>
      <w:bookmarkEnd w:id="58"/>
    </w:p>
    <w:p w:rsidR="00400BE2" w:rsidRPr="00EC28AB" w:rsidRDefault="00400BE2">
      <w:pPr>
        <w:pStyle w:val="Rubrik2"/>
        <w:spacing w:before="123"/>
      </w:pPr>
      <w:bookmarkStart w:id="59" w:name="_Toc481403069"/>
      <w:r w:rsidRPr="00EC28AB">
        <w:t>1. Finansiering av EU (m, kd, fp)</w:t>
      </w:r>
      <w:bookmarkEnd w:id="59"/>
    </w:p>
    <w:p w:rsidR="00400BE2" w:rsidRPr="00EC28AB" w:rsidRDefault="00400BE2">
      <w:r w:rsidRPr="00EC28AB">
        <w:t>Mats Odell (kd), Gunnar Hökmark (m), Lennart Hedquist (m), Fredrik Rei</w:t>
      </w:r>
      <w:r w:rsidRPr="00EC28AB">
        <w:t>n</w:t>
      </w:r>
      <w:r w:rsidRPr="00EC28AB">
        <w:t xml:space="preserve">feldt (m), Per Landgren (kd), Anna Åkerhielm (m) och Karin Pilsäter (fp) anser att finansutskottets bedömning under rubriken </w:t>
      </w:r>
      <w:r w:rsidRPr="00EC28AB">
        <w:rPr>
          <w:i/>
        </w:rPr>
        <w:t>Finansiering av EU</w:t>
      </w:r>
      <w:r w:rsidRPr="00EC28AB">
        <w:t xml:space="preserve"> bort ha följande lyde</w:t>
      </w:r>
      <w:r w:rsidRPr="00EC28AB">
        <w:t>l</w:t>
      </w:r>
      <w:r w:rsidRPr="00EC28AB">
        <w:t>se:</w:t>
      </w:r>
    </w:p>
    <w:p w:rsidR="00400BE2" w:rsidRPr="00EC28AB" w:rsidRDefault="00400BE2">
      <w:r w:rsidRPr="00EC28AB">
        <w:t>Finansutskottet vill erinra om att EU tar i anspråk 1,1 % av medlemslände</w:t>
      </w:r>
      <w:r w:rsidRPr="00EC28AB">
        <w:t>r</w:t>
      </w:r>
      <w:r w:rsidRPr="00EC28AB">
        <w:t>nas samlade resurser. Av detta används hälften för jordbrukssubventioner och en tredjedel för regionalpolitik. Utskottet vill understryka att det är a</w:t>
      </w:r>
      <w:r w:rsidRPr="00EC28AB">
        <w:t>n</w:t>
      </w:r>
      <w:r w:rsidRPr="00EC28AB">
        <w:t>geläget att EU inte utvecklas till en transfereringsunion utan strikt koncentr</w:t>
      </w:r>
      <w:r w:rsidRPr="00EC28AB">
        <w:t>e</w:t>
      </w:r>
      <w:r w:rsidRPr="00EC28AB">
        <w:t>rar sig på de områden där EU verkligen behövs. Medlemsavgiften måste även fortsättningsvis beslutas enhälligt. Nettobidragsmottagande länder får inte ha möjlighet att rösta ned nettobidragsgivare i syfte att öka subsidier. Vidare skall EU inte ges rätt att ta ut skatt. Finansierin</w:t>
      </w:r>
      <w:r w:rsidRPr="00EC28AB">
        <w:t>gen skall som hittills ske via avgi</w:t>
      </w:r>
      <w:r w:rsidRPr="00EC28AB">
        <w:t>f</w:t>
      </w:r>
      <w:r w:rsidRPr="00EC28AB">
        <w:t xml:space="preserve">ter från medlemsländerna. </w:t>
      </w:r>
    </w:p>
    <w:p w:rsidR="00400BE2" w:rsidRPr="00EC28AB" w:rsidRDefault="00400BE2">
      <w:pPr>
        <w:pStyle w:val="Normaltindrag"/>
      </w:pPr>
      <w:r w:rsidRPr="00EC28AB">
        <w:t xml:space="preserve">Finansutskottet anser att utrikesutskottet bör tillstyrka motion U503 (m) yrkande 9 i denna del. </w:t>
      </w:r>
    </w:p>
    <w:p w:rsidR="00400BE2" w:rsidRPr="00EC28AB" w:rsidRDefault="00400BE2">
      <w:pPr>
        <w:pStyle w:val="Rubrik2"/>
      </w:pPr>
      <w:bookmarkStart w:id="60" w:name="_Toc481403070"/>
      <w:r w:rsidRPr="00EC28AB">
        <w:t>2. Internationellt samarbete som ett alternativ till deltagande i EMU (m, kd, fp)</w:t>
      </w:r>
      <w:bookmarkEnd w:id="60"/>
    </w:p>
    <w:p w:rsidR="00400BE2" w:rsidRPr="00EC28AB" w:rsidRDefault="00400BE2">
      <w:r w:rsidRPr="00EC28AB">
        <w:t>Mats Odell (kd), Gunnar Hökmark (m), Lennart Hedquist (m), Fredrik Rei</w:t>
      </w:r>
      <w:r w:rsidRPr="00EC28AB">
        <w:t>n</w:t>
      </w:r>
      <w:r w:rsidRPr="00EC28AB">
        <w:t xml:space="preserve">feldt (m), Per Landgren (kd), Anna Åkerhielm (m) och Karin Pilsäter (fp) anser att finansutskottets bedömning under rubriken </w:t>
      </w:r>
      <w:r w:rsidRPr="00EC28AB">
        <w:rPr>
          <w:i/>
        </w:rPr>
        <w:t>Internationellt sama</w:t>
      </w:r>
      <w:r w:rsidRPr="00EC28AB">
        <w:rPr>
          <w:i/>
        </w:rPr>
        <w:t>r</w:t>
      </w:r>
      <w:r w:rsidRPr="00EC28AB">
        <w:rPr>
          <w:i/>
        </w:rPr>
        <w:t>bete som ett alternativ till deltagande i EMU</w:t>
      </w:r>
      <w:r w:rsidRPr="00EC28AB">
        <w:t xml:space="preserve"> bort ha följa</w:t>
      </w:r>
      <w:r w:rsidRPr="00EC28AB">
        <w:t>n</w:t>
      </w:r>
      <w:r w:rsidRPr="00EC28AB">
        <w:t>de lydelse:</w:t>
      </w:r>
    </w:p>
    <w:p w:rsidR="00400BE2" w:rsidRPr="00EC28AB" w:rsidRDefault="00400BE2">
      <w:r w:rsidRPr="00EC28AB">
        <w:t>Finansutskottet anser att ett fullt deltagande i EMU:s tredje steg är en viktig åtgärd i Sveriges integrationsarbete. Dessutom är införandet av den geme</w:t>
      </w:r>
      <w:r w:rsidRPr="00EC28AB">
        <w:t>n</w:t>
      </w:r>
      <w:r w:rsidRPr="00EC28AB">
        <w:t>samma valutan ett viktigt steg i fullbordan av en verkligt gemensam marknad och ett värdefullt hjälpmedel för att bekämpa arbetslösheten. Valutaosäke</w:t>
      </w:r>
      <w:r w:rsidRPr="00EC28AB">
        <w:t>r</w:t>
      </w:r>
      <w:r w:rsidRPr="00EC28AB">
        <w:t>heten minskar och räntan blir lägre. Den största fördelen är att det blir myc</w:t>
      </w:r>
      <w:r w:rsidRPr="00EC28AB">
        <w:t>k</w:t>
      </w:r>
      <w:r w:rsidRPr="00EC28AB">
        <w:t xml:space="preserve">et lättare för privatpersoner och småföretag att agera över gränserna när de skall resa, handla, göra affärer, spara, låna, investera, köpa hus, studera eller pensionera sig. </w:t>
      </w:r>
    </w:p>
    <w:p w:rsidR="00400BE2" w:rsidRPr="00EC28AB" w:rsidRDefault="00400BE2">
      <w:pPr>
        <w:pStyle w:val="Normaltindrag"/>
      </w:pPr>
      <w:r w:rsidRPr="00EC28AB">
        <w:t>Finansutskottet vill vidare framhålla att den gemensamma valutan skapar transparens. Möjligheterna att göra</w:t>
      </w:r>
      <w:r w:rsidRPr="00EC28AB">
        <w:t xml:space="preserve"> prisjämförelser ökar. En större prispress uppstår på framför allt de varor och tjänster som lätt kan beställas över n</w:t>
      </w:r>
      <w:r w:rsidRPr="00EC28AB">
        <w:t>a</w:t>
      </w:r>
      <w:r w:rsidRPr="00EC28AB">
        <w:t>tionsgränserna. För att de svenska konsumenterna fullt ut skall kunna utnyttja dessa fördelar är det viktigt att Sverige deltar helt och hållet i det europeiska val</w:t>
      </w:r>
      <w:r w:rsidRPr="00EC28AB">
        <w:t>u</w:t>
      </w:r>
      <w:r w:rsidRPr="00EC28AB">
        <w:t xml:space="preserve">tasamarbetet. </w:t>
      </w:r>
    </w:p>
    <w:p w:rsidR="00400BE2" w:rsidRPr="00EC28AB" w:rsidRDefault="00400BE2">
      <w:pPr>
        <w:pStyle w:val="Normaltindrag"/>
      </w:pPr>
      <w:r w:rsidRPr="00EC28AB">
        <w:t>Med hänvisning till det anförda anser finansutskottet att utrikesutskottet bör avstyrka motion U903 (v) yrkande 7.</w:t>
      </w:r>
    </w:p>
    <w:p w:rsidR="00400BE2" w:rsidRPr="00EC28AB" w:rsidRDefault="00400BE2">
      <w:pPr>
        <w:pStyle w:val="Rubrik2"/>
      </w:pPr>
      <w:bookmarkStart w:id="61" w:name="_Toc481403071"/>
      <w:r w:rsidRPr="00EC28AB">
        <w:t>3. Internationellt samarbete som ett alternativ till deltagande i EMU (v, mp)</w:t>
      </w:r>
      <w:bookmarkEnd w:id="61"/>
    </w:p>
    <w:p w:rsidR="00400BE2" w:rsidRPr="00EC28AB" w:rsidRDefault="00400BE2">
      <w:r w:rsidRPr="00EC28AB">
        <w:t xml:space="preserve">Johan Lönnroth (v), Matz Hammarström (mp) och Marie Engström (v) anser att finansutskottets bedömning under rubriken </w:t>
      </w:r>
      <w:r w:rsidRPr="00EC28AB">
        <w:rPr>
          <w:i/>
        </w:rPr>
        <w:t>Internationellt samarbete som ett alte</w:t>
      </w:r>
      <w:r w:rsidRPr="00EC28AB">
        <w:rPr>
          <w:i/>
        </w:rPr>
        <w:t>r</w:t>
      </w:r>
      <w:r w:rsidRPr="00EC28AB">
        <w:rPr>
          <w:i/>
        </w:rPr>
        <w:t>nativ till deltagande i EMU</w:t>
      </w:r>
      <w:r w:rsidRPr="00EC28AB">
        <w:t xml:space="preserve"> bort ha följande lydelse:</w:t>
      </w:r>
    </w:p>
    <w:p w:rsidR="00400BE2" w:rsidRPr="00EC28AB" w:rsidRDefault="00400BE2">
      <w:r w:rsidRPr="00EC28AB">
        <w:t>Som påpekas i motion U903 (v) framställs EMU ofta som ett medel för politiken att begränsa kapitalets makt och förhindra valutaspekulation – ett verktyg för folkvalda och regeringar att återta förlorad makt i en globaliserad värld. Finansutskottet vill i likhet med motionärerna framhålla att det är en uppfattning som det går att resa många invändningar emot. EMU är en g</w:t>
      </w:r>
      <w:r w:rsidRPr="00EC28AB">
        <w:t>a</w:t>
      </w:r>
      <w:r w:rsidRPr="00EC28AB">
        <w:t>ranti för globaliserade kapitalrörelser, inte ett hinder för dem. Det är rimlig</w:t>
      </w:r>
      <w:r w:rsidRPr="00EC28AB">
        <w:t>a</w:t>
      </w:r>
      <w:r w:rsidRPr="00EC28AB">
        <w:t>re att se EMU mer som de privata kapitalägarnas redskap för att tygla dem</w:t>
      </w:r>
      <w:r w:rsidRPr="00EC28AB">
        <w:t>o</w:t>
      </w:r>
      <w:r w:rsidRPr="00EC28AB">
        <w:t>kratin än som demokratins redskap för att tygla kapitalägarna. Att valut</w:t>
      </w:r>
      <w:r w:rsidRPr="00EC28AB">
        <w:t>a</w:t>
      </w:r>
      <w:r w:rsidRPr="00EC28AB">
        <w:t>fluktuationer uppfattas som något väldigt problematiskt är ofta utgång</w:t>
      </w:r>
      <w:r w:rsidRPr="00EC28AB">
        <w:t>s</w:t>
      </w:r>
      <w:r w:rsidRPr="00EC28AB">
        <w:t>punkten när man argumenterar för ett EMU-medlemskap och valutapolitisk stabilitet. Men även detta är en tveksam uppfattning. Vid en samlad bedö</w:t>
      </w:r>
      <w:r w:rsidRPr="00EC28AB">
        <w:t>m</w:t>
      </w:r>
      <w:r w:rsidRPr="00EC28AB">
        <w:t xml:space="preserve">ning hade den svenska EMU-utredningen svårt att finna belägg för att </w:t>
      </w:r>
      <w:r w:rsidRPr="00EC28AB">
        <w:t>växe</w:t>
      </w:r>
      <w:r w:rsidRPr="00EC28AB">
        <w:t>l</w:t>
      </w:r>
      <w:r w:rsidRPr="00EC28AB">
        <w:t>kursförändringar skulle ha några negativa effekter för utrikeshandel, räntor och investeringar. Däremot varnade utredningen för risken med ökad a</w:t>
      </w:r>
      <w:r w:rsidRPr="00EC28AB">
        <w:t>r</w:t>
      </w:r>
      <w:r w:rsidRPr="00EC28AB">
        <w:t>betslöshet om det inte går att anpassa valutan vid ekonomiska krislägen. Kan inte valutan vara flexibel måste arbetsmarknaden vara det. Därför är risken för ökad arbetslöshet bet</w:t>
      </w:r>
      <w:r w:rsidRPr="00EC28AB">
        <w:t>y</w:t>
      </w:r>
      <w:r w:rsidRPr="00EC28AB">
        <w:t>dande.</w:t>
      </w:r>
    </w:p>
    <w:p w:rsidR="00400BE2" w:rsidRPr="00EC28AB" w:rsidRDefault="00400BE2">
      <w:pPr>
        <w:pStyle w:val="Normaltindrag"/>
      </w:pPr>
      <w:r w:rsidRPr="00EC28AB">
        <w:t>EMU är enligt motionärerna i grunden en konstruktion byggd på det m</w:t>
      </w:r>
      <w:r w:rsidRPr="00EC28AB">
        <w:t>o</w:t>
      </w:r>
      <w:r w:rsidRPr="00EC28AB">
        <w:t xml:space="preserve">netaristiska högertänkandet som växte sig starkt under 1980-talet. Kärnan i detta tänkande är att allmänhet och förtroendevalda skall berövas ansvaret för den ekonomiska politiken, ett ansvar som i stället skall överlämnas till förment opolitiska experter. Minskad demokrati har alltid gynnat starka privata kapitalgrupper, så även i fallet med EMU. Sverige kan och skall spela en mer aktiv och mer progressiv roll i skapandet av en ny, mer rättvis och demokratisk, världsordning utanför EMU. </w:t>
      </w:r>
    </w:p>
    <w:p w:rsidR="00400BE2" w:rsidRPr="00EC28AB" w:rsidRDefault="00400BE2">
      <w:r w:rsidRPr="00EC28AB">
        <w:t>Sverige bör bli ä</w:t>
      </w:r>
      <w:r w:rsidRPr="00EC28AB">
        <w:t>n mer pådrivande för ett utvidgat samarbete i globalekon</w:t>
      </w:r>
      <w:r w:rsidRPr="00EC28AB">
        <w:t>o</w:t>
      </w:r>
      <w:r w:rsidRPr="00EC28AB">
        <w:t xml:space="preserve">miska frågor. Sex huvudfrågor bör prioriteras. </w:t>
      </w:r>
    </w:p>
    <w:p w:rsidR="00400BE2" w:rsidRPr="00EC28AB" w:rsidRDefault="00400BE2">
      <w:pPr>
        <w:pStyle w:val="Normaltindrag"/>
        <w:numPr>
          <w:ilvl w:val="0"/>
          <w:numId w:val="1"/>
        </w:numPr>
      </w:pPr>
      <w:r w:rsidRPr="00EC28AB">
        <w:t>För det första bör Sverige ta initiativ till att redovisa omvärldseffekter av nationell politik. Bland annat bör detta gälla omvärldseffekter på sysse</w:t>
      </w:r>
      <w:r w:rsidRPr="00EC28AB">
        <w:t>l</w:t>
      </w:r>
      <w:r w:rsidRPr="00EC28AB">
        <w:t>sättningsområdet, när det gäller klyftorna mellan rika och fattiga länder samt när det gäller förändringar på miljöområdet och i genu</w:t>
      </w:r>
      <w:r w:rsidRPr="00EC28AB">
        <w:t>s</w:t>
      </w:r>
      <w:r w:rsidRPr="00EC28AB">
        <w:t xml:space="preserve">systemet. </w:t>
      </w:r>
    </w:p>
    <w:p w:rsidR="00400BE2" w:rsidRPr="00EC28AB" w:rsidRDefault="00400BE2">
      <w:pPr>
        <w:pStyle w:val="Normaltindrag"/>
        <w:numPr>
          <w:ilvl w:val="0"/>
          <w:numId w:val="1"/>
        </w:numPr>
      </w:pPr>
      <w:r w:rsidRPr="00EC28AB">
        <w:t>Ett annat initiativ bör tas på skatteområdet. En synbar effekt av global</w:t>
      </w:r>
      <w:r w:rsidRPr="00EC28AB">
        <w:t>i</w:t>
      </w:r>
      <w:r w:rsidRPr="00EC28AB">
        <w:t>seringen under senare år är tendensen att allt fler nationer har låga ska</w:t>
      </w:r>
      <w:r w:rsidRPr="00EC28AB">
        <w:t>t</w:t>
      </w:r>
      <w:r w:rsidRPr="00EC28AB">
        <w:t>ter på kapital och företag för att locka till sig utlandsinvesteringar. G</w:t>
      </w:r>
      <w:r w:rsidRPr="00EC28AB">
        <w:t>e</w:t>
      </w:r>
      <w:r w:rsidRPr="00EC28AB">
        <w:t>nom låg skatt på energi, bensin och miljöfarlig produktion kan länderna också locka till sig miljöfarlig produktion från länder med en mer pr</w:t>
      </w:r>
      <w:r w:rsidRPr="00EC28AB">
        <w:t>o</w:t>
      </w:r>
      <w:r w:rsidRPr="00EC28AB">
        <w:t>gressiv miljöpolitik. Regeringen bör i de internationella institutionerna verka för åtgärder för att minska sådan skadlig skattekonkurrens och för en global skatt på valutatransaktioner.</w:t>
      </w:r>
    </w:p>
    <w:p w:rsidR="00400BE2" w:rsidRPr="00EC28AB" w:rsidRDefault="00400BE2">
      <w:pPr>
        <w:pStyle w:val="Normaltindrag"/>
        <w:numPr>
          <w:ilvl w:val="0"/>
          <w:numId w:val="1"/>
        </w:numPr>
      </w:pPr>
      <w:r w:rsidRPr="00EC28AB">
        <w:t>Regeringen bör ta initiativ till a</w:t>
      </w:r>
      <w:r w:rsidRPr="00EC28AB">
        <w:t>tt uppnå en mellanstatlig finanspolitisk samordning för fler jobb i Europa. Trots en uppåtgående konjunktur u</w:t>
      </w:r>
      <w:r w:rsidRPr="00EC28AB">
        <w:t>t</w:t>
      </w:r>
      <w:r w:rsidRPr="00EC28AB">
        <w:t>gör massarbetslösheten det absolut största sociala problemet i både E</w:t>
      </w:r>
      <w:r w:rsidRPr="00EC28AB">
        <w:t>u</w:t>
      </w:r>
      <w:r w:rsidRPr="00EC28AB">
        <w:t>ropa och andra delar av världen.</w:t>
      </w:r>
      <w:r w:rsidRPr="00EC28AB">
        <w:tab/>
      </w:r>
    </w:p>
    <w:p w:rsidR="00400BE2" w:rsidRPr="00EC28AB" w:rsidRDefault="00400BE2">
      <w:pPr>
        <w:pStyle w:val="Normaltindrag"/>
        <w:numPr>
          <w:ilvl w:val="0"/>
          <w:numId w:val="1"/>
        </w:numPr>
      </w:pPr>
      <w:r w:rsidRPr="00EC28AB">
        <w:t>Det fjärde området gäller miljön. Det finns i dag ett stort antal intern</w:t>
      </w:r>
      <w:r w:rsidRPr="00EC28AB">
        <w:t>a</w:t>
      </w:r>
      <w:r w:rsidRPr="00EC28AB">
        <w:t>tionella konventioner till skydd för miljön. Ett problem är emellertid att konventionerna snarare är moraliskt än juridiskt bindande eftersom det inte finns något juridiskt instrument som kan hantera eventuella brott mot konventionen. Inrättandet av en internationell miljödomstol skulle kunna vara ett sätt att hantera problemet.</w:t>
      </w:r>
    </w:p>
    <w:p w:rsidR="00400BE2" w:rsidRPr="00EC28AB" w:rsidRDefault="00400BE2">
      <w:pPr>
        <w:pStyle w:val="Normaltindrag"/>
        <w:numPr>
          <w:ilvl w:val="0"/>
          <w:numId w:val="1"/>
        </w:numPr>
      </w:pPr>
      <w:r w:rsidRPr="00EC28AB">
        <w:t>Samarbetet mellan nationerna behöver öka för att balansera de stora multinationella företagens makt. I samarbete med de fackliga organis</w:t>
      </w:r>
      <w:r w:rsidRPr="00EC28AB">
        <w:t>a</w:t>
      </w:r>
      <w:r w:rsidRPr="00EC28AB">
        <w:t>tionerna och andra folkrörelser bör de parlamentariska församlingarna forma långsiktiga ägarstrategier med sikte på ett större hänsynstagande till bland annat sociala konsekvenser och miljöpåverkan. Bland annat kan detta ske genom att utnyttja pensionssparande för strategiska inve</w:t>
      </w:r>
      <w:r w:rsidRPr="00EC28AB">
        <w:t>s</w:t>
      </w:r>
      <w:r w:rsidRPr="00EC28AB">
        <w:t>teringar och inflytande i företagen. Regeringen bör i olika internati</w:t>
      </w:r>
      <w:r w:rsidRPr="00EC28AB">
        <w:t>o</w:t>
      </w:r>
      <w:r w:rsidRPr="00EC28AB">
        <w:t>nella forum verka för formandet av en sådan ägarstrategi.</w:t>
      </w:r>
      <w:r w:rsidRPr="00EC28AB">
        <w:tab/>
      </w:r>
    </w:p>
    <w:p w:rsidR="00400BE2" w:rsidRPr="00EC28AB" w:rsidRDefault="00400BE2">
      <w:pPr>
        <w:pStyle w:val="Normaltindrag"/>
        <w:numPr>
          <w:ilvl w:val="0"/>
          <w:numId w:val="1"/>
        </w:numPr>
      </w:pPr>
      <w:r w:rsidRPr="00EC28AB">
        <w:t>Frågan om den ekonomiska maktens fördelning gäller inte bara kapital och arbete, utan också i högsta</w:t>
      </w:r>
      <w:r w:rsidRPr="00EC28AB">
        <w:t xml:space="preserve"> grad kvinnor och män. I de avancerade kapitalistiska industriländerna har det på senare tid alltmer uppmär</w:t>
      </w:r>
      <w:r w:rsidRPr="00EC28AB">
        <w:t>k</w:t>
      </w:r>
      <w:r w:rsidRPr="00EC28AB">
        <w:t>sammats att både ägarmakten och den verkställande ledningen i de mu</w:t>
      </w:r>
      <w:r w:rsidRPr="00EC28AB">
        <w:t>l</w:t>
      </w:r>
      <w:r w:rsidRPr="00EC28AB">
        <w:t xml:space="preserve">tinationella företagen är totalt manligt dominerade. </w:t>
      </w:r>
    </w:p>
    <w:p w:rsidR="00400BE2" w:rsidRPr="00EC28AB" w:rsidRDefault="00400BE2">
      <w:r w:rsidRPr="00EC28AB">
        <w:t>Finansutskottet anser att utrikesutskottet bör tillstyrka motion U903 (v) y</w:t>
      </w:r>
      <w:r w:rsidRPr="00EC28AB">
        <w:t>r</w:t>
      </w:r>
      <w:r w:rsidRPr="00EC28AB">
        <w:t>kande 7.</w:t>
      </w:r>
    </w:p>
    <w:p w:rsidR="00400BE2" w:rsidRPr="00EC28AB" w:rsidRDefault="00400BE2">
      <w:pPr>
        <w:pStyle w:val="Rubrik2"/>
      </w:pPr>
      <w:bookmarkStart w:id="62" w:name="_Toc481403072"/>
      <w:r w:rsidRPr="00EC28AB">
        <w:t>4. Revisionsrättens slutsatser (mp)</w:t>
      </w:r>
      <w:bookmarkEnd w:id="62"/>
    </w:p>
    <w:p w:rsidR="00400BE2" w:rsidRPr="00EC28AB" w:rsidRDefault="00400BE2">
      <w:r w:rsidRPr="00EC28AB">
        <w:t>Matz Hammarström (mp) anser att finansutskottets bedömning under rubr</w:t>
      </w:r>
      <w:r w:rsidRPr="00EC28AB">
        <w:t>i</w:t>
      </w:r>
      <w:r w:rsidRPr="00EC28AB">
        <w:t xml:space="preserve">ken </w:t>
      </w:r>
      <w:r w:rsidRPr="00EC28AB">
        <w:rPr>
          <w:i/>
        </w:rPr>
        <w:t>Revisionsrättens slutsatser</w:t>
      </w:r>
      <w:r w:rsidRPr="00EC28AB">
        <w:t xml:space="preserve"> bort ha fö</w:t>
      </w:r>
      <w:r w:rsidRPr="00EC28AB">
        <w:t>l</w:t>
      </w:r>
      <w:r w:rsidRPr="00EC28AB">
        <w:t>jande lydelse:</w:t>
      </w:r>
    </w:p>
    <w:p w:rsidR="00400BE2" w:rsidRPr="00EC28AB" w:rsidRDefault="00400BE2">
      <w:r w:rsidRPr="00EC28AB">
        <w:t>Som framhålls i motion U14 (mp) innebär Revisionsrättens iakttagelser om verksamhetsåret en allvarlig kritik mot sättet att handha unionens resurser. Denna kritik var en bidragande orsak till kommissionens avgång vilken var en positiv omskakning av EU-systemet. Tyvärr har inte tillfredsställande åtgärder från kommissionens sida synts till, och utskottet saknar en utförlig</w:t>
      </w:r>
      <w:r w:rsidRPr="00EC28AB">
        <w:t>a</w:t>
      </w:r>
      <w:r w:rsidRPr="00EC28AB">
        <w:t>re redogörelse för den svenska regeringens arbete med denna fråga. Den allvarliga och omfattande korruption som finns inom EU-systemet bör lyftas fram tydligare i regeringens skrivelse. Kommande årsberättelser måste red</w:t>
      </w:r>
      <w:r w:rsidRPr="00EC28AB">
        <w:t>o</w:t>
      </w:r>
      <w:r w:rsidRPr="00EC28AB">
        <w:t>göra mer utförligt för rev</w:t>
      </w:r>
      <w:r w:rsidRPr="00EC28AB">
        <w:t>i</w:t>
      </w:r>
      <w:r w:rsidRPr="00EC28AB">
        <w:t>sionsrättens slutsatser.</w:t>
      </w:r>
    </w:p>
    <w:p w:rsidR="00400BE2" w:rsidRPr="00EC28AB" w:rsidRDefault="00400BE2">
      <w:pPr>
        <w:pStyle w:val="Normaltindrag"/>
      </w:pPr>
      <w:r w:rsidRPr="00EC28AB">
        <w:t xml:space="preserve">Finansutskottet anser att utrikesutskottet bör tillstyrka motion U14 (mp) yrkande 10. </w:t>
      </w:r>
    </w:p>
    <w:p w:rsidR="00400BE2" w:rsidRPr="00EC28AB" w:rsidRDefault="00400BE2">
      <w:pPr>
        <w:pStyle w:val="Normaltindrag"/>
        <w:ind w:firstLine="0"/>
      </w:pPr>
      <w:bookmarkStart w:id="63" w:name="Nästa_Reservation"/>
      <w:bookmarkEnd w:id="63"/>
    </w:p>
    <w:p w:rsidR="00400BE2" w:rsidRPr="00EC28AB" w:rsidRDefault="00400BE2">
      <w:pPr>
        <w:pStyle w:val="Normaltindrag"/>
        <w:ind w:firstLine="0"/>
        <w:sectPr w:rsidR="00000000" w:rsidRPr="00EC28AB">
          <w:headerReference w:type="default" r:id="rId10"/>
          <w:footerReference w:type="default" r:id="rId11"/>
          <w:pgSz w:w="11906" w:h="16838" w:code="9"/>
          <w:pgMar w:top="567" w:right="4876" w:bottom="4508" w:left="1134" w:header="227" w:footer="227" w:gutter="0"/>
          <w:cols w:space="720"/>
        </w:sectPr>
      </w:pPr>
    </w:p>
    <w:p w:rsidR="00400BE2" w:rsidRPr="00EC28AB" w:rsidRDefault="00400BE2">
      <w:pPr>
        <w:pStyle w:val="Innehll"/>
        <w:outlineLvl w:val="0"/>
      </w:pPr>
      <w:r w:rsidRPr="00EC28AB">
        <w:t>Innehållsförteckning</w:t>
      </w:r>
    </w:p>
    <w:p w:rsidR="00400BE2" w:rsidRPr="00EC28AB" w:rsidRDefault="00400BE2">
      <w:pPr>
        <w:pStyle w:val="Innehll1"/>
      </w:pPr>
      <w:r w:rsidRPr="00EC28AB">
        <w:t>Till utrikesutskottet</w:t>
      </w:r>
      <w:r w:rsidRPr="00EC28AB">
        <w:tab/>
        <w:t>1</w:t>
      </w:r>
    </w:p>
    <w:p w:rsidR="00400BE2" w:rsidRPr="00EC28AB" w:rsidRDefault="00400BE2">
      <w:pPr>
        <w:pStyle w:val="Innehll2"/>
      </w:pPr>
      <w:r w:rsidRPr="00EC28AB">
        <w:t>Regeringens skrivelse</w:t>
      </w:r>
      <w:r w:rsidRPr="00EC28AB">
        <w:tab/>
        <w:t>1</w:t>
      </w:r>
    </w:p>
    <w:p w:rsidR="00400BE2" w:rsidRPr="00EC28AB" w:rsidRDefault="00400BE2">
      <w:pPr>
        <w:pStyle w:val="Innehll2"/>
      </w:pPr>
      <w:r w:rsidRPr="00EC28AB">
        <w:t>Motionsyrkandena</w:t>
      </w:r>
      <w:r w:rsidRPr="00EC28AB">
        <w:tab/>
        <w:t>2</w:t>
      </w:r>
    </w:p>
    <w:p w:rsidR="00400BE2" w:rsidRPr="00EC28AB" w:rsidRDefault="00400BE2">
      <w:pPr>
        <w:pStyle w:val="Innehll3"/>
      </w:pPr>
      <w:r w:rsidRPr="00EC28AB">
        <w:t>Motion med anledning av skrivelse 60</w:t>
      </w:r>
      <w:r w:rsidRPr="00EC28AB">
        <w:tab/>
        <w:t>2</w:t>
      </w:r>
    </w:p>
    <w:p w:rsidR="00400BE2" w:rsidRPr="00EC28AB" w:rsidRDefault="00400BE2">
      <w:pPr>
        <w:pStyle w:val="Innehll3"/>
      </w:pPr>
      <w:r w:rsidRPr="00EC28AB">
        <w:t>Motioner från allmänna motionstiden</w:t>
      </w:r>
      <w:r w:rsidRPr="00EC28AB">
        <w:tab/>
        <w:t>2</w:t>
      </w:r>
    </w:p>
    <w:p w:rsidR="00400BE2" w:rsidRPr="00EC28AB" w:rsidRDefault="00400BE2">
      <w:pPr>
        <w:pStyle w:val="Innehll2"/>
      </w:pPr>
      <w:r w:rsidRPr="00EC28AB">
        <w:t>Utskottet</w:t>
      </w:r>
      <w:r w:rsidRPr="00EC28AB">
        <w:tab/>
        <w:t>3</w:t>
      </w:r>
    </w:p>
    <w:p w:rsidR="00400BE2" w:rsidRPr="00EC28AB" w:rsidRDefault="00400BE2">
      <w:pPr>
        <w:pStyle w:val="Innehll3"/>
      </w:pPr>
      <w:r w:rsidRPr="00EC28AB">
        <w:t>Finansiering av EU</w:t>
      </w:r>
      <w:r w:rsidRPr="00EC28AB">
        <w:tab/>
        <w:t>3</w:t>
      </w:r>
    </w:p>
    <w:p w:rsidR="00400BE2" w:rsidRPr="00EC28AB" w:rsidRDefault="00400BE2">
      <w:pPr>
        <w:pStyle w:val="Innehll4"/>
      </w:pPr>
      <w:r w:rsidRPr="00EC28AB">
        <w:t>Motionen</w:t>
      </w:r>
      <w:r w:rsidRPr="00EC28AB">
        <w:tab/>
        <w:t>3</w:t>
      </w:r>
    </w:p>
    <w:p w:rsidR="00400BE2" w:rsidRPr="00EC28AB" w:rsidRDefault="00400BE2">
      <w:pPr>
        <w:pStyle w:val="Innehll4"/>
      </w:pPr>
      <w:r w:rsidRPr="00EC28AB">
        <w:t>Finansutskottets bedömning</w:t>
      </w:r>
      <w:r w:rsidRPr="00EC28AB">
        <w:tab/>
        <w:t>3</w:t>
      </w:r>
    </w:p>
    <w:p w:rsidR="00400BE2" w:rsidRPr="00EC28AB" w:rsidRDefault="00400BE2">
      <w:pPr>
        <w:pStyle w:val="Innehll3"/>
      </w:pPr>
      <w:r w:rsidRPr="00EC28AB">
        <w:t>Internationellt samarbete som ett alternativ till deltagande i EMU</w:t>
      </w:r>
      <w:r w:rsidRPr="00EC28AB">
        <w:tab/>
        <w:t>4</w:t>
      </w:r>
    </w:p>
    <w:p w:rsidR="00400BE2" w:rsidRPr="00EC28AB" w:rsidRDefault="00400BE2">
      <w:pPr>
        <w:pStyle w:val="Innehll4"/>
      </w:pPr>
      <w:r w:rsidRPr="00EC28AB">
        <w:t>Motionen</w:t>
      </w:r>
      <w:r w:rsidRPr="00EC28AB">
        <w:tab/>
        <w:t>4</w:t>
      </w:r>
    </w:p>
    <w:p w:rsidR="00400BE2" w:rsidRPr="00EC28AB" w:rsidRDefault="00400BE2">
      <w:pPr>
        <w:pStyle w:val="Innehll4"/>
      </w:pPr>
      <w:r w:rsidRPr="00EC28AB">
        <w:t>Finansutskottets bedömning</w:t>
      </w:r>
      <w:r w:rsidRPr="00EC28AB">
        <w:tab/>
        <w:t>5</w:t>
      </w:r>
    </w:p>
    <w:p w:rsidR="00400BE2" w:rsidRPr="00EC28AB" w:rsidRDefault="00400BE2">
      <w:pPr>
        <w:pStyle w:val="Innehll3"/>
      </w:pPr>
      <w:r w:rsidRPr="00EC28AB">
        <w:t>Offentlig upphandling</w:t>
      </w:r>
      <w:r w:rsidRPr="00EC28AB">
        <w:tab/>
        <w:t>6</w:t>
      </w:r>
    </w:p>
    <w:p w:rsidR="00400BE2" w:rsidRPr="00EC28AB" w:rsidRDefault="00400BE2">
      <w:pPr>
        <w:pStyle w:val="Innehll4"/>
      </w:pPr>
      <w:r w:rsidRPr="00EC28AB">
        <w:t>Motionen</w:t>
      </w:r>
      <w:r w:rsidRPr="00EC28AB">
        <w:tab/>
        <w:t>6</w:t>
      </w:r>
    </w:p>
    <w:p w:rsidR="00400BE2" w:rsidRPr="00EC28AB" w:rsidRDefault="00400BE2">
      <w:pPr>
        <w:pStyle w:val="Innehll4"/>
      </w:pPr>
      <w:r w:rsidRPr="00EC28AB">
        <w:t>Finansutskottets bedömning</w:t>
      </w:r>
      <w:r w:rsidRPr="00EC28AB">
        <w:tab/>
        <w:t>6</w:t>
      </w:r>
    </w:p>
    <w:p w:rsidR="00400BE2" w:rsidRPr="00EC28AB" w:rsidRDefault="00400BE2">
      <w:pPr>
        <w:pStyle w:val="Innehll3"/>
      </w:pPr>
      <w:r w:rsidRPr="00EC28AB">
        <w:t>Revisionsrättens slutsatser</w:t>
      </w:r>
      <w:r w:rsidRPr="00EC28AB">
        <w:tab/>
        <w:t>7</w:t>
      </w:r>
    </w:p>
    <w:p w:rsidR="00400BE2" w:rsidRPr="00EC28AB" w:rsidRDefault="00400BE2">
      <w:pPr>
        <w:pStyle w:val="Innehll4"/>
      </w:pPr>
      <w:r w:rsidRPr="00EC28AB">
        <w:t>Motionen</w:t>
      </w:r>
      <w:r w:rsidRPr="00EC28AB">
        <w:tab/>
        <w:t>7</w:t>
      </w:r>
    </w:p>
    <w:p w:rsidR="00400BE2" w:rsidRPr="00EC28AB" w:rsidRDefault="00400BE2">
      <w:pPr>
        <w:pStyle w:val="Innehll4"/>
      </w:pPr>
      <w:r w:rsidRPr="00EC28AB">
        <w:t>Finansutskottets bedömning</w:t>
      </w:r>
      <w:r w:rsidRPr="00EC28AB">
        <w:tab/>
        <w:t>7</w:t>
      </w:r>
    </w:p>
    <w:p w:rsidR="00400BE2" w:rsidRPr="00EC28AB" w:rsidRDefault="00400BE2">
      <w:pPr>
        <w:pStyle w:val="Innehll1"/>
      </w:pPr>
      <w:r w:rsidRPr="00EC28AB">
        <w:t>Avvikande meningar</w:t>
      </w:r>
      <w:r w:rsidRPr="00EC28AB">
        <w:tab/>
        <w:t>8</w:t>
      </w:r>
    </w:p>
    <w:p w:rsidR="00400BE2" w:rsidRPr="00EC28AB" w:rsidRDefault="00400BE2">
      <w:pPr>
        <w:pStyle w:val="Innehll2"/>
      </w:pPr>
      <w:r w:rsidRPr="00EC28AB">
        <w:t>1. Finansiering av EU (m, kd, fp)</w:t>
      </w:r>
      <w:r w:rsidRPr="00EC28AB">
        <w:tab/>
        <w:t>8</w:t>
      </w:r>
    </w:p>
    <w:p w:rsidR="00400BE2" w:rsidRPr="00EC28AB" w:rsidRDefault="00400BE2">
      <w:pPr>
        <w:pStyle w:val="Innehll2"/>
      </w:pPr>
      <w:r w:rsidRPr="00EC28AB">
        <w:t>2. Internationellt samarbete som ett alternativ till deltagande i EMU (m, kd, fp)</w:t>
      </w:r>
      <w:r w:rsidRPr="00EC28AB">
        <w:tab/>
        <w:t>9</w:t>
      </w:r>
    </w:p>
    <w:p w:rsidR="00400BE2" w:rsidRPr="00EC28AB" w:rsidRDefault="00400BE2">
      <w:pPr>
        <w:pStyle w:val="Innehll2"/>
      </w:pPr>
      <w:r w:rsidRPr="00EC28AB">
        <w:t>3. Internationellt samarbete som ett alternativ till deltagande i EMU (v, mp)</w:t>
      </w:r>
      <w:r w:rsidRPr="00EC28AB">
        <w:tab/>
        <w:t>9</w:t>
      </w:r>
    </w:p>
    <w:p w:rsidR="00400BE2" w:rsidRPr="00EC28AB" w:rsidRDefault="00400BE2">
      <w:pPr>
        <w:pStyle w:val="Innehll2"/>
      </w:pPr>
      <w:r w:rsidRPr="00EC28AB">
        <w:t>4. Revisionsrättens slutsatser (mp)</w:t>
      </w:r>
      <w:r w:rsidRPr="00EC28AB">
        <w:tab/>
        <w:t>11</w:t>
      </w:r>
    </w:p>
    <w:p w:rsidR="00400BE2" w:rsidRPr="00EC28AB" w:rsidRDefault="00400BE2"/>
    <w:p w:rsidR="00400BE2" w:rsidRPr="00EC28AB" w:rsidRDefault="00400BE2">
      <w:pPr>
        <w:pStyle w:val="Tryckort"/>
        <w:framePr w:wrap="around"/>
      </w:pPr>
      <w:r w:rsidRPr="00EC28AB">
        <w:t>Elanders Gotab, Stockholm  2000</w:t>
      </w:r>
    </w:p>
    <w:p w:rsidR="00400BE2" w:rsidRPr="00EC28AB" w:rsidRDefault="00400BE2">
      <w:pPr>
        <w:pStyle w:val="Normaltindrag"/>
      </w:pPr>
    </w:p>
    <w:sectPr w:rsidR="00400BE2" w:rsidRPr="00EC28A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BE2" w:rsidRPr="00EC28AB" w:rsidRDefault="00400BE2">
      <w:pPr>
        <w:spacing w:before="0" w:line="240" w:lineRule="auto"/>
      </w:pPr>
      <w:r w:rsidRPr="00EC28AB">
        <w:separator/>
      </w:r>
    </w:p>
  </w:endnote>
  <w:endnote w:type="continuationSeparator" w:id="0">
    <w:p w:rsidR="00400BE2" w:rsidRPr="00EC28AB" w:rsidRDefault="00400BE2">
      <w:pPr>
        <w:spacing w:before="0" w:line="240" w:lineRule="auto"/>
      </w:pPr>
      <w:r w:rsidRPr="00EC2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BE2" w:rsidRPr="00EC28AB" w:rsidRDefault="00400BE2">
    <w:pPr>
      <w:pStyle w:val="SidfotH"/>
      <w:framePr w:wrap="around"/>
    </w:pPr>
    <w:r w:rsidRPr="00EC28AB">
      <w:fldChar w:fldCharType="begin" w:fldLock="1"/>
    </w:r>
    <w:r w:rsidRPr="00EC28AB">
      <w:instrText xml:space="preserve"> PAGE </w:instrText>
    </w:r>
    <w:r w:rsidRPr="00EC28AB">
      <w:fldChar w:fldCharType="separate"/>
    </w:r>
    <w:r w:rsidRPr="00EC28AB">
      <w:t>1</w:t>
    </w:r>
    <w:r w:rsidRPr="00EC28AB">
      <w:fldChar w:fldCharType="end"/>
    </w:r>
  </w:p>
  <w:p w:rsidR="00400BE2" w:rsidRPr="00EC28AB" w:rsidRDefault="00400B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BE2" w:rsidRPr="00EC28AB" w:rsidRDefault="00400BE2">
    <w:pPr>
      <w:pStyle w:val="SidfotH"/>
      <w:framePr w:wrap="around"/>
    </w:pPr>
    <w:r w:rsidRPr="00EC28AB">
      <w:fldChar w:fldCharType="begin" w:fldLock="1"/>
    </w:r>
    <w:r w:rsidRPr="00EC28AB">
      <w:instrText xml:space="preserve"> PAGE </w:instrText>
    </w:r>
    <w:r w:rsidRPr="00EC28AB">
      <w:fldChar w:fldCharType="separate"/>
    </w:r>
    <w:r w:rsidRPr="00EC28AB">
      <w:t>12</w:t>
    </w:r>
    <w:r w:rsidRPr="00EC28AB">
      <w:fldChar w:fldCharType="end"/>
    </w:r>
  </w:p>
  <w:p w:rsidR="00400BE2" w:rsidRPr="00EC28AB" w:rsidRDefault="00400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BE2" w:rsidRPr="00EC28AB" w:rsidRDefault="00400BE2">
      <w:pPr>
        <w:pStyle w:val="Sidfot"/>
      </w:pPr>
    </w:p>
  </w:footnote>
  <w:footnote w:type="continuationSeparator" w:id="0">
    <w:p w:rsidR="00400BE2" w:rsidRPr="00EC28AB" w:rsidRDefault="00400BE2">
      <w:pPr>
        <w:spacing w:before="0" w:line="240" w:lineRule="auto"/>
      </w:pPr>
      <w:r w:rsidRPr="00EC2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BE2" w:rsidRPr="00EC28AB" w:rsidRDefault="00400BE2">
    <w:pPr>
      <w:pStyle w:val="SidhuvudKant"/>
      <w:framePr w:w="1758" w:h="2744" w:hRule="exact" w:wrap="around" w:vAnchor="page" w:hAnchor="page" w:x="7372" w:y="568" w:anchorLock="0"/>
    </w:pPr>
    <w:r w:rsidRPr="00EC28AB">
      <w:t>1999/2000:FiU3y</w:t>
    </w:r>
  </w:p>
  <w:p w:rsidR="00400BE2" w:rsidRPr="00EC28AB" w:rsidRDefault="00400BE2">
    <w:pPr>
      <w:pStyle w:val="SidhuvudKantBilaga"/>
      <w:framePr w:w="1758" w:h="2744" w:hRule="exact" w:wrap="around" w:vAnchor="page" w:hAnchor="page" w:x="7372" w:y="568" w:anchorLock="0"/>
    </w:pPr>
  </w:p>
  <w:p w:rsidR="00400BE2" w:rsidRPr="00EC28AB" w:rsidRDefault="00400BE2">
    <w:pPr>
      <w:pStyle w:val="SidhuvudKant"/>
      <w:framePr w:w="1758" w:h="2744" w:hRule="exact" w:wrap="around" w:vAnchor="page" w:hAnchor="page" w:x="7372" w:y="568" w:anchorLock="0"/>
    </w:pPr>
  </w:p>
  <w:p w:rsidR="00400BE2" w:rsidRPr="00EC28AB" w:rsidRDefault="00400B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BE2" w:rsidRPr="00EC28AB" w:rsidRDefault="00400BE2">
    <w:pPr>
      <w:pStyle w:val="SidhuvudKant"/>
      <w:framePr w:w="1758" w:h="2744" w:hRule="exact" w:wrap="around" w:vAnchor="page" w:hAnchor="page" w:x="7372" w:y="568" w:anchorLock="0"/>
    </w:pPr>
    <w:r w:rsidRPr="00EC28AB">
      <w:t>1999/2000:FiU3y</w:t>
    </w:r>
  </w:p>
  <w:p w:rsidR="00400BE2" w:rsidRPr="00EC28AB" w:rsidRDefault="00400BE2">
    <w:pPr>
      <w:pStyle w:val="SidhuvudKantBilaga"/>
      <w:framePr w:w="1758" w:h="2744" w:hRule="exact" w:wrap="around" w:vAnchor="page" w:hAnchor="page" w:x="7372" w:y="568" w:anchorLock="0"/>
    </w:pPr>
  </w:p>
  <w:p w:rsidR="00400BE2" w:rsidRPr="00EC28AB" w:rsidRDefault="00400BE2">
    <w:pPr>
      <w:pStyle w:val="SidhuvudKant"/>
      <w:framePr w:w="1758" w:h="2744" w:hRule="exact" w:wrap="around" w:vAnchor="page" w:hAnchor="page" w:x="7372" w:y="568" w:anchorLock="0"/>
    </w:pPr>
  </w:p>
  <w:p w:rsidR="00400BE2" w:rsidRPr="00EC28AB" w:rsidRDefault="00400B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56B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6304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AD7B2E"/>
    <w:rsid w:val="00400BE2"/>
    <w:rsid w:val="00AD7B2E"/>
    <w:rsid w:val="00EC28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DC05E-2B13-460C-ADD9-48D502C6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4015</Words>
  <Characters>24735</Characters>
  <Application>Microsoft Office Word</Application>
  <DocSecurity>4</DocSecurity>
  <Lines>485</Lines>
  <Paragraphs>167</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Finansutskottets yttrande</vt:lpstr>
      <vt:lpstr>Till utrikesutskottet</vt:lpstr>
      <vt:lpstr>    Regeringens skrivelse</vt:lpstr>
      <vt:lpstr>3.2 EU:s reformering – Agenda 2000, i vad avser</vt:lpstr>
      <vt:lpstr>    Motionsyrkandena</vt:lpstr>
      <vt:lpstr>        Motion med anledning av skrivelse 60</vt:lpstr>
      <vt:lpstr>        Motioner från allmänna motionstiden</vt:lpstr>
      <vt:lpstr>1999/2000:U513 av Yvonne Ruwaida m.fl. (mp) vari yrkas</vt:lpstr>
      <vt:lpstr>1999/2000:U903 av Gudrun Schyman m.fl. (v) vari yrkas </vt:lpstr>
      <vt:lpstr>    Utskottet</vt:lpstr>
      <vt:lpstr>        Finansiering av EU</vt:lpstr>
      <vt:lpstr>        Internationellt samarbete som ett alternativ till deltagande i EMU</vt:lpstr>
      <vt:lpstr>        Offentlig upphandling</vt:lpstr>
      <vt:lpstr>        Revisionsrättens slutsatser</vt:lpstr>
      <vt:lpstr>Stockholm den 11 april 2000</vt:lpstr>
      <vt:lpstr>Avvikande meningar</vt:lpstr>
      <vt:lpstr>    1. Finansiering av EU (m, kd, fp)</vt:lpstr>
      <vt:lpstr>    2. Internationellt samarbete som ett alternativ till deltagande i EMU (m, kd, fp</vt:lpstr>
      <vt:lpstr>    3. Internationellt samarbete som ett alternativ till deltagande i EMU (v, mp)</vt:lpstr>
      <vt:lpstr>    4. Revisionsrättens slutsatser (mp)</vt:lpstr>
      <vt:lpstr>Innehållsförteckning</vt:lpstr>
    </vt:vector>
  </TitlesOfParts>
  <Company>Riksdagen</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2000-05-02T05:57:00Z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