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635E" w:rsidRPr="000C22EC" w:rsidRDefault="00EC635E">
      <w:pPr>
        <w:pStyle w:val="Frslagsrubrik"/>
        <w:shd w:val="clear" w:color="000000" w:fill="auto"/>
      </w:pPr>
      <w:r w:rsidRPr="000C22EC">
        <w:t>Förslag till riksdagsbeslut</w:t>
      </w:r>
    </w:p>
    <w:p w:rsidR="00EC635E" w:rsidRPr="000C22EC" w:rsidRDefault="00EC635E">
      <w:pPr>
        <w:pStyle w:val="Hemstlatt"/>
        <w:shd w:val="clear" w:color="000000" w:fill="auto"/>
      </w:pPr>
      <w:r w:rsidRPr="000C22EC">
        <w:t>Riksdagen anvisar med följande ändringar i förhålla</w:t>
      </w:r>
      <w:r w:rsidRPr="000C22EC">
        <w:t>n</w:t>
      </w:r>
      <w:r w:rsidRPr="000C22EC">
        <w:t>de till regeringens förslag anslagen under utgiftsområde 25 Allmänna bidrag till kommuner enligt uppställning:</w:t>
      </w:r>
    </w:p>
    <w:tbl>
      <w:tblPr>
        <w:tblW w:w="5954"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595"/>
        <w:gridCol w:w="1179"/>
        <w:gridCol w:w="1180"/>
      </w:tblGrid>
      <w:tr w:rsidR="00000000" w:rsidRPr="000C22EC">
        <w:trPr>
          <w:cantSplit/>
        </w:trPr>
        <w:tc>
          <w:tcPr>
            <w:tcW w:w="3595" w:type="dxa"/>
            <w:tcBorders>
              <w:top w:val="single" w:sz="4" w:space="0" w:color="auto"/>
              <w:bottom w:val="single" w:sz="4" w:space="0" w:color="auto"/>
            </w:tcBorders>
            <w:vAlign w:val="bottom"/>
          </w:tcPr>
          <w:p w:rsidR="00EC635E" w:rsidRPr="000C22EC" w:rsidRDefault="00EC635E">
            <w:pPr>
              <w:shd w:val="clear" w:color="000000" w:fill="auto"/>
              <w:spacing w:before="60" w:line="200" w:lineRule="exact"/>
              <w:rPr>
                <w:b/>
                <w:sz w:val="16"/>
                <w:szCs w:val="16"/>
              </w:rPr>
            </w:pPr>
            <w:r w:rsidRPr="000C22EC">
              <w:rPr>
                <w:b/>
                <w:sz w:val="16"/>
                <w:szCs w:val="16"/>
              </w:rPr>
              <w:t>Anslag</w:t>
            </w:r>
          </w:p>
        </w:tc>
        <w:tc>
          <w:tcPr>
            <w:tcW w:w="1179" w:type="dxa"/>
            <w:tcBorders>
              <w:top w:val="single" w:sz="4" w:space="0" w:color="auto"/>
              <w:bottom w:val="single" w:sz="4" w:space="0" w:color="auto"/>
            </w:tcBorders>
          </w:tcPr>
          <w:p w:rsidR="00EC635E" w:rsidRPr="000C22EC" w:rsidRDefault="00EC635E">
            <w:pPr>
              <w:shd w:val="clear" w:color="000000" w:fill="auto"/>
              <w:spacing w:before="60" w:line="200" w:lineRule="exact"/>
              <w:jc w:val="right"/>
              <w:rPr>
                <w:b/>
                <w:sz w:val="16"/>
                <w:szCs w:val="16"/>
              </w:rPr>
            </w:pPr>
            <w:r w:rsidRPr="000C22EC">
              <w:rPr>
                <w:b/>
                <w:sz w:val="16"/>
                <w:szCs w:val="16"/>
              </w:rPr>
              <w:t>Regeringens förslag (tkr)</w:t>
            </w:r>
          </w:p>
        </w:tc>
        <w:tc>
          <w:tcPr>
            <w:tcW w:w="1180" w:type="dxa"/>
            <w:tcBorders>
              <w:top w:val="single" w:sz="4" w:space="0" w:color="auto"/>
              <w:bottom w:val="single" w:sz="4" w:space="0" w:color="auto"/>
            </w:tcBorders>
            <w:noWrap/>
          </w:tcPr>
          <w:p w:rsidR="00EC635E" w:rsidRPr="000C22EC" w:rsidRDefault="00EC635E">
            <w:pPr>
              <w:shd w:val="clear" w:color="000000" w:fill="auto"/>
              <w:spacing w:before="60" w:line="200" w:lineRule="exact"/>
              <w:jc w:val="right"/>
              <w:rPr>
                <w:b/>
                <w:sz w:val="16"/>
                <w:szCs w:val="16"/>
              </w:rPr>
            </w:pPr>
            <w:r w:rsidRPr="000C22EC">
              <w:rPr>
                <w:b/>
                <w:sz w:val="16"/>
                <w:szCs w:val="16"/>
              </w:rPr>
              <w:t>Anslagsför-ändring (tkr)</w:t>
            </w:r>
          </w:p>
        </w:tc>
      </w:tr>
      <w:tr w:rsidR="00000000" w:rsidRPr="000C22EC">
        <w:trPr>
          <w:cantSplit/>
        </w:trPr>
        <w:tc>
          <w:tcPr>
            <w:tcW w:w="3595" w:type="dxa"/>
            <w:tcBorders>
              <w:top w:val="single" w:sz="4" w:space="0" w:color="auto"/>
            </w:tcBorders>
          </w:tcPr>
          <w:p w:rsidR="00EC635E" w:rsidRPr="000C22EC" w:rsidRDefault="00EC635E">
            <w:pPr>
              <w:shd w:val="clear" w:color="000000" w:fill="auto"/>
              <w:spacing w:before="60" w:line="200" w:lineRule="exact"/>
              <w:rPr>
                <w:sz w:val="16"/>
                <w:szCs w:val="16"/>
              </w:rPr>
            </w:pPr>
            <w:r w:rsidRPr="000C22EC">
              <w:rPr>
                <w:sz w:val="16"/>
                <w:szCs w:val="16"/>
              </w:rPr>
              <w:t>1:1 Kommunalekonomisk utjämning</w:t>
            </w:r>
          </w:p>
        </w:tc>
        <w:tc>
          <w:tcPr>
            <w:tcW w:w="1179" w:type="dxa"/>
            <w:tcBorders>
              <w:top w:val="single" w:sz="4" w:space="0" w:color="auto"/>
            </w:tcBorders>
            <w:noWrap/>
            <w:vAlign w:val="bottom"/>
          </w:tcPr>
          <w:p w:rsidR="00EC635E" w:rsidRPr="000C22EC" w:rsidRDefault="00EC635E">
            <w:pPr>
              <w:shd w:val="clear" w:color="000000" w:fill="auto"/>
              <w:spacing w:before="60" w:line="200" w:lineRule="exact"/>
              <w:jc w:val="right"/>
              <w:rPr>
                <w:sz w:val="16"/>
                <w:szCs w:val="16"/>
              </w:rPr>
            </w:pPr>
            <w:r w:rsidRPr="000C22EC">
              <w:rPr>
                <w:sz w:val="16"/>
                <w:szCs w:val="16"/>
              </w:rPr>
              <w:t>81 975 063</w:t>
            </w:r>
          </w:p>
        </w:tc>
        <w:tc>
          <w:tcPr>
            <w:tcW w:w="1180" w:type="dxa"/>
            <w:tcBorders>
              <w:top w:val="single" w:sz="4" w:space="0" w:color="auto"/>
            </w:tcBorders>
            <w:noWrap/>
            <w:vAlign w:val="bottom"/>
          </w:tcPr>
          <w:p w:rsidR="00EC635E" w:rsidRPr="000C22EC" w:rsidRDefault="00EC635E">
            <w:pPr>
              <w:shd w:val="clear" w:color="000000" w:fill="auto"/>
              <w:spacing w:before="60" w:line="200" w:lineRule="exact"/>
              <w:jc w:val="right"/>
              <w:rPr>
                <w:sz w:val="16"/>
                <w:szCs w:val="16"/>
              </w:rPr>
            </w:pPr>
            <w:r w:rsidRPr="000C22EC">
              <w:rPr>
                <w:sz w:val="16"/>
                <w:szCs w:val="16"/>
              </w:rPr>
              <w:t>+2 008 000</w:t>
            </w:r>
          </w:p>
        </w:tc>
      </w:tr>
      <w:tr w:rsidR="00000000" w:rsidRPr="000C22EC">
        <w:trPr>
          <w:cantSplit/>
        </w:trPr>
        <w:tc>
          <w:tcPr>
            <w:tcW w:w="3595" w:type="dxa"/>
          </w:tcPr>
          <w:p w:rsidR="00EC635E" w:rsidRPr="000C22EC" w:rsidRDefault="00EC635E">
            <w:pPr>
              <w:shd w:val="clear" w:color="000000" w:fill="auto"/>
              <w:spacing w:before="60" w:line="200" w:lineRule="exact"/>
              <w:rPr>
                <w:b/>
                <w:sz w:val="16"/>
                <w:szCs w:val="16"/>
              </w:rPr>
            </w:pPr>
            <w:r w:rsidRPr="000C22EC">
              <w:rPr>
                <w:b/>
                <w:sz w:val="16"/>
                <w:szCs w:val="16"/>
              </w:rPr>
              <w:t>Summa</w:t>
            </w:r>
          </w:p>
        </w:tc>
        <w:tc>
          <w:tcPr>
            <w:tcW w:w="1179" w:type="dxa"/>
            <w:noWrap/>
            <w:vAlign w:val="bottom"/>
          </w:tcPr>
          <w:p w:rsidR="00EC635E" w:rsidRPr="000C22EC" w:rsidRDefault="00EC635E">
            <w:pPr>
              <w:shd w:val="clear" w:color="000000" w:fill="auto"/>
              <w:spacing w:before="60" w:line="200" w:lineRule="exact"/>
              <w:jc w:val="right"/>
              <w:rPr>
                <w:b/>
                <w:sz w:val="16"/>
                <w:szCs w:val="16"/>
              </w:rPr>
            </w:pPr>
            <w:r w:rsidRPr="000C22EC">
              <w:rPr>
                <w:b/>
                <w:sz w:val="16"/>
                <w:szCs w:val="16"/>
              </w:rPr>
              <w:t>85 075 085</w:t>
            </w:r>
          </w:p>
        </w:tc>
        <w:tc>
          <w:tcPr>
            <w:tcW w:w="1180" w:type="dxa"/>
            <w:noWrap/>
            <w:vAlign w:val="bottom"/>
          </w:tcPr>
          <w:p w:rsidR="00EC635E" w:rsidRPr="000C22EC" w:rsidRDefault="00EC635E">
            <w:pPr>
              <w:shd w:val="clear" w:color="000000" w:fill="auto"/>
              <w:spacing w:before="60" w:line="200" w:lineRule="exact"/>
              <w:jc w:val="right"/>
              <w:rPr>
                <w:b/>
                <w:sz w:val="16"/>
                <w:szCs w:val="16"/>
              </w:rPr>
            </w:pPr>
            <w:r w:rsidRPr="000C22EC">
              <w:rPr>
                <w:b/>
                <w:sz w:val="16"/>
                <w:szCs w:val="16"/>
              </w:rPr>
              <w:t>+2 008 000</w:t>
            </w:r>
          </w:p>
        </w:tc>
      </w:tr>
      <w:tr w:rsidR="00000000" w:rsidRPr="000C22EC">
        <w:trPr>
          <w:cantSplit/>
        </w:trPr>
        <w:tc>
          <w:tcPr>
            <w:tcW w:w="3595" w:type="dxa"/>
          </w:tcPr>
          <w:p w:rsidR="00EC635E" w:rsidRPr="000C22EC" w:rsidRDefault="00EC635E">
            <w:pPr>
              <w:shd w:val="clear" w:color="000000" w:fill="auto"/>
              <w:spacing w:before="60" w:line="200" w:lineRule="exact"/>
              <w:rPr>
                <w:i/>
                <w:sz w:val="16"/>
                <w:szCs w:val="16"/>
              </w:rPr>
            </w:pPr>
            <w:r w:rsidRPr="000C22EC">
              <w:rPr>
                <w:i/>
                <w:sz w:val="16"/>
                <w:szCs w:val="16"/>
              </w:rPr>
              <w:t>Specifikation av anslagsförändringarna:</w:t>
            </w:r>
          </w:p>
        </w:tc>
        <w:tc>
          <w:tcPr>
            <w:tcW w:w="1179" w:type="dxa"/>
            <w:noWrap/>
            <w:vAlign w:val="bottom"/>
          </w:tcPr>
          <w:p w:rsidR="00EC635E" w:rsidRPr="000C22EC" w:rsidRDefault="00EC635E">
            <w:pPr>
              <w:shd w:val="clear" w:color="000000" w:fill="auto"/>
              <w:spacing w:before="60" w:line="200" w:lineRule="exact"/>
              <w:jc w:val="right"/>
              <w:rPr>
                <w:i/>
                <w:sz w:val="16"/>
                <w:szCs w:val="16"/>
              </w:rPr>
            </w:pPr>
          </w:p>
        </w:tc>
        <w:tc>
          <w:tcPr>
            <w:tcW w:w="1180" w:type="dxa"/>
            <w:noWrap/>
            <w:vAlign w:val="bottom"/>
          </w:tcPr>
          <w:p w:rsidR="00EC635E" w:rsidRPr="000C22EC" w:rsidRDefault="00EC635E">
            <w:pPr>
              <w:shd w:val="clear" w:color="000000" w:fill="auto"/>
              <w:spacing w:before="60" w:line="200" w:lineRule="exact"/>
              <w:jc w:val="right"/>
              <w:rPr>
                <w:i/>
                <w:sz w:val="16"/>
                <w:szCs w:val="16"/>
              </w:rPr>
            </w:pPr>
          </w:p>
        </w:tc>
      </w:tr>
      <w:tr w:rsidR="00000000" w:rsidRPr="000C22EC">
        <w:trPr>
          <w:cantSplit/>
        </w:trPr>
        <w:tc>
          <w:tcPr>
            <w:tcW w:w="3595" w:type="dxa"/>
          </w:tcPr>
          <w:p w:rsidR="00EC635E" w:rsidRPr="000C22EC" w:rsidRDefault="00EC635E">
            <w:pPr>
              <w:shd w:val="clear" w:color="000000" w:fill="auto"/>
              <w:spacing w:before="60" w:line="200" w:lineRule="exact"/>
              <w:rPr>
                <w:i/>
                <w:sz w:val="16"/>
                <w:szCs w:val="16"/>
              </w:rPr>
            </w:pPr>
            <w:r w:rsidRPr="000C22EC">
              <w:rPr>
                <w:i/>
                <w:sz w:val="16"/>
                <w:szCs w:val="16"/>
              </w:rPr>
              <w:t>Kompensation för höjt grundavdrag för pensionärer</w:t>
            </w:r>
          </w:p>
        </w:tc>
        <w:tc>
          <w:tcPr>
            <w:tcW w:w="1179" w:type="dxa"/>
            <w:noWrap/>
            <w:vAlign w:val="bottom"/>
          </w:tcPr>
          <w:p w:rsidR="00EC635E" w:rsidRPr="000C22EC" w:rsidRDefault="00EC635E">
            <w:pPr>
              <w:shd w:val="clear" w:color="000000" w:fill="auto"/>
              <w:spacing w:before="60" w:line="200" w:lineRule="exact"/>
              <w:jc w:val="right"/>
              <w:rPr>
                <w:i/>
                <w:sz w:val="16"/>
                <w:szCs w:val="16"/>
              </w:rPr>
            </w:pPr>
          </w:p>
        </w:tc>
        <w:tc>
          <w:tcPr>
            <w:tcW w:w="1180" w:type="dxa"/>
            <w:noWrap/>
            <w:vAlign w:val="bottom"/>
          </w:tcPr>
          <w:p w:rsidR="00EC635E" w:rsidRPr="000C22EC" w:rsidRDefault="00EC635E">
            <w:pPr>
              <w:shd w:val="clear" w:color="000000" w:fill="auto"/>
              <w:spacing w:before="60" w:line="200" w:lineRule="exact"/>
              <w:jc w:val="right"/>
              <w:rPr>
                <w:i/>
                <w:sz w:val="16"/>
                <w:szCs w:val="16"/>
              </w:rPr>
            </w:pPr>
            <w:r w:rsidRPr="000C22EC">
              <w:rPr>
                <w:i/>
                <w:sz w:val="16"/>
                <w:szCs w:val="16"/>
              </w:rPr>
              <w:t>+2 300 000</w:t>
            </w:r>
          </w:p>
        </w:tc>
      </w:tr>
      <w:tr w:rsidR="00000000" w:rsidRPr="000C22EC">
        <w:trPr>
          <w:cantSplit/>
        </w:trPr>
        <w:tc>
          <w:tcPr>
            <w:tcW w:w="3595" w:type="dxa"/>
          </w:tcPr>
          <w:p w:rsidR="00EC635E" w:rsidRPr="000C22EC" w:rsidRDefault="00EC635E">
            <w:pPr>
              <w:shd w:val="clear" w:color="000000" w:fill="auto"/>
              <w:spacing w:before="60" w:line="200" w:lineRule="exact"/>
              <w:rPr>
                <w:i/>
                <w:sz w:val="16"/>
                <w:szCs w:val="16"/>
              </w:rPr>
            </w:pPr>
            <w:r w:rsidRPr="000C22EC">
              <w:rPr>
                <w:i/>
                <w:sz w:val="16"/>
                <w:szCs w:val="16"/>
              </w:rPr>
              <w:t>Sommarjobb enligt Nynäshamnsmodellen</w:t>
            </w:r>
          </w:p>
        </w:tc>
        <w:tc>
          <w:tcPr>
            <w:tcW w:w="1179" w:type="dxa"/>
            <w:noWrap/>
            <w:vAlign w:val="bottom"/>
          </w:tcPr>
          <w:p w:rsidR="00EC635E" w:rsidRPr="000C22EC" w:rsidRDefault="00EC635E">
            <w:pPr>
              <w:shd w:val="clear" w:color="000000" w:fill="auto"/>
              <w:spacing w:before="60" w:line="200" w:lineRule="exact"/>
              <w:jc w:val="right"/>
              <w:rPr>
                <w:i/>
                <w:sz w:val="16"/>
                <w:szCs w:val="16"/>
              </w:rPr>
            </w:pPr>
          </w:p>
        </w:tc>
        <w:tc>
          <w:tcPr>
            <w:tcW w:w="1180" w:type="dxa"/>
            <w:noWrap/>
            <w:vAlign w:val="bottom"/>
          </w:tcPr>
          <w:p w:rsidR="00EC635E" w:rsidRPr="000C22EC" w:rsidRDefault="00EC635E">
            <w:pPr>
              <w:shd w:val="clear" w:color="000000" w:fill="auto"/>
              <w:spacing w:before="60" w:line="200" w:lineRule="exact"/>
              <w:jc w:val="right"/>
              <w:rPr>
                <w:i/>
                <w:sz w:val="16"/>
                <w:szCs w:val="16"/>
              </w:rPr>
            </w:pPr>
            <w:r w:rsidRPr="000C22EC">
              <w:rPr>
                <w:i/>
                <w:sz w:val="16"/>
                <w:szCs w:val="16"/>
              </w:rPr>
              <w:t>+700 000</w:t>
            </w:r>
          </w:p>
        </w:tc>
      </w:tr>
      <w:tr w:rsidR="00000000" w:rsidRPr="000C22EC">
        <w:trPr>
          <w:cantSplit/>
        </w:trPr>
        <w:tc>
          <w:tcPr>
            <w:tcW w:w="3595" w:type="dxa"/>
          </w:tcPr>
          <w:p w:rsidR="00EC635E" w:rsidRPr="000C22EC" w:rsidRDefault="00EC635E">
            <w:pPr>
              <w:shd w:val="clear" w:color="000000" w:fill="auto"/>
              <w:spacing w:before="60" w:line="200" w:lineRule="exact"/>
              <w:rPr>
                <w:i/>
                <w:sz w:val="16"/>
                <w:szCs w:val="16"/>
              </w:rPr>
            </w:pPr>
            <w:r w:rsidRPr="000C22EC">
              <w:rPr>
                <w:i/>
                <w:sz w:val="16"/>
                <w:szCs w:val="16"/>
              </w:rPr>
              <w:t>Skolsatsning</w:t>
            </w:r>
          </w:p>
        </w:tc>
        <w:tc>
          <w:tcPr>
            <w:tcW w:w="1179" w:type="dxa"/>
            <w:noWrap/>
            <w:vAlign w:val="bottom"/>
          </w:tcPr>
          <w:p w:rsidR="00EC635E" w:rsidRPr="000C22EC" w:rsidRDefault="00EC635E">
            <w:pPr>
              <w:shd w:val="clear" w:color="000000" w:fill="auto"/>
              <w:spacing w:before="60" w:line="200" w:lineRule="exact"/>
              <w:jc w:val="right"/>
              <w:rPr>
                <w:i/>
                <w:sz w:val="16"/>
                <w:szCs w:val="16"/>
              </w:rPr>
            </w:pPr>
          </w:p>
        </w:tc>
        <w:tc>
          <w:tcPr>
            <w:tcW w:w="1180" w:type="dxa"/>
            <w:noWrap/>
            <w:vAlign w:val="bottom"/>
          </w:tcPr>
          <w:p w:rsidR="00EC635E" w:rsidRPr="000C22EC" w:rsidRDefault="00EC635E">
            <w:pPr>
              <w:shd w:val="clear" w:color="000000" w:fill="auto"/>
              <w:spacing w:before="60" w:line="200" w:lineRule="exact"/>
              <w:jc w:val="right"/>
              <w:rPr>
                <w:i/>
                <w:sz w:val="16"/>
                <w:szCs w:val="16"/>
              </w:rPr>
            </w:pPr>
            <w:r w:rsidRPr="000C22EC">
              <w:rPr>
                <w:i/>
                <w:sz w:val="16"/>
                <w:szCs w:val="16"/>
              </w:rPr>
              <w:t>+675 000</w:t>
            </w:r>
          </w:p>
        </w:tc>
      </w:tr>
      <w:tr w:rsidR="00000000" w:rsidRPr="000C22EC">
        <w:trPr>
          <w:cantSplit/>
        </w:trPr>
        <w:tc>
          <w:tcPr>
            <w:tcW w:w="3595" w:type="dxa"/>
          </w:tcPr>
          <w:p w:rsidR="00EC635E" w:rsidRPr="000C22EC" w:rsidRDefault="00EC635E">
            <w:pPr>
              <w:shd w:val="clear" w:color="000000" w:fill="auto"/>
              <w:spacing w:before="60" w:line="200" w:lineRule="exact"/>
              <w:rPr>
                <w:i/>
                <w:sz w:val="16"/>
                <w:szCs w:val="16"/>
              </w:rPr>
            </w:pPr>
            <w:r w:rsidRPr="000C22EC">
              <w:rPr>
                <w:i/>
                <w:sz w:val="16"/>
                <w:szCs w:val="16"/>
              </w:rPr>
              <w:t>Barnomsorg på obekväma tider</w:t>
            </w:r>
          </w:p>
        </w:tc>
        <w:tc>
          <w:tcPr>
            <w:tcW w:w="1179" w:type="dxa"/>
            <w:noWrap/>
            <w:vAlign w:val="bottom"/>
          </w:tcPr>
          <w:p w:rsidR="00EC635E" w:rsidRPr="000C22EC" w:rsidRDefault="00EC635E">
            <w:pPr>
              <w:shd w:val="clear" w:color="000000" w:fill="auto"/>
              <w:spacing w:before="60" w:line="200" w:lineRule="exact"/>
              <w:jc w:val="right"/>
              <w:rPr>
                <w:i/>
                <w:sz w:val="16"/>
                <w:szCs w:val="16"/>
              </w:rPr>
            </w:pPr>
          </w:p>
        </w:tc>
        <w:tc>
          <w:tcPr>
            <w:tcW w:w="1180" w:type="dxa"/>
            <w:noWrap/>
            <w:vAlign w:val="bottom"/>
          </w:tcPr>
          <w:p w:rsidR="00EC635E" w:rsidRPr="000C22EC" w:rsidRDefault="00EC635E">
            <w:pPr>
              <w:shd w:val="clear" w:color="000000" w:fill="auto"/>
              <w:spacing w:before="60" w:line="200" w:lineRule="exact"/>
              <w:jc w:val="right"/>
              <w:rPr>
                <w:i/>
                <w:sz w:val="16"/>
                <w:szCs w:val="16"/>
              </w:rPr>
            </w:pPr>
            <w:r w:rsidRPr="000C22EC">
              <w:rPr>
                <w:i/>
                <w:sz w:val="16"/>
                <w:szCs w:val="16"/>
              </w:rPr>
              <w:t>+200 000</w:t>
            </w:r>
          </w:p>
        </w:tc>
      </w:tr>
      <w:tr w:rsidR="00000000" w:rsidRPr="000C22EC">
        <w:trPr>
          <w:cantSplit/>
        </w:trPr>
        <w:tc>
          <w:tcPr>
            <w:tcW w:w="3595" w:type="dxa"/>
          </w:tcPr>
          <w:p w:rsidR="00EC635E" w:rsidRPr="000C22EC" w:rsidRDefault="00EC635E">
            <w:pPr>
              <w:shd w:val="clear" w:color="000000" w:fill="auto"/>
              <w:spacing w:before="60" w:line="200" w:lineRule="exact"/>
              <w:rPr>
                <w:i/>
                <w:sz w:val="16"/>
                <w:szCs w:val="16"/>
              </w:rPr>
            </w:pPr>
            <w:r w:rsidRPr="000C22EC">
              <w:rPr>
                <w:i/>
                <w:sz w:val="16"/>
                <w:szCs w:val="16"/>
              </w:rPr>
              <w:t>Indragning m a a följdeffekt av tillfällig skattekredit för personer med försörjningsstöd som börjar arbeta</w:t>
            </w:r>
          </w:p>
        </w:tc>
        <w:tc>
          <w:tcPr>
            <w:tcW w:w="1179" w:type="dxa"/>
            <w:noWrap/>
            <w:vAlign w:val="bottom"/>
          </w:tcPr>
          <w:p w:rsidR="00EC635E" w:rsidRPr="000C22EC" w:rsidRDefault="00EC635E">
            <w:pPr>
              <w:shd w:val="clear" w:color="000000" w:fill="auto"/>
              <w:spacing w:before="60" w:line="200" w:lineRule="exact"/>
              <w:jc w:val="right"/>
              <w:rPr>
                <w:i/>
                <w:sz w:val="16"/>
                <w:szCs w:val="16"/>
              </w:rPr>
            </w:pPr>
          </w:p>
        </w:tc>
        <w:tc>
          <w:tcPr>
            <w:tcW w:w="1180" w:type="dxa"/>
            <w:noWrap/>
            <w:vAlign w:val="bottom"/>
          </w:tcPr>
          <w:p w:rsidR="00EC635E" w:rsidRPr="000C22EC" w:rsidRDefault="00EC635E">
            <w:pPr>
              <w:shd w:val="clear" w:color="000000" w:fill="auto"/>
              <w:spacing w:before="60" w:line="200" w:lineRule="exact"/>
              <w:jc w:val="right"/>
              <w:rPr>
                <w:i/>
                <w:sz w:val="16"/>
                <w:szCs w:val="16"/>
              </w:rPr>
            </w:pPr>
            <w:r w:rsidRPr="000C22EC">
              <w:rPr>
                <w:i/>
                <w:sz w:val="16"/>
                <w:szCs w:val="16"/>
              </w:rPr>
              <w:t>–300 000</w:t>
            </w:r>
          </w:p>
        </w:tc>
      </w:tr>
      <w:tr w:rsidR="00000000" w:rsidRPr="000C22EC">
        <w:trPr>
          <w:cantSplit/>
        </w:trPr>
        <w:tc>
          <w:tcPr>
            <w:tcW w:w="3595" w:type="dxa"/>
          </w:tcPr>
          <w:p w:rsidR="00EC635E" w:rsidRPr="000C22EC" w:rsidRDefault="00EC635E">
            <w:pPr>
              <w:shd w:val="clear" w:color="000000" w:fill="auto"/>
              <w:spacing w:before="60" w:line="200" w:lineRule="exact"/>
              <w:rPr>
                <w:i/>
                <w:sz w:val="16"/>
                <w:szCs w:val="16"/>
              </w:rPr>
            </w:pPr>
            <w:r w:rsidRPr="000C22EC">
              <w:rPr>
                <w:i/>
                <w:sz w:val="16"/>
                <w:szCs w:val="16"/>
              </w:rPr>
              <w:t>Indragning till följd av nej till barnomsorgspeng</w:t>
            </w:r>
          </w:p>
        </w:tc>
        <w:tc>
          <w:tcPr>
            <w:tcW w:w="1179" w:type="dxa"/>
            <w:noWrap/>
            <w:vAlign w:val="bottom"/>
          </w:tcPr>
          <w:p w:rsidR="00EC635E" w:rsidRPr="000C22EC" w:rsidRDefault="00EC635E">
            <w:pPr>
              <w:shd w:val="clear" w:color="000000" w:fill="auto"/>
              <w:spacing w:before="60" w:line="200" w:lineRule="exact"/>
              <w:jc w:val="right"/>
              <w:rPr>
                <w:i/>
                <w:sz w:val="16"/>
                <w:szCs w:val="16"/>
              </w:rPr>
            </w:pPr>
          </w:p>
        </w:tc>
        <w:tc>
          <w:tcPr>
            <w:tcW w:w="1180" w:type="dxa"/>
            <w:noWrap/>
            <w:vAlign w:val="bottom"/>
          </w:tcPr>
          <w:p w:rsidR="00EC635E" w:rsidRPr="000C22EC" w:rsidRDefault="00EC635E">
            <w:pPr>
              <w:shd w:val="clear" w:color="000000" w:fill="auto"/>
              <w:spacing w:before="60" w:line="200" w:lineRule="exact"/>
              <w:jc w:val="right"/>
              <w:rPr>
                <w:i/>
                <w:sz w:val="16"/>
                <w:szCs w:val="16"/>
              </w:rPr>
            </w:pPr>
            <w:r w:rsidRPr="000C22EC">
              <w:rPr>
                <w:i/>
                <w:sz w:val="16"/>
                <w:szCs w:val="16"/>
              </w:rPr>
              <w:t>–200 000</w:t>
            </w:r>
          </w:p>
        </w:tc>
      </w:tr>
      <w:tr w:rsidR="00000000" w:rsidRPr="000C22EC">
        <w:trPr>
          <w:cantSplit/>
        </w:trPr>
        <w:tc>
          <w:tcPr>
            <w:tcW w:w="3595" w:type="dxa"/>
          </w:tcPr>
          <w:p w:rsidR="00EC635E" w:rsidRPr="000C22EC" w:rsidRDefault="00EC635E">
            <w:pPr>
              <w:shd w:val="clear" w:color="000000" w:fill="auto"/>
              <w:spacing w:before="60" w:line="200" w:lineRule="exact"/>
              <w:rPr>
                <w:i/>
                <w:sz w:val="16"/>
                <w:szCs w:val="16"/>
              </w:rPr>
            </w:pPr>
            <w:r w:rsidRPr="000C22EC">
              <w:rPr>
                <w:i/>
                <w:sz w:val="16"/>
                <w:szCs w:val="16"/>
              </w:rPr>
              <w:t>Indragning till följd av förändringar i sjukförsä</w:t>
            </w:r>
            <w:r w:rsidRPr="000C22EC">
              <w:rPr>
                <w:i/>
                <w:sz w:val="16"/>
                <w:szCs w:val="16"/>
              </w:rPr>
              <w:t>k</w:t>
            </w:r>
            <w:r w:rsidRPr="000C22EC">
              <w:rPr>
                <w:i/>
                <w:sz w:val="16"/>
                <w:szCs w:val="16"/>
              </w:rPr>
              <w:t>ringen</w:t>
            </w:r>
          </w:p>
        </w:tc>
        <w:tc>
          <w:tcPr>
            <w:tcW w:w="1179" w:type="dxa"/>
            <w:noWrap/>
            <w:vAlign w:val="bottom"/>
          </w:tcPr>
          <w:p w:rsidR="00EC635E" w:rsidRPr="000C22EC" w:rsidRDefault="00EC635E">
            <w:pPr>
              <w:shd w:val="clear" w:color="000000" w:fill="auto"/>
              <w:spacing w:before="60" w:line="200" w:lineRule="exact"/>
              <w:jc w:val="right"/>
              <w:rPr>
                <w:i/>
                <w:sz w:val="16"/>
                <w:szCs w:val="16"/>
              </w:rPr>
            </w:pPr>
          </w:p>
        </w:tc>
        <w:tc>
          <w:tcPr>
            <w:tcW w:w="1180" w:type="dxa"/>
            <w:noWrap/>
            <w:vAlign w:val="bottom"/>
          </w:tcPr>
          <w:p w:rsidR="00EC635E" w:rsidRPr="000C22EC" w:rsidRDefault="00EC635E">
            <w:pPr>
              <w:shd w:val="clear" w:color="000000" w:fill="auto"/>
              <w:spacing w:before="60" w:line="200" w:lineRule="exact"/>
              <w:jc w:val="right"/>
              <w:rPr>
                <w:i/>
                <w:sz w:val="16"/>
                <w:szCs w:val="16"/>
              </w:rPr>
            </w:pPr>
            <w:r w:rsidRPr="000C22EC">
              <w:rPr>
                <w:i/>
                <w:sz w:val="16"/>
                <w:szCs w:val="16"/>
              </w:rPr>
              <w:t>–200 000</w:t>
            </w:r>
          </w:p>
        </w:tc>
      </w:tr>
      <w:tr w:rsidR="00000000" w:rsidRPr="000C22EC">
        <w:trPr>
          <w:cantSplit/>
        </w:trPr>
        <w:tc>
          <w:tcPr>
            <w:tcW w:w="3595" w:type="dxa"/>
          </w:tcPr>
          <w:p w:rsidR="00EC635E" w:rsidRPr="000C22EC" w:rsidRDefault="00EC635E">
            <w:pPr>
              <w:shd w:val="clear" w:color="000000" w:fill="auto"/>
              <w:spacing w:before="60" w:line="200" w:lineRule="exact"/>
              <w:rPr>
                <w:i/>
                <w:sz w:val="16"/>
                <w:szCs w:val="16"/>
              </w:rPr>
            </w:pPr>
            <w:r w:rsidRPr="000C22EC">
              <w:rPr>
                <w:i/>
                <w:sz w:val="16"/>
                <w:szCs w:val="16"/>
              </w:rPr>
              <w:t>Indragning till följd av förändringar i a-kassan</w:t>
            </w:r>
          </w:p>
        </w:tc>
        <w:tc>
          <w:tcPr>
            <w:tcW w:w="1179" w:type="dxa"/>
            <w:noWrap/>
            <w:vAlign w:val="bottom"/>
          </w:tcPr>
          <w:p w:rsidR="00EC635E" w:rsidRPr="000C22EC" w:rsidRDefault="00EC635E">
            <w:pPr>
              <w:shd w:val="clear" w:color="000000" w:fill="auto"/>
              <w:spacing w:before="60" w:line="200" w:lineRule="exact"/>
              <w:jc w:val="right"/>
              <w:rPr>
                <w:i/>
                <w:sz w:val="16"/>
                <w:szCs w:val="16"/>
              </w:rPr>
            </w:pPr>
          </w:p>
        </w:tc>
        <w:tc>
          <w:tcPr>
            <w:tcW w:w="1180" w:type="dxa"/>
            <w:noWrap/>
            <w:vAlign w:val="bottom"/>
          </w:tcPr>
          <w:p w:rsidR="00EC635E" w:rsidRPr="000C22EC" w:rsidRDefault="00EC635E">
            <w:pPr>
              <w:shd w:val="clear" w:color="000000" w:fill="auto"/>
              <w:spacing w:before="60" w:line="200" w:lineRule="exact"/>
              <w:jc w:val="right"/>
              <w:rPr>
                <w:i/>
                <w:sz w:val="16"/>
                <w:szCs w:val="16"/>
              </w:rPr>
            </w:pPr>
            <w:r w:rsidRPr="000C22EC">
              <w:rPr>
                <w:i/>
                <w:sz w:val="16"/>
                <w:szCs w:val="16"/>
              </w:rPr>
              <w:t>–1 167 000</w:t>
            </w:r>
          </w:p>
        </w:tc>
      </w:tr>
    </w:tbl>
    <w:p w:rsidR="00EC635E" w:rsidRPr="000C22EC" w:rsidRDefault="00EC635E">
      <w:pPr>
        <w:pStyle w:val="Rubrik1"/>
        <w:shd w:val="clear" w:color="000000" w:fill="auto"/>
      </w:pPr>
      <w:r w:rsidRPr="000C22EC">
        <w:t>Motivering</w:t>
      </w:r>
    </w:p>
    <w:p w:rsidR="00EC635E" w:rsidRPr="000C22EC" w:rsidRDefault="00EC635E">
      <w:pPr>
        <w:shd w:val="clear" w:color="000000" w:fill="auto"/>
      </w:pPr>
      <w:r w:rsidRPr="000C22EC">
        <w:t>Det så kallade 24-timmarssamhället bärs upp av kvinnor. Att arbeta kvällar, helger eller delade turer blir allt vanligare. Många tjänstemän arbetar mycket övertid i långa perioder. Ska det vara möjligt att klara detta krävs att det finns barnomsorg att tillgå också på dessa arbetstider. Vi avsätter därför 200 milj</w:t>
      </w:r>
      <w:r w:rsidRPr="000C22EC">
        <w:t>o</w:t>
      </w:r>
      <w:r w:rsidRPr="000C22EC">
        <w:t>ner kronor 2012 i stimulans till kommuner som erbjuder barnomsorg på ob</w:t>
      </w:r>
      <w:r w:rsidRPr="000C22EC">
        <w:t>e</w:t>
      </w:r>
      <w:r w:rsidRPr="000C22EC">
        <w:t>kväm arbetstid.</w:t>
      </w:r>
    </w:p>
    <w:p w:rsidR="00EC635E" w:rsidRPr="000C22EC" w:rsidRDefault="00EC635E">
      <w:pPr>
        <w:pStyle w:val="Normaltindrag"/>
        <w:shd w:val="clear" w:color="000000" w:fill="auto"/>
      </w:pPr>
      <w:r w:rsidRPr="000C22EC">
        <w:lastRenderedPageBreak/>
        <w:t>Regeringen gör en neddragning på gymnasieskolan med 675 miljoner kr</w:t>
      </w:r>
      <w:r w:rsidRPr="000C22EC">
        <w:t>o</w:t>
      </w:r>
      <w:r w:rsidRPr="000C22EC">
        <w:t>nor 2012 med hänvisning till den nya gymnasiereformen. Regeringen har inte visat hur den reformerade gymnasieskolan ger lägre kostnader för komm</w:t>
      </w:r>
      <w:r w:rsidRPr="000C22EC">
        <w:t>u</w:t>
      </w:r>
      <w:r w:rsidRPr="000C22EC">
        <w:t>nerna. När gymnasieskolans kostnadsutveckling med anledning av gymnasi</w:t>
      </w:r>
      <w:r w:rsidRPr="000C22EC">
        <w:t>e</w:t>
      </w:r>
      <w:r w:rsidRPr="000C22EC">
        <w:t xml:space="preserve">reformen har utretts kommer vi att ta ställning till frågan. För 2012 avsätter vi 675 miljoner kronor till gymnasieskolan. </w:t>
      </w:r>
    </w:p>
    <w:p w:rsidR="00EC635E" w:rsidRPr="000C22EC" w:rsidRDefault="00EC635E">
      <w:pPr>
        <w:pStyle w:val="Normaltindrag"/>
        <w:shd w:val="clear" w:color="000000" w:fill="auto"/>
      </w:pPr>
      <w:r w:rsidRPr="000C22EC">
        <w:t>Ett sommarjobb är ofta ungdomars första kontakt med arbetslivet. Genom sommarjobb får ungdomar lära sig vilka krav som ställs på en arbetsplats, praktiska arbetslivs</w:t>
      </w:r>
      <w:r w:rsidRPr="000C22EC">
        <w:softHyphen/>
        <w:t xml:space="preserve">erfarenheter och referenser för sitt framtida jobbsökande. </w:t>
      </w:r>
    </w:p>
    <w:p w:rsidR="00EC635E" w:rsidRPr="000C22EC" w:rsidRDefault="00EC635E">
      <w:pPr>
        <w:pStyle w:val="Normaltindrag"/>
        <w:shd w:val="clear" w:color="000000" w:fill="auto"/>
      </w:pPr>
      <w:r w:rsidRPr="000C22EC">
        <w:t xml:space="preserve">I Nynäshamn i södra Stockholms län har det under ett antal år bedrivits ett mycket framgångsrikt samarbete mellan kommun och näringsliv för att skaffa fram sommarjobb åt skolungdomar.  Fyra årskullar, de som slutat årskurs 9 på högstadiet till dem som slutat årskurs 3 på gymnasiet, erbjuds sommarjobb och alla som lämnar in en ansökan garanteras arbete. Garantin inkluderar arbete i tre veckor. </w:t>
      </w:r>
    </w:p>
    <w:p w:rsidR="00EC635E" w:rsidRPr="000C22EC" w:rsidRDefault="00EC635E">
      <w:pPr>
        <w:pStyle w:val="Normaltindrag"/>
        <w:shd w:val="clear" w:color="000000" w:fill="auto"/>
      </w:pPr>
      <w:r w:rsidRPr="000C22EC">
        <w:t xml:space="preserve">Av de sommarjobb som finns i satsningen är 60 procent inom det privata näringslivet och resterande 40 procent inom den kommunala verksamheten. De privata arbetsgivare som inte kan stå för hela lönekostnaden kan erhålla en viss ekonomisk hjälp från kommunen. </w:t>
      </w:r>
    </w:p>
    <w:p w:rsidR="00EC635E" w:rsidRPr="000C22EC" w:rsidRDefault="00EC635E">
      <w:pPr>
        <w:pStyle w:val="Normaltindrag"/>
        <w:shd w:val="clear" w:color="000000" w:fill="auto"/>
      </w:pPr>
      <w:r w:rsidRPr="000C22EC">
        <w:t xml:space="preserve">Vi föreslår att Nynäshamnsmodellen utvidgas till att omfatta Sveriges samtliga kommuner. De kommuner som inför modellen erhåller ersättning via ett riktat statsbidrag. Satsningen genomförs  från år 2012 och beräknas uppgå till  700 miljoner  kronor årligen.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22EC">
        <w:trPr>
          <w:cantSplit/>
        </w:trPr>
        <w:tc>
          <w:tcPr>
            <w:tcW w:w="3046" w:type="dxa"/>
          </w:tcPr>
          <w:p w:rsidR="00EC635E" w:rsidRPr="000C22EC" w:rsidRDefault="00EC635E">
            <w:pPr>
              <w:pStyle w:val="UnderskriftDatum"/>
              <w:shd w:val="clear" w:color="000000" w:fill="auto"/>
              <w:spacing w:before="240"/>
            </w:pPr>
            <w:r w:rsidRPr="000C22EC">
              <w:t>Stockholm den 5 oktober 2011</w:t>
            </w:r>
          </w:p>
        </w:tc>
        <w:tc>
          <w:tcPr>
            <w:tcW w:w="3047" w:type="dxa"/>
          </w:tcPr>
          <w:p w:rsidR="00EC635E" w:rsidRPr="000C22EC" w:rsidRDefault="00EC635E">
            <w:pPr>
              <w:pStyle w:val="Underskrifter"/>
              <w:shd w:val="clear" w:color="000000" w:fill="auto"/>
              <w:spacing w:before="240"/>
            </w:pPr>
          </w:p>
        </w:tc>
      </w:tr>
      <w:tr w:rsidR="00000000" w:rsidRPr="000C22EC">
        <w:trPr>
          <w:cantSplit/>
        </w:trPr>
        <w:tc>
          <w:tcPr>
            <w:tcW w:w="3046" w:type="dxa"/>
          </w:tcPr>
          <w:p w:rsidR="00EC635E" w:rsidRPr="000C22EC" w:rsidRDefault="00EC635E">
            <w:pPr>
              <w:pStyle w:val="Underskrifter"/>
              <w:shd w:val="clear" w:color="000000" w:fill="auto"/>
            </w:pPr>
            <w:r w:rsidRPr="000C22EC">
              <w:t>Tommy Waidelich (S)</w:t>
            </w:r>
          </w:p>
        </w:tc>
        <w:tc>
          <w:tcPr>
            <w:tcW w:w="3046" w:type="dxa"/>
          </w:tcPr>
          <w:p w:rsidR="00EC635E" w:rsidRPr="000C22EC" w:rsidRDefault="00EC635E">
            <w:pPr>
              <w:pStyle w:val="Underskrifter"/>
              <w:shd w:val="clear" w:color="000000" w:fill="auto"/>
            </w:pPr>
          </w:p>
        </w:tc>
      </w:tr>
      <w:tr w:rsidR="00000000" w:rsidRPr="000C22EC">
        <w:trPr>
          <w:cantSplit/>
        </w:trPr>
        <w:tc>
          <w:tcPr>
            <w:tcW w:w="3046" w:type="dxa"/>
          </w:tcPr>
          <w:p w:rsidR="00EC635E" w:rsidRPr="000C22EC" w:rsidRDefault="00EC635E">
            <w:pPr>
              <w:pStyle w:val="Underskrifter"/>
              <w:shd w:val="clear" w:color="000000" w:fill="auto"/>
            </w:pPr>
            <w:r w:rsidRPr="000C22EC">
              <w:t>Pia Nilsson (S)</w:t>
            </w:r>
          </w:p>
        </w:tc>
        <w:tc>
          <w:tcPr>
            <w:tcW w:w="3046" w:type="dxa"/>
          </w:tcPr>
          <w:p w:rsidR="00EC635E" w:rsidRPr="000C22EC" w:rsidRDefault="00EC635E">
            <w:pPr>
              <w:pStyle w:val="Underskrifter"/>
              <w:shd w:val="clear" w:color="000000" w:fill="auto"/>
            </w:pPr>
            <w:r w:rsidRPr="000C22EC">
              <w:t>Jörgen Hellman (S)</w:t>
            </w:r>
          </w:p>
        </w:tc>
      </w:tr>
      <w:tr w:rsidR="00000000" w:rsidRPr="000C22EC">
        <w:trPr>
          <w:cantSplit/>
        </w:trPr>
        <w:tc>
          <w:tcPr>
            <w:tcW w:w="3046" w:type="dxa"/>
          </w:tcPr>
          <w:p w:rsidR="00EC635E" w:rsidRPr="000C22EC" w:rsidRDefault="00EC635E">
            <w:pPr>
              <w:pStyle w:val="Underskrifter"/>
              <w:shd w:val="clear" w:color="000000" w:fill="auto"/>
            </w:pPr>
            <w:r w:rsidRPr="000C22EC">
              <w:t>Maryam Yazdanfar (S)</w:t>
            </w:r>
          </w:p>
        </w:tc>
        <w:tc>
          <w:tcPr>
            <w:tcW w:w="3046" w:type="dxa"/>
          </w:tcPr>
          <w:p w:rsidR="00EC635E" w:rsidRPr="000C22EC" w:rsidRDefault="00EC635E">
            <w:pPr>
              <w:pStyle w:val="Underskrifter"/>
              <w:shd w:val="clear" w:color="000000" w:fill="auto"/>
            </w:pPr>
            <w:r w:rsidRPr="000C22EC">
              <w:t>Bo Bernhardsson (S)</w:t>
            </w:r>
          </w:p>
        </w:tc>
      </w:tr>
      <w:tr w:rsidR="00000000" w:rsidRPr="000C22EC">
        <w:trPr>
          <w:cantSplit/>
        </w:trPr>
        <w:tc>
          <w:tcPr>
            <w:tcW w:w="3046" w:type="dxa"/>
          </w:tcPr>
          <w:p w:rsidR="00EC635E" w:rsidRPr="000C22EC" w:rsidRDefault="00EC635E">
            <w:pPr>
              <w:pStyle w:val="Underskrifter"/>
              <w:shd w:val="clear" w:color="000000" w:fill="auto"/>
            </w:pPr>
            <w:r w:rsidRPr="000C22EC">
              <w:t>Marie Nordén (S)</w:t>
            </w:r>
          </w:p>
        </w:tc>
        <w:tc>
          <w:tcPr>
            <w:tcW w:w="3046" w:type="dxa"/>
          </w:tcPr>
          <w:p w:rsidR="00EC635E" w:rsidRPr="000C22EC" w:rsidRDefault="00EC635E">
            <w:pPr>
              <w:pStyle w:val="Underskrifter"/>
              <w:shd w:val="clear" w:color="000000" w:fill="auto"/>
            </w:pPr>
          </w:p>
        </w:tc>
      </w:tr>
    </w:tbl>
    <w:p w:rsidR="00EC635E" w:rsidRPr="000C22EC" w:rsidRDefault="00EC635E">
      <w:pPr>
        <w:pStyle w:val="Normaltindrag"/>
        <w:shd w:val="clear" w:color="000000" w:fill="auto"/>
      </w:pPr>
    </w:p>
    <w:sectPr w:rsidR="00EC635E" w:rsidRPr="000C22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635E" w:rsidRPr="000C22EC" w:rsidRDefault="00EC635E">
      <w:r w:rsidRPr="000C22EC">
        <w:separator/>
      </w:r>
    </w:p>
  </w:endnote>
  <w:endnote w:type="continuationSeparator" w:id="0">
    <w:p w:rsidR="00EC635E" w:rsidRPr="000C22EC" w:rsidRDefault="00EC635E">
      <w:r w:rsidRPr="000C22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35E" w:rsidRPr="000C22EC" w:rsidRDefault="000C22EC">
    <w:pPr>
      <w:pStyle w:val="Sidfot"/>
    </w:pPr>
    <w:r w:rsidRPr="000C22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5967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35E" w:rsidRDefault="00EC63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635E" w:rsidRDefault="00EC63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35E" w:rsidRPr="000C22EC" w:rsidRDefault="000C22EC">
    <w:pPr>
      <w:pStyle w:val="Sidfot"/>
    </w:pPr>
    <w:r w:rsidRPr="000C22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160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35E" w:rsidRDefault="00EC635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635E" w:rsidRDefault="00EC635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35E" w:rsidRPr="000C22EC" w:rsidRDefault="000C22EC">
    <w:pPr>
      <w:pStyle w:val="Sidfot"/>
    </w:pPr>
    <w:r w:rsidRPr="000C22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93185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35E" w:rsidRDefault="00EC63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635E" w:rsidRDefault="00EC63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635E" w:rsidRPr="000C22EC" w:rsidRDefault="00EC635E">
      <w:r w:rsidRPr="000C22EC">
        <w:separator/>
      </w:r>
    </w:p>
  </w:footnote>
  <w:footnote w:type="continuationSeparator" w:id="0">
    <w:p w:rsidR="00EC635E" w:rsidRPr="000C22EC" w:rsidRDefault="00EC635E">
      <w:r w:rsidRPr="000C22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35E" w:rsidRPr="000C22EC" w:rsidRDefault="000C22EC">
    <w:pPr>
      <w:pStyle w:val="Sidhuvud"/>
    </w:pPr>
    <w:r w:rsidRPr="000C22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59102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35E" w:rsidRDefault="00EC635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635E" w:rsidRDefault="00EC635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35E" w:rsidRPr="000C22EC" w:rsidRDefault="000C22EC">
    <w:pPr>
      <w:pStyle w:val="Sidhuvud"/>
    </w:pPr>
    <w:r w:rsidRPr="000C22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84270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35E" w:rsidRDefault="00EC635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635E" w:rsidRDefault="00EC635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35E" w:rsidRPr="000C22EC" w:rsidRDefault="00EC635E">
    <w:pPr>
      <w:pStyle w:val="FSHNormal"/>
      <w:tabs>
        <w:tab w:val="right" w:pos="5840"/>
      </w:tabs>
    </w:pPr>
    <w:r w:rsidRPr="000C22EC">
      <w:br/>
    </w:r>
    <w:r w:rsidRPr="000C22EC">
      <w:fldChar w:fldCharType="begin" w:fldLock="1"/>
    </w:r>
    <w:r w:rsidRPr="000C22EC">
      <w:instrText xml:space="preserve"> DOCPROPERTY</w:instrText>
    </w:r>
    <w:r w:rsidRPr="000C22EC">
      <w:rPr>
        <w:sz w:val="18"/>
      </w:rPr>
      <w:instrText xml:space="preserve"> "YearUser" *\charformat </w:instrText>
    </w:r>
    <w:r w:rsidRPr="000C22EC">
      <w:fldChar w:fldCharType="separate"/>
    </w:r>
    <w:r w:rsidRPr="000C22EC">
      <w:t>2011/12</w:t>
    </w:r>
    <w:r w:rsidRPr="000C22EC">
      <w:fldChar w:fldCharType="end"/>
    </w:r>
    <w:r w:rsidRPr="000C22EC">
      <w:t xml:space="preserve"> </w:t>
    </w:r>
    <w:r w:rsidRPr="000C22EC">
      <w:tab/>
      <w:t xml:space="preserve">mnr: </w:t>
    </w:r>
    <w:r w:rsidRPr="000C22EC">
      <w:fldChar w:fldCharType="begin" w:fldLock="1"/>
    </w:r>
    <w:r w:rsidRPr="000C22EC">
      <w:instrText xml:space="preserve"> DOCPROPERTY</w:instrText>
    </w:r>
    <w:r w:rsidRPr="000C22EC">
      <w:rPr>
        <w:sz w:val="18"/>
      </w:rPr>
      <w:instrText xml:space="preserve"> "Motionsnummer" *\charformat </w:instrText>
    </w:r>
    <w:r w:rsidRPr="000C22EC">
      <w:fldChar w:fldCharType="separate"/>
    </w:r>
    <w:r w:rsidRPr="000C22EC">
      <w:t>Fi310</w:t>
    </w:r>
    <w:r w:rsidRPr="000C22EC">
      <w:fldChar w:fldCharType="end"/>
    </w:r>
    <w:r w:rsidRPr="000C22EC">
      <w:br/>
    </w:r>
    <w:r w:rsidRPr="000C22EC">
      <w:fldChar w:fldCharType="begin" w:fldLock="1"/>
    </w:r>
    <w:r w:rsidRPr="000C22EC">
      <w:instrText xml:space="preserve"> DOCPROPERTY</w:instrText>
    </w:r>
    <w:r w:rsidRPr="000C22EC">
      <w:rPr>
        <w:sz w:val="18"/>
      </w:rPr>
      <w:instrText xml:space="preserve"> "Samling" *\charformat </w:instrText>
    </w:r>
    <w:r w:rsidRPr="000C22EC">
      <w:fldChar w:fldCharType="end"/>
    </w:r>
    <w:r w:rsidRPr="000C22EC">
      <w:tab/>
      <w:t xml:space="preserve">pnr: </w:t>
    </w:r>
    <w:r w:rsidRPr="000C22EC">
      <w:fldChar w:fldCharType="begin" w:fldLock="1"/>
    </w:r>
    <w:r w:rsidRPr="000C22EC">
      <w:instrText xml:space="preserve"> DOCPROPERTY</w:instrText>
    </w:r>
    <w:r w:rsidRPr="000C22EC">
      <w:rPr>
        <w:sz w:val="18"/>
      </w:rPr>
      <w:instrText xml:space="preserve"> "Partinummer" *\charformat </w:instrText>
    </w:r>
    <w:r w:rsidRPr="000C22EC">
      <w:fldChar w:fldCharType="separate"/>
    </w:r>
    <w:r w:rsidRPr="000C22EC">
      <w:t>S13001</w:t>
    </w:r>
    <w:r w:rsidRPr="000C22EC">
      <w:fldChar w:fldCharType="end"/>
    </w:r>
  </w:p>
  <w:p w:rsidR="00EC635E" w:rsidRPr="000C22EC" w:rsidRDefault="00EC635E">
    <w:pPr>
      <w:pStyle w:val="FSHRub1"/>
    </w:pPr>
    <w:r w:rsidRPr="000C22EC">
      <w:t>Motion till riksdagen</w:t>
    </w:r>
    <w:r w:rsidRPr="000C22EC">
      <w:br/>
    </w:r>
    <w:r w:rsidRPr="000C22EC">
      <w:fldChar w:fldCharType="begin" w:fldLock="1"/>
    </w:r>
    <w:r w:rsidRPr="000C22EC">
      <w:instrText xml:space="preserve"> DOCPROPERTY "YearUser" *\charformat </w:instrText>
    </w:r>
    <w:r w:rsidRPr="000C22EC">
      <w:fldChar w:fldCharType="separate"/>
    </w:r>
    <w:r w:rsidRPr="000C22EC">
      <w:t>2011/12</w:t>
    </w:r>
    <w:r w:rsidRPr="000C22EC">
      <w:fldChar w:fldCharType="end"/>
    </w:r>
    <w:r w:rsidRPr="000C22EC">
      <w:t>:</w:t>
    </w:r>
    <w:r w:rsidRPr="000C22EC">
      <w:fldChar w:fldCharType="begin" w:fldLock="1"/>
    </w:r>
    <w:r w:rsidRPr="000C22EC">
      <w:instrText xml:space="preserve"> DOCPROPERTY "Motionsnummer" *\charformat </w:instrText>
    </w:r>
    <w:r w:rsidRPr="000C22EC">
      <w:fldChar w:fldCharType="separate"/>
    </w:r>
    <w:r w:rsidRPr="000C22EC">
      <w:t>Fi310</w:t>
    </w:r>
    <w:r w:rsidRPr="000C22EC">
      <w:fldChar w:fldCharType="end"/>
    </w:r>
  </w:p>
  <w:p w:rsidR="00EC635E" w:rsidRPr="000C22EC" w:rsidRDefault="00EC635E">
    <w:pPr>
      <w:pStyle w:val="FSHNormalS5"/>
    </w:pPr>
    <w:r w:rsidRPr="000C22EC">
      <w:fldChar w:fldCharType="begin" w:fldLock="1"/>
    </w:r>
    <w:r w:rsidRPr="000C22EC">
      <w:instrText xml:space="preserve"> DOCPROPERTY "MotionarText" *\charformat </w:instrText>
    </w:r>
    <w:r w:rsidRPr="000C22EC">
      <w:fldChar w:fldCharType="separate"/>
    </w:r>
    <w:r w:rsidRPr="000C22EC">
      <w:t>av Tommy Waidelich m.fl. (S)</w:t>
    </w:r>
    <w:r w:rsidRPr="000C22EC">
      <w:fldChar w:fldCharType="end"/>
    </w:r>
    <w:r w:rsidRPr="000C22EC">
      <w:br/>
    </w:r>
    <w:r w:rsidRPr="000C22EC">
      <w:fldChar w:fldCharType="begin" w:fldLock="1"/>
    </w:r>
    <w:r w:rsidRPr="000C22EC">
      <w:instrText xml:space="preserve"> DOCPROPERTY "SvarFrasKort" *\charformat </w:instrText>
    </w:r>
    <w:r w:rsidRPr="000C22EC">
      <w:fldChar w:fldCharType="end"/>
    </w:r>
  </w:p>
  <w:p w:rsidR="00EC635E" w:rsidRPr="000C22EC" w:rsidRDefault="00EC635E">
    <w:pPr>
      <w:pStyle w:val="FSHTitel"/>
    </w:pPr>
    <w:r w:rsidRPr="000C22EC">
      <w:fldChar w:fldCharType="begin" w:fldLock="1"/>
    </w:r>
    <w:r w:rsidRPr="000C22EC">
      <w:instrText xml:space="preserve"> DOCPROPERTY</w:instrText>
    </w:r>
    <w:r w:rsidRPr="000C22EC">
      <w:rPr>
        <w:sz w:val="18"/>
      </w:rPr>
      <w:instrText xml:space="preserve"> "RubrikSvar" *\charformat </w:instrText>
    </w:r>
    <w:r w:rsidRPr="000C22EC">
      <w:fldChar w:fldCharType="separate"/>
    </w:r>
    <w:r w:rsidRPr="000C22EC">
      <w:t>Utgiftsområde 25 Allmänna bidrag till kommuner</w:t>
    </w:r>
    <w:r w:rsidRPr="000C22EC">
      <w:fldChar w:fldCharType="end"/>
    </w:r>
  </w:p>
  <w:p w:rsidR="00EC635E" w:rsidRPr="000C22EC" w:rsidRDefault="00EC635E">
    <w:pPr>
      <w:pStyle w:val="Normal00"/>
    </w:pPr>
  </w:p>
  <w:p w:rsidR="00EC635E" w:rsidRPr="000C22EC" w:rsidRDefault="00EC63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7379255">
    <w:abstractNumId w:val="3"/>
  </w:num>
  <w:num w:numId="2" w16cid:durableId="627666012">
    <w:abstractNumId w:val="2"/>
  </w:num>
  <w:num w:numId="3" w16cid:durableId="1149976414">
    <w:abstractNumId w:val="1"/>
  </w:num>
  <w:num w:numId="4" w16cid:durableId="1076392054">
    <w:abstractNumId w:val="0"/>
  </w:num>
  <w:num w:numId="5" w16cid:durableId="595019638">
    <w:abstractNumId w:val="7"/>
  </w:num>
  <w:num w:numId="6" w16cid:durableId="1222138905">
    <w:abstractNumId w:val="6"/>
  </w:num>
  <w:num w:numId="7" w16cid:durableId="1785734934">
    <w:abstractNumId w:val="5"/>
  </w:num>
  <w:num w:numId="8" w16cid:durableId="719284101">
    <w:abstractNumId w:val="4"/>
  </w:num>
  <w:num w:numId="9" w16cid:durableId="381639175">
    <w:abstractNumId w:val="8"/>
  </w:num>
  <w:num w:numId="10" w16cid:durableId="315719378">
    <w:abstractNumId w:val="9"/>
  </w:num>
  <w:num w:numId="11" w16cid:durableId="496575629">
    <w:abstractNumId w:val="10"/>
  </w:num>
  <w:num w:numId="12" w16cid:durableId="2051103179">
    <w:abstractNumId w:val="13"/>
  </w:num>
  <w:num w:numId="13" w16cid:durableId="258680458">
    <w:abstractNumId w:val="15"/>
  </w:num>
  <w:num w:numId="14" w16cid:durableId="795686941">
    <w:abstractNumId w:val="16"/>
  </w:num>
  <w:num w:numId="15" w16cid:durableId="2056661971">
    <w:abstractNumId w:val="11"/>
  </w:num>
  <w:num w:numId="16" w16cid:durableId="1884050969">
    <w:abstractNumId w:val="18"/>
  </w:num>
  <w:num w:numId="17" w16cid:durableId="936911137">
    <w:abstractNumId w:val="17"/>
  </w:num>
  <w:num w:numId="18" w16cid:durableId="474613304">
    <w:abstractNumId w:val="14"/>
  </w:num>
  <w:num w:numId="19" w16cid:durableId="8904605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7594C8A9-CEC7-4534-94CB-47347B1A684C},{64868F73-EEA3-4FEE-A89B-6FFA2EA4E228},{18C2DAAE-5392-418E-9764-4B155BD54E99},{13C605B2-5B85-4DCC-B020-5D9A4B0B79E3},{E3F799B0-2A54-451A-B4A7-689065640C0B},{0350534B-85B5-40E1-BE33-EF8FC312F402}"/>
  </w:docVars>
  <w:rsids>
    <w:rsidRoot w:val="003809EF"/>
    <w:rsid w:val="000C22EC"/>
    <w:rsid w:val="003809EF"/>
    <w:rsid w:val="00EC63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1DFC37-BA12-4FE0-A02A-10D4D0EB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1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2549</Characters>
  <Application>Microsoft Office Word</Application>
  <DocSecurity>4</DocSecurity>
  <Lines>87</Lines>
  <Paragraphs>49</Paragraphs>
  <ScaleCrop>false</ScaleCrop>
  <HeadingPairs>
    <vt:vector size="2" baseType="variant">
      <vt:variant>
        <vt:lpstr>Rubrik</vt:lpstr>
      </vt:variant>
      <vt:variant>
        <vt:i4>1</vt:i4>
      </vt:variant>
    </vt:vector>
  </HeadingPairs>
  <TitlesOfParts>
    <vt:vector size="1" baseType="lpstr">
      <vt:lpstr>S13001</vt:lpstr>
    </vt:vector>
  </TitlesOfParts>
  <Company>Riksdagen</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S13001</dc:title>
  <dc:subject>S13001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2012-01-10T12:30:00Z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25 Allmänna bidrag till kommuner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25 Allmänna bidrag till kommuner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Tommy Waidelich m.fl. (S)</vt:lpwstr>
  </property>
  <property fmtid="{D5CDD505-2E9C-101B-9397-08002B2CF9AE}" pid="26" name="MotionarLista">
    <vt:lpwstr>Waidelich, Tommy (S)\Nilsson, Pia (S)\Hellman, Jörgen (S)\Yazdanfar, Maryam (S)\Bernhardsson, Bo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Waidelich (S), Pia Nilsson (S), Jörgen Hellman (S), Maryam Yazdanfar (S), Bo Bernhardsson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jeanette.bjorklund@riksdagen.se</vt:lpwstr>
  </property>
  <property fmtid="{D5CDD505-2E9C-101B-9397-08002B2CF9AE}" pid="45" name="ReservUID">
    <vt:lpwstr>je0204aa</vt:lpwstr>
  </property>
  <property fmtid="{D5CDD505-2E9C-101B-9397-08002B2CF9AE}" pid="46" name="MotionID">
    <vt:lpwstr>20112012000000000083000130010069</vt:lpwstr>
  </property>
  <property fmtid="{D5CDD505-2E9C-101B-9397-08002B2CF9AE}" pid="47" name="datum">
    <vt:lpwstr>111005</vt:lpwstr>
  </property>
  <property fmtid="{D5CDD505-2E9C-101B-9397-08002B2CF9AE}" pid="48" name="avsändar-e-post">
    <vt:lpwstr>jeanette.bjorklund@riksdagen.se</vt:lpwstr>
  </property>
  <property fmtid="{D5CDD505-2E9C-101B-9397-08002B2CF9AE}" pid="49" name="id">
    <vt:lpwstr>20112012000000000083000130010069</vt:lpwstr>
  </property>
  <property fmtid="{D5CDD505-2E9C-101B-9397-08002B2CF9AE}" pid="50" name="nummer">
    <vt:lpwstr>310</vt:lpwstr>
  </property>
  <property fmtid="{D5CDD505-2E9C-101B-9397-08002B2CF9AE}" pid="51" name="utskottsbeteckning">
    <vt:lpwstr>Fi</vt:lpwstr>
  </property>
  <property fmtid="{D5CDD505-2E9C-101B-9397-08002B2CF9AE}" pid="52" name="GlobalUID">
    <vt:lpwstr>{E20C5F8F-D77A-42AF-8E28-C2206B12FCBB}</vt:lpwstr>
  </property>
  <property fmtid="{D5CDD505-2E9C-101B-9397-08002B2CF9AE}" pid="53" name="Överföringar">
    <vt:i4>0</vt:i4>
  </property>
  <property fmtid="{D5CDD505-2E9C-101B-9397-08002B2CF9AE}" pid="54" name="Checksum">
    <vt:lpwstr>*1017011646140*</vt:lpwstr>
  </property>
  <property fmtid="{D5CDD505-2E9C-101B-9397-08002B2CF9AE}" pid="55" name="skuggnummer">
    <vt:lpwstr>3202</vt:lpwstr>
  </property>
  <property fmtid="{D5CDD505-2E9C-101B-9397-08002B2CF9AE}" pid="56" name="urixVersion">
    <vt:lpwstr>4.5.0.25</vt:lpwstr>
  </property>
  <property fmtid="{D5CDD505-2E9C-101B-9397-08002B2CF9AE}" pid="57" name="urixOrigin">
    <vt:lpwstr>120215 15:08:42.000</vt:lpwstr>
  </property>
  <property fmtid="{D5CDD505-2E9C-101B-9397-08002B2CF9AE}" pid="58" name="urixGuid">
    <vt:lpwstr>{CF5710CF-D69F-4731-83E7-F1F4CC6B2A9E}</vt:lpwstr>
  </property>
</Properties>
</file>