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4E05D" w14:textId="77777777" w:rsidR="006D069E" w:rsidRDefault="006D069E" w:rsidP="006D069E">
      <w:pPr>
        <w:pStyle w:val="UDrubrik"/>
        <w:tabs>
          <w:tab w:val="left" w:pos="1701"/>
          <w:tab w:val="left" w:pos="1985"/>
        </w:tabs>
        <w:rPr>
          <w:rFonts w:cs="Arial"/>
          <w:sz w:val="28"/>
        </w:rPr>
      </w:pPr>
      <w:bookmarkStart w:id="0" w:name="_GoBack"/>
      <w:bookmarkEnd w:id="0"/>
    </w:p>
    <w:p w14:paraId="0E24E05E" w14:textId="77777777" w:rsidR="006D069E" w:rsidRDefault="006D069E" w:rsidP="006D069E">
      <w:pPr>
        <w:pStyle w:val="UDrubrik"/>
        <w:tabs>
          <w:tab w:val="left" w:pos="1701"/>
          <w:tab w:val="left" w:pos="1985"/>
        </w:tabs>
        <w:rPr>
          <w:rFonts w:cs="Arial"/>
          <w:sz w:val="28"/>
        </w:rPr>
      </w:pPr>
    </w:p>
    <w:p w14:paraId="0E24E05F" w14:textId="77777777" w:rsidR="006D069E" w:rsidRDefault="006D069E" w:rsidP="006D069E">
      <w:pPr>
        <w:pStyle w:val="UDrubrik"/>
        <w:tabs>
          <w:tab w:val="left" w:pos="1701"/>
          <w:tab w:val="left" w:pos="1985"/>
        </w:tabs>
        <w:rPr>
          <w:rFonts w:cs="Arial"/>
          <w:sz w:val="28"/>
        </w:rPr>
      </w:pPr>
    </w:p>
    <w:p w14:paraId="0E24E060" w14:textId="77777777" w:rsidR="006D069E" w:rsidRDefault="006D069E" w:rsidP="006D069E">
      <w:pPr>
        <w:pStyle w:val="UDrubrik"/>
        <w:tabs>
          <w:tab w:val="left" w:pos="1701"/>
          <w:tab w:val="left" w:pos="1985"/>
        </w:tabs>
        <w:rPr>
          <w:rFonts w:cs="Arial"/>
          <w:sz w:val="28"/>
        </w:rPr>
      </w:pPr>
    </w:p>
    <w:p w14:paraId="0E24E061" w14:textId="560119AA" w:rsidR="006D069E" w:rsidRDefault="006D069E" w:rsidP="006D069E">
      <w:pPr>
        <w:pStyle w:val="UDrubrik"/>
        <w:tabs>
          <w:tab w:val="left" w:pos="1701"/>
          <w:tab w:val="left" w:pos="1985"/>
        </w:tabs>
        <w:rPr>
          <w:rFonts w:cs="Arial"/>
          <w:sz w:val="28"/>
        </w:rPr>
      </w:pPr>
      <w:r>
        <w:rPr>
          <w:rFonts w:cs="Arial"/>
          <w:sz w:val="28"/>
        </w:rPr>
        <w:t xml:space="preserve">Troliga A-punkter inför </w:t>
      </w:r>
      <w:r w:rsidR="009C6D6C">
        <w:rPr>
          <w:rFonts w:cs="Arial"/>
          <w:sz w:val="28"/>
        </w:rPr>
        <w:t>kommande rådsmöten som godkändes</w:t>
      </w:r>
      <w:r>
        <w:rPr>
          <w:rFonts w:cs="Arial"/>
          <w:sz w:val="28"/>
        </w:rPr>
        <w:t xml:space="preserve"> vid Coreper II den 12 november 2014 vecka 46.</w:t>
      </w:r>
    </w:p>
    <w:p w14:paraId="0E24E062" w14:textId="77777777" w:rsidR="006D069E" w:rsidRDefault="006D069E" w:rsidP="006D069E">
      <w:pPr>
        <w:pStyle w:val="Brdtext"/>
      </w:pPr>
    </w:p>
    <w:p w14:paraId="0E24E063" w14:textId="5FCC78F7" w:rsidR="006D069E" w:rsidRDefault="006D069E" w:rsidP="006D069E">
      <w:pPr>
        <w:pStyle w:val="Brdtext"/>
      </w:pPr>
      <w:r>
        <w:t>Överlämnas för skriftl</w:t>
      </w:r>
      <w:r w:rsidR="00112B2C">
        <w:t>igt samråd till torsdagen den 13 november 2014, kl 16</w:t>
      </w:r>
      <w:r>
        <w:t>.00.</w:t>
      </w:r>
    </w:p>
    <w:p w14:paraId="0E24E064" w14:textId="77777777" w:rsidR="006D069E" w:rsidRDefault="006D069E">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E24E065" w14:textId="77777777" w:rsidR="006D069E" w:rsidRPr="00FB32B9" w:rsidRDefault="006D069E">
          <w:pPr>
            <w:pStyle w:val="Innehllsfrteckningsrubrik"/>
            <w:rPr>
              <w:color w:val="auto"/>
            </w:rPr>
          </w:pPr>
          <w:r w:rsidRPr="00FB32B9">
            <w:rPr>
              <w:color w:val="auto"/>
            </w:rPr>
            <w:t>Innehållsförteckning</w:t>
          </w:r>
        </w:p>
        <w:p w14:paraId="0E24E066" w14:textId="77777777" w:rsidR="006D069E" w:rsidRPr="00DA7250" w:rsidRDefault="006D069E" w:rsidP="006D069E">
          <w:pPr>
            <w:rPr>
              <w:lang w:val="en-US" w:eastAsia="ja-JP"/>
            </w:rPr>
          </w:pPr>
        </w:p>
        <w:p w14:paraId="00C0082F" w14:textId="77777777" w:rsidR="009C6D6C" w:rsidRDefault="006D069E">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3634221" w:history="1">
            <w:r w:rsidR="009C6D6C" w:rsidRPr="00D05FD6">
              <w:rPr>
                <w:rStyle w:val="Hyperlnk"/>
                <w:noProof/>
              </w:rPr>
              <w:t>1.</w:t>
            </w:r>
            <w:r w:rsidR="009C6D6C">
              <w:rPr>
                <w:rFonts w:asciiTheme="minorHAnsi" w:eastAsiaTheme="minorEastAsia" w:hAnsiTheme="minorHAnsi" w:cstheme="minorBidi"/>
                <w:noProof/>
                <w:lang w:eastAsia="sv-SE"/>
              </w:rPr>
              <w:tab/>
            </w:r>
            <w:r w:rsidR="009C6D6C" w:rsidRPr="00D05FD6">
              <w:rPr>
                <w:rStyle w:val="Hyperlnk"/>
                <w:noProof/>
              </w:rPr>
              <w:t>Opinion 1/13 of the Court of 14 October 2014</w:t>
            </w:r>
            <w:r w:rsidR="009C6D6C">
              <w:rPr>
                <w:noProof/>
                <w:webHidden/>
              </w:rPr>
              <w:tab/>
            </w:r>
            <w:r w:rsidR="009C6D6C">
              <w:rPr>
                <w:noProof/>
                <w:webHidden/>
              </w:rPr>
              <w:fldChar w:fldCharType="begin"/>
            </w:r>
            <w:r w:rsidR="009C6D6C">
              <w:rPr>
                <w:noProof/>
                <w:webHidden/>
              </w:rPr>
              <w:instrText xml:space="preserve"> PAGEREF _Toc403634221 \h </w:instrText>
            </w:r>
            <w:r w:rsidR="009C6D6C">
              <w:rPr>
                <w:noProof/>
                <w:webHidden/>
              </w:rPr>
            </w:r>
            <w:r w:rsidR="009C6D6C">
              <w:rPr>
                <w:noProof/>
                <w:webHidden/>
              </w:rPr>
              <w:fldChar w:fldCharType="separate"/>
            </w:r>
            <w:r w:rsidR="009C6D6C">
              <w:rPr>
                <w:noProof/>
                <w:webHidden/>
              </w:rPr>
              <w:t>4</w:t>
            </w:r>
            <w:r w:rsidR="009C6D6C">
              <w:rPr>
                <w:noProof/>
                <w:webHidden/>
              </w:rPr>
              <w:fldChar w:fldCharType="end"/>
            </w:r>
          </w:hyperlink>
        </w:p>
        <w:p w14:paraId="62069278" w14:textId="77777777" w:rsidR="009C6D6C" w:rsidRDefault="00E87DF9">
          <w:pPr>
            <w:pStyle w:val="Innehll1"/>
            <w:tabs>
              <w:tab w:val="left" w:pos="440"/>
              <w:tab w:val="right" w:leader="dot" w:pos="9062"/>
            </w:tabs>
            <w:rPr>
              <w:rFonts w:asciiTheme="minorHAnsi" w:eastAsiaTheme="minorEastAsia" w:hAnsiTheme="minorHAnsi" w:cstheme="minorBidi"/>
              <w:noProof/>
              <w:lang w:eastAsia="sv-SE"/>
            </w:rPr>
          </w:pPr>
          <w:hyperlink w:anchor="_Toc403634222" w:history="1">
            <w:r w:rsidR="009C6D6C" w:rsidRPr="00D05FD6">
              <w:rPr>
                <w:rStyle w:val="Hyperlnk"/>
                <w:noProof/>
              </w:rPr>
              <w:t>2.</w:t>
            </w:r>
            <w:r w:rsidR="009C6D6C">
              <w:rPr>
                <w:rFonts w:asciiTheme="minorHAnsi" w:eastAsiaTheme="minorEastAsia" w:hAnsiTheme="minorHAnsi" w:cstheme="minorBidi"/>
                <w:noProof/>
                <w:lang w:eastAsia="sv-SE"/>
              </w:rPr>
              <w:tab/>
            </w:r>
            <w:r w:rsidR="009C6D6C" w:rsidRPr="00D05FD6">
              <w:rPr>
                <w:rStyle w:val="Hyperlnk"/>
                <w:noProof/>
              </w:rPr>
              <w:t>Case T-434/14, S. Arbuzov v. Council Case T-486/14, E. Stavytskyi v. Council Case T-494/14, O. Klymenko v. Council</w:t>
            </w:r>
            <w:r w:rsidR="009C6D6C">
              <w:rPr>
                <w:noProof/>
                <w:webHidden/>
              </w:rPr>
              <w:tab/>
            </w:r>
            <w:r w:rsidR="009C6D6C">
              <w:rPr>
                <w:noProof/>
                <w:webHidden/>
              </w:rPr>
              <w:fldChar w:fldCharType="begin"/>
            </w:r>
            <w:r w:rsidR="009C6D6C">
              <w:rPr>
                <w:noProof/>
                <w:webHidden/>
              </w:rPr>
              <w:instrText xml:space="preserve"> PAGEREF _Toc403634222 \h </w:instrText>
            </w:r>
            <w:r w:rsidR="009C6D6C">
              <w:rPr>
                <w:noProof/>
                <w:webHidden/>
              </w:rPr>
            </w:r>
            <w:r w:rsidR="009C6D6C">
              <w:rPr>
                <w:noProof/>
                <w:webHidden/>
              </w:rPr>
              <w:fldChar w:fldCharType="separate"/>
            </w:r>
            <w:r w:rsidR="009C6D6C">
              <w:rPr>
                <w:noProof/>
                <w:webHidden/>
              </w:rPr>
              <w:t>4</w:t>
            </w:r>
            <w:r w:rsidR="009C6D6C">
              <w:rPr>
                <w:noProof/>
                <w:webHidden/>
              </w:rPr>
              <w:fldChar w:fldCharType="end"/>
            </w:r>
          </w:hyperlink>
        </w:p>
        <w:p w14:paraId="312DE38E" w14:textId="77777777" w:rsidR="009C6D6C" w:rsidRDefault="00E87DF9">
          <w:pPr>
            <w:pStyle w:val="Innehll1"/>
            <w:tabs>
              <w:tab w:val="left" w:pos="440"/>
              <w:tab w:val="right" w:leader="dot" w:pos="9062"/>
            </w:tabs>
            <w:rPr>
              <w:rFonts w:asciiTheme="minorHAnsi" w:eastAsiaTheme="minorEastAsia" w:hAnsiTheme="minorHAnsi" w:cstheme="minorBidi"/>
              <w:noProof/>
              <w:lang w:eastAsia="sv-SE"/>
            </w:rPr>
          </w:pPr>
          <w:hyperlink w:anchor="_Toc403634223" w:history="1">
            <w:r w:rsidR="009C6D6C" w:rsidRPr="00D05FD6">
              <w:rPr>
                <w:rStyle w:val="Hyperlnk"/>
                <w:noProof/>
              </w:rPr>
              <w:t>3.</w:t>
            </w:r>
            <w:r w:rsidR="009C6D6C">
              <w:rPr>
                <w:rFonts w:asciiTheme="minorHAnsi" w:eastAsiaTheme="minorEastAsia" w:hAnsiTheme="minorHAnsi" w:cstheme="minorBidi"/>
                <w:noProof/>
                <w:lang w:eastAsia="sv-SE"/>
              </w:rPr>
              <w:tab/>
            </w:r>
            <w:r w:rsidR="009C6D6C" w:rsidRPr="00D05FD6">
              <w:rPr>
                <w:rStyle w:val="Hyperlnk"/>
                <w:noProof/>
              </w:rPr>
              <w:t>Case before the General Court =Case T-737/14 (Bank for Development and Foreign Economic Affairs) (Vnesheconombank) against the Council</w:t>
            </w:r>
            <w:r w:rsidR="009C6D6C">
              <w:rPr>
                <w:noProof/>
                <w:webHidden/>
              </w:rPr>
              <w:tab/>
            </w:r>
            <w:r w:rsidR="009C6D6C">
              <w:rPr>
                <w:noProof/>
                <w:webHidden/>
              </w:rPr>
              <w:fldChar w:fldCharType="begin"/>
            </w:r>
            <w:r w:rsidR="009C6D6C">
              <w:rPr>
                <w:noProof/>
                <w:webHidden/>
              </w:rPr>
              <w:instrText xml:space="preserve"> PAGEREF _Toc403634223 \h </w:instrText>
            </w:r>
            <w:r w:rsidR="009C6D6C">
              <w:rPr>
                <w:noProof/>
                <w:webHidden/>
              </w:rPr>
            </w:r>
            <w:r w:rsidR="009C6D6C">
              <w:rPr>
                <w:noProof/>
                <w:webHidden/>
              </w:rPr>
              <w:fldChar w:fldCharType="separate"/>
            </w:r>
            <w:r w:rsidR="009C6D6C">
              <w:rPr>
                <w:noProof/>
                <w:webHidden/>
              </w:rPr>
              <w:t>4</w:t>
            </w:r>
            <w:r w:rsidR="009C6D6C">
              <w:rPr>
                <w:noProof/>
                <w:webHidden/>
              </w:rPr>
              <w:fldChar w:fldCharType="end"/>
            </w:r>
          </w:hyperlink>
        </w:p>
        <w:p w14:paraId="487F9B59" w14:textId="77777777" w:rsidR="009C6D6C" w:rsidRDefault="00E87DF9">
          <w:pPr>
            <w:pStyle w:val="Innehll1"/>
            <w:tabs>
              <w:tab w:val="left" w:pos="440"/>
              <w:tab w:val="right" w:leader="dot" w:pos="9062"/>
            </w:tabs>
            <w:rPr>
              <w:rFonts w:asciiTheme="minorHAnsi" w:eastAsiaTheme="minorEastAsia" w:hAnsiTheme="minorHAnsi" w:cstheme="minorBidi"/>
              <w:noProof/>
              <w:lang w:eastAsia="sv-SE"/>
            </w:rPr>
          </w:pPr>
          <w:hyperlink w:anchor="_Toc403634224" w:history="1">
            <w:r w:rsidR="009C6D6C" w:rsidRPr="00D05FD6">
              <w:rPr>
                <w:rStyle w:val="Hyperlnk"/>
                <w:noProof/>
              </w:rPr>
              <w:t>4.</w:t>
            </w:r>
            <w:r w:rsidR="009C6D6C">
              <w:rPr>
                <w:rFonts w:asciiTheme="minorHAnsi" w:eastAsiaTheme="minorEastAsia" w:hAnsiTheme="minorHAnsi" w:cstheme="minorBidi"/>
                <w:noProof/>
                <w:lang w:eastAsia="sv-SE"/>
              </w:rPr>
              <w:tab/>
            </w:r>
            <w:r w:rsidR="009C6D6C" w:rsidRPr="00D05FD6">
              <w:rPr>
                <w:rStyle w:val="Hyperlnk"/>
                <w:noProof/>
              </w:rPr>
              <w:t>Case before the General Court =Case T-739/14 (PSC Prominvestbank, Joint-Stock Commercial Industrial &amp;amp; Investment Bank) against the Council</w:t>
            </w:r>
            <w:r w:rsidR="009C6D6C">
              <w:rPr>
                <w:noProof/>
                <w:webHidden/>
              </w:rPr>
              <w:tab/>
            </w:r>
            <w:r w:rsidR="009C6D6C">
              <w:rPr>
                <w:noProof/>
                <w:webHidden/>
              </w:rPr>
              <w:fldChar w:fldCharType="begin"/>
            </w:r>
            <w:r w:rsidR="009C6D6C">
              <w:rPr>
                <w:noProof/>
                <w:webHidden/>
              </w:rPr>
              <w:instrText xml:space="preserve"> PAGEREF _Toc403634224 \h </w:instrText>
            </w:r>
            <w:r w:rsidR="009C6D6C">
              <w:rPr>
                <w:noProof/>
                <w:webHidden/>
              </w:rPr>
            </w:r>
            <w:r w:rsidR="009C6D6C">
              <w:rPr>
                <w:noProof/>
                <w:webHidden/>
              </w:rPr>
              <w:fldChar w:fldCharType="separate"/>
            </w:r>
            <w:r w:rsidR="009C6D6C">
              <w:rPr>
                <w:noProof/>
                <w:webHidden/>
              </w:rPr>
              <w:t>4</w:t>
            </w:r>
            <w:r w:rsidR="009C6D6C">
              <w:rPr>
                <w:noProof/>
                <w:webHidden/>
              </w:rPr>
              <w:fldChar w:fldCharType="end"/>
            </w:r>
          </w:hyperlink>
        </w:p>
        <w:p w14:paraId="62777A39" w14:textId="77777777" w:rsidR="009C6D6C" w:rsidRDefault="00E87DF9">
          <w:pPr>
            <w:pStyle w:val="Innehll1"/>
            <w:tabs>
              <w:tab w:val="left" w:pos="440"/>
              <w:tab w:val="right" w:leader="dot" w:pos="9062"/>
            </w:tabs>
            <w:rPr>
              <w:rFonts w:asciiTheme="minorHAnsi" w:eastAsiaTheme="minorEastAsia" w:hAnsiTheme="minorHAnsi" w:cstheme="minorBidi"/>
              <w:noProof/>
              <w:lang w:eastAsia="sv-SE"/>
            </w:rPr>
          </w:pPr>
          <w:hyperlink w:anchor="_Toc403634225" w:history="1">
            <w:r w:rsidR="009C6D6C" w:rsidRPr="00D05FD6">
              <w:rPr>
                <w:rStyle w:val="Hyperlnk"/>
                <w:noProof/>
              </w:rPr>
              <w:t>5.</w:t>
            </w:r>
            <w:r w:rsidR="009C6D6C">
              <w:rPr>
                <w:rFonts w:asciiTheme="minorHAnsi" w:eastAsiaTheme="minorEastAsia" w:hAnsiTheme="minorHAnsi" w:cstheme="minorBidi"/>
                <w:noProof/>
                <w:lang w:eastAsia="sv-SE"/>
              </w:rPr>
              <w:tab/>
            </w:r>
            <w:r w:rsidR="009C6D6C" w:rsidRPr="00D05FD6">
              <w:rPr>
                <w:rStyle w:val="Hyperlnk"/>
                <w:noProof/>
              </w:rPr>
              <w:t>Resolutions, decisions and opinions adopted by the European Parliament at its part-session in Strasbourg from 20 to 23 October 2014</w:t>
            </w:r>
            <w:r w:rsidR="009C6D6C">
              <w:rPr>
                <w:noProof/>
                <w:webHidden/>
              </w:rPr>
              <w:tab/>
            </w:r>
            <w:r w:rsidR="009C6D6C">
              <w:rPr>
                <w:noProof/>
                <w:webHidden/>
              </w:rPr>
              <w:fldChar w:fldCharType="begin"/>
            </w:r>
            <w:r w:rsidR="009C6D6C">
              <w:rPr>
                <w:noProof/>
                <w:webHidden/>
              </w:rPr>
              <w:instrText xml:space="preserve"> PAGEREF _Toc403634225 \h </w:instrText>
            </w:r>
            <w:r w:rsidR="009C6D6C">
              <w:rPr>
                <w:noProof/>
                <w:webHidden/>
              </w:rPr>
            </w:r>
            <w:r w:rsidR="009C6D6C">
              <w:rPr>
                <w:noProof/>
                <w:webHidden/>
              </w:rPr>
              <w:fldChar w:fldCharType="separate"/>
            </w:r>
            <w:r w:rsidR="009C6D6C">
              <w:rPr>
                <w:noProof/>
                <w:webHidden/>
              </w:rPr>
              <w:t>4</w:t>
            </w:r>
            <w:r w:rsidR="009C6D6C">
              <w:rPr>
                <w:noProof/>
                <w:webHidden/>
              </w:rPr>
              <w:fldChar w:fldCharType="end"/>
            </w:r>
          </w:hyperlink>
        </w:p>
        <w:p w14:paraId="1C98D532" w14:textId="77777777" w:rsidR="009C6D6C" w:rsidRDefault="00E87DF9">
          <w:pPr>
            <w:pStyle w:val="Innehll1"/>
            <w:tabs>
              <w:tab w:val="left" w:pos="440"/>
              <w:tab w:val="right" w:leader="dot" w:pos="9062"/>
            </w:tabs>
            <w:rPr>
              <w:rFonts w:asciiTheme="minorHAnsi" w:eastAsiaTheme="minorEastAsia" w:hAnsiTheme="minorHAnsi" w:cstheme="minorBidi"/>
              <w:noProof/>
              <w:lang w:eastAsia="sv-SE"/>
            </w:rPr>
          </w:pPr>
          <w:hyperlink w:anchor="_Toc403634226" w:history="1">
            <w:r w:rsidR="009C6D6C" w:rsidRPr="00D05FD6">
              <w:rPr>
                <w:rStyle w:val="Hyperlnk"/>
                <w:noProof/>
              </w:rPr>
              <w:t>6.</w:t>
            </w:r>
            <w:r w:rsidR="009C6D6C">
              <w:rPr>
                <w:rFonts w:asciiTheme="minorHAnsi" w:eastAsiaTheme="minorEastAsia" w:hAnsiTheme="minorHAnsi" w:cstheme="minorBidi"/>
                <w:noProof/>
                <w:lang w:eastAsia="sv-SE"/>
              </w:rPr>
              <w:tab/>
            </w:r>
            <w:r w:rsidR="009C6D6C" w:rsidRPr="00D05FD6">
              <w:rPr>
                <w:rStyle w:val="Hyperlnk"/>
                <w:noProof/>
              </w:rPr>
              <w:t>Draft Council Conclusions on the Court of Auditors' Special Report n° 7/2014 entitled "has the ERDF successfully supported the development of business incubators ?"</w:t>
            </w:r>
            <w:r w:rsidR="009C6D6C">
              <w:rPr>
                <w:noProof/>
                <w:webHidden/>
              </w:rPr>
              <w:tab/>
            </w:r>
            <w:r w:rsidR="009C6D6C">
              <w:rPr>
                <w:noProof/>
                <w:webHidden/>
              </w:rPr>
              <w:fldChar w:fldCharType="begin"/>
            </w:r>
            <w:r w:rsidR="009C6D6C">
              <w:rPr>
                <w:noProof/>
                <w:webHidden/>
              </w:rPr>
              <w:instrText xml:space="preserve"> PAGEREF _Toc403634226 \h </w:instrText>
            </w:r>
            <w:r w:rsidR="009C6D6C">
              <w:rPr>
                <w:noProof/>
                <w:webHidden/>
              </w:rPr>
            </w:r>
            <w:r w:rsidR="009C6D6C">
              <w:rPr>
                <w:noProof/>
                <w:webHidden/>
              </w:rPr>
              <w:fldChar w:fldCharType="separate"/>
            </w:r>
            <w:r w:rsidR="009C6D6C">
              <w:rPr>
                <w:noProof/>
                <w:webHidden/>
              </w:rPr>
              <w:t>5</w:t>
            </w:r>
            <w:r w:rsidR="009C6D6C">
              <w:rPr>
                <w:noProof/>
                <w:webHidden/>
              </w:rPr>
              <w:fldChar w:fldCharType="end"/>
            </w:r>
          </w:hyperlink>
        </w:p>
        <w:p w14:paraId="2E3795A3" w14:textId="77777777" w:rsidR="009C6D6C" w:rsidRDefault="00E87DF9">
          <w:pPr>
            <w:pStyle w:val="Innehll1"/>
            <w:tabs>
              <w:tab w:val="left" w:pos="440"/>
              <w:tab w:val="right" w:leader="dot" w:pos="9062"/>
            </w:tabs>
            <w:rPr>
              <w:rFonts w:asciiTheme="minorHAnsi" w:eastAsiaTheme="minorEastAsia" w:hAnsiTheme="minorHAnsi" w:cstheme="minorBidi"/>
              <w:noProof/>
              <w:lang w:eastAsia="sv-SE"/>
            </w:rPr>
          </w:pPr>
          <w:hyperlink w:anchor="_Toc403634227" w:history="1">
            <w:r w:rsidR="009C6D6C" w:rsidRPr="00D05FD6">
              <w:rPr>
                <w:rStyle w:val="Hyperlnk"/>
                <w:noProof/>
              </w:rPr>
              <w:t>7.</w:t>
            </w:r>
            <w:r w:rsidR="009C6D6C">
              <w:rPr>
                <w:rFonts w:asciiTheme="minorHAnsi" w:eastAsiaTheme="minorEastAsia" w:hAnsiTheme="minorHAnsi" w:cstheme="minorBidi"/>
                <w:noProof/>
                <w:lang w:eastAsia="sv-SE"/>
              </w:rPr>
              <w:tab/>
            </w:r>
            <w:r w:rsidR="009C6D6C" w:rsidRPr="00D05FD6">
              <w:rPr>
                <w:rStyle w:val="Hyperlnk"/>
                <w:noProof/>
              </w:rPr>
              <w:t>Proposal for transfer of appropriations n° DEC 41/2014 within Section III - Commission - of the general budget for 2014</w:t>
            </w:r>
            <w:r w:rsidR="009C6D6C">
              <w:rPr>
                <w:noProof/>
                <w:webHidden/>
              </w:rPr>
              <w:tab/>
            </w:r>
            <w:r w:rsidR="009C6D6C">
              <w:rPr>
                <w:noProof/>
                <w:webHidden/>
              </w:rPr>
              <w:fldChar w:fldCharType="begin"/>
            </w:r>
            <w:r w:rsidR="009C6D6C">
              <w:rPr>
                <w:noProof/>
                <w:webHidden/>
              </w:rPr>
              <w:instrText xml:space="preserve"> PAGEREF _Toc403634227 \h </w:instrText>
            </w:r>
            <w:r w:rsidR="009C6D6C">
              <w:rPr>
                <w:noProof/>
                <w:webHidden/>
              </w:rPr>
            </w:r>
            <w:r w:rsidR="009C6D6C">
              <w:rPr>
                <w:noProof/>
                <w:webHidden/>
              </w:rPr>
              <w:fldChar w:fldCharType="separate"/>
            </w:r>
            <w:r w:rsidR="009C6D6C">
              <w:rPr>
                <w:noProof/>
                <w:webHidden/>
              </w:rPr>
              <w:t>5</w:t>
            </w:r>
            <w:r w:rsidR="009C6D6C">
              <w:rPr>
                <w:noProof/>
                <w:webHidden/>
              </w:rPr>
              <w:fldChar w:fldCharType="end"/>
            </w:r>
          </w:hyperlink>
        </w:p>
        <w:p w14:paraId="25746A14" w14:textId="77777777" w:rsidR="009C6D6C" w:rsidRDefault="00E87DF9">
          <w:pPr>
            <w:pStyle w:val="Innehll1"/>
            <w:tabs>
              <w:tab w:val="left" w:pos="440"/>
              <w:tab w:val="right" w:leader="dot" w:pos="9062"/>
            </w:tabs>
            <w:rPr>
              <w:rFonts w:asciiTheme="minorHAnsi" w:eastAsiaTheme="minorEastAsia" w:hAnsiTheme="minorHAnsi" w:cstheme="minorBidi"/>
              <w:noProof/>
              <w:lang w:eastAsia="sv-SE"/>
            </w:rPr>
          </w:pPr>
          <w:hyperlink w:anchor="_Toc403634228" w:history="1">
            <w:r w:rsidR="009C6D6C" w:rsidRPr="00D05FD6">
              <w:rPr>
                <w:rStyle w:val="Hyperlnk"/>
                <w:noProof/>
              </w:rPr>
              <w:t>8.</w:t>
            </w:r>
            <w:r w:rsidR="009C6D6C">
              <w:rPr>
                <w:rFonts w:asciiTheme="minorHAnsi" w:eastAsiaTheme="minorEastAsia" w:hAnsiTheme="minorHAnsi" w:cstheme="minorBidi"/>
                <w:noProof/>
                <w:lang w:eastAsia="sv-SE"/>
              </w:rPr>
              <w:tab/>
            </w:r>
            <w:r w:rsidR="009C6D6C" w:rsidRPr="00D05FD6">
              <w:rPr>
                <w:rStyle w:val="Hyperlnk"/>
                <w:noProof/>
              </w:rPr>
              <w:t>Proposal for transfer of appropriations n° DEC 47/2014 within Section III - Commission - of the general budget for 2014</w:t>
            </w:r>
            <w:r w:rsidR="009C6D6C">
              <w:rPr>
                <w:noProof/>
                <w:webHidden/>
              </w:rPr>
              <w:tab/>
            </w:r>
            <w:r w:rsidR="009C6D6C">
              <w:rPr>
                <w:noProof/>
                <w:webHidden/>
              </w:rPr>
              <w:fldChar w:fldCharType="begin"/>
            </w:r>
            <w:r w:rsidR="009C6D6C">
              <w:rPr>
                <w:noProof/>
                <w:webHidden/>
              </w:rPr>
              <w:instrText xml:space="preserve"> PAGEREF _Toc403634228 \h </w:instrText>
            </w:r>
            <w:r w:rsidR="009C6D6C">
              <w:rPr>
                <w:noProof/>
                <w:webHidden/>
              </w:rPr>
            </w:r>
            <w:r w:rsidR="009C6D6C">
              <w:rPr>
                <w:noProof/>
                <w:webHidden/>
              </w:rPr>
              <w:fldChar w:fldCharType="separate"/>
            </w:r>
            <w:r w:rsidR="009C6D6C">
              <w:rPr>
                <w:noProof/>
                <w:webHidden/>
              </w:rPr>
              <w:t>6</w:t>
            </w:r>
            <w:r w:rsidR="009C6D6C">
              <w:rPr>
                <w:noProof/>
                <w:webHidden/>
              </w:rPr>
              <w:fldChar w:fldCharType="end"/>
            </w:r>
          </w:hyperlink>
        </w:p>
        <w:p w14:paraId="7E164F43" w14:textId="77777777" w:rsidR="009C6D6C" w:rsidRDefault="00E87DF9">
          <w:pPr>
            <w:pStyle w:val="Innehll1"/>
            <w:tabs>
              <w:tab w:val="left" w:pos="440"/>
              <w:tab w:val="right" w:leader="dot" w:pos="9062"/>
            </w:tabs>
            <w:rPr>
              <w:rFonts w:asciiTheme="minorHAnsi" w:eastAsiaTheme="minorEastAsia" w:hAnsiTheme="minorHAnsi" w:cstheme="minorBidi"/>
              <w:noProof/>
              <w:lang w:eastAsia="sv-SE"/>
            </w:rPr>
          </w:pPr>
          <w:hyperlink w:anchor="_Toc403634229" w:history="1">
            <w:r w:rsidR="009C6D6C" w:rsidRPr="00D05FD6">
              <w:rPr>
                <w:rStyle w:val="Hyperlnk"/>
                <w:noProof/>
              </w:rPr>
              <w:t>9.</w:t>
            </w:r>
            <w:r w:rsidR="009C6D6C">
              <w:rPr>
                <w:rFonts w:asciiTheme="minorHAnsi" w:eastAsiaTheme="minorEastAsia" w:hAnsiTheme="minorHAnsi" w:cstheme="minorBidi"/>
                <w:noProof/>
                <w:lang w:eastAsia="sv-SE"/>
              </w:rPr>
              <w:tab/>
            </w:r>
            <w:r w:rsidR="009C6D6C" w:rsidRPr="00D05FD6">
              <w:rPr>
                <w:rStyle w:val="Hyperlnk"/>
                <w:noProof/>
              </w:rPr>
              <w:t>European Economic Area</w:t>
            </w:r>
            <w:r w:rsidR="009C6D6C">
              <w:rPr>
                <w:noProof/>
                <w:webHidden/>
              </w:rPr>
              <w:tab/>
            </w:r>
            <w:r w:rsidR="009C6D6C">
              <w:rPr>
                <w:noProof/>
                <w:webHidden/>
              </w:rPr>
              <w:fldChar w:fldCharType="begin"/>
            </w:r>
            <w:r w:rsidR="009C6D6C">
              <w:rPr>
                <w:noProof/>
                <w:webHidden/>
              </w:rPr>
              <w:instrText xml:space="preserve"> PAGEREF _Toc403634229 \h </w:instrText>
            </w:r>
            <w:r w:rsidR="009C6D6C">
              <w:rPr>
                <w:noProof/>
                <w:webHidden/>
              </w:rPr>
            </w:r>
            <w:r w:rsidR="009C6D6C">
              <w:rPr>
                <w:noProof/>
                <w:webHidden/>
              </w:rPr>
              <w:fldChar w:fldCharType="separate"/>
            </w:r>
            <w:r w:rsidR="009C6D6C">
              <w:rPr>
                <w:noProof/>
                <w:webHidden/>
              </w:rPr>
              <w:t>6</w:t>
            </w:r>
            <w:r w:rsidR="009C6D6C">
              <w:rPr>
                <w:noProof/>
                <w:webHidden/>
              </w:rPr>
              <w:fldChar w:fldCharType="end"/>
            </w:r>
          </w:hyperlink>
        </w:p>
        <w:p w14:paraId="38EBC0EA" w14:textId="77777777" w:rsidR="009C6D6C" w:rsidRDefault="00E87DF9">
          <w:pPr>
            <w:pStyle w:val="Innehll1"/>
            <w:tabs>
              <w:tab w:val="left" w:pos="660"/>
              <w:tab w:val="right" w:leader="dot" w:pos="9062"/>
            </w:tabs>
            <w:rPr>
              <w:rFonts w:asciiTheme="minorHAnsi" w:eastAsiaTheme="minorEastAsia" w:hAnsiTheme="minorHAnsi" w:cstheme="minorBidi"/>
              <w:noProof/>
              <w:lang w:eastAsia="sv-SE"/>
            </w:rPr>
          </w:pPr>
          <w:hyperlink w:anchor="_Toc403634230" w:history="1">
            <w:r w:rsidR="009C6D6C" w:rsidRPr="00D05FD6">
              <w:rPr>
                <w:rStyle w:val="Hyperlnk"/>
                <w:noProof/>
              </w:rPr>
              <w:t>10.</w:t>
            </w:r>
            <w:r w:rsidR="009C6D6C">
              <w:rPr>
                <w:rFonts w:asciiTheme="minorHAnsi" w:eastAsiaTheme="minorEastAsia" w:hAnsiTheme="minorHAnsi" w:cstheme="minorBidi"/>
                <w:noProof/>
                <w:lang w:eastAsia="sv-SE"/>
              </w:rPr>
              <w:tab/>
            </w:r>
            <w:r w:rsidR="009C6D6C" w:rsidRPr="00D05FD6">
              <w:rPr>
                <w:rStyle w:val="Hyperlnk"/>
                <w:noProof/>
              </w:rPr>
              <w:t>Council Decision authorising the Commission to open negotiations with Norway with a view to achieving progressive liberalisation of bilateral trade in agricultural products, in the framework of Article 19 of the Agreement on the European Economic Area</w:t>
            </w:r>
            <w:r w:rsidR="009C6D6C">
              <w:rPr>
                <w:noProof/>
                <w:webHidden/>
              </w:rPr>
              <w:tab/>
            </w:r>
            <w:r w:rsidR="009C6D6C">
              <w:rPr>
                <w:noProof/>
                <w:webHidden/>
              </w:rPr>
              <w:fldChar w:fldCharType="begin"/>
            </w:r>
            <w:r w:rsidR="009C6D6C">
              <w:rPr>
                <w:noProof/>
                <w:webHidden/>
              </w:rPr>
              <w:instrText xml:space="preserve"> PAGEREF _Toc403634230 \h </w:instrText>
            </w:r>
            <w:r w:rsidR="009C6D6C">
              <w:rPr>
                <w:noProof/>
                <w:webHidden/>
              </w:rPr>
            </w:r>
            <w:r w:rsidR="009C6D6C">
              <w:rPr>
                <w:noProof/>
                <w:webHidden/>
              </w:rPr>
              <w:fldChar w:fldCharType="separate"/>
            </w:r>
            <w:r w:rsidR="009C6D6C">
              <w:rPr>
                <w:noProof/>
                <w:webHidden/>
              </w:rPr>
              <w:t>7</w:t>
            </w:r>
            <w:r w:rsidR="009C6D6C">
              <w:rPr>
                <w:noProof/>
                <w:webHidden/>
              </w:rPr>
              <w:fldChar w:fldCharType="end"/>
            </w:r>
          </w:hyperlink>
        </w:p>
        <w:p w14:paraId="4754A959" w14:textId="77777777" w:rsidR="009C6D6C" w:rsidRDefault="00E87DF9">
          <w:pPr>
            <w:pStyle w:val="Innehll1"/>
            <w:tabs>
              <w:tab w:val="left" w:pos="660"/>
              <w:tab w:val="right" w:leader="dot" w:pos="9062"/>
            </w:tabs>
            <w:rPr>
              <w:rFonts w:asciiTheme="minorHAnsi" w:eastAsiaTheme="minorEastAsia" w:hAnsiTheme="minorHAnsi" w:cstheme="minorBidi"/>
              <w:noProof/>
              <w:lang w:eastAsia="sv-SE"/>
            </w:rPr>
          </w:pPr>
          <w:hyperlink w:anchor="_Toc403634231" w:history="1">
            <w:r w:rsidR="009C6D6C" w:rsidRPr="00D05FD6">
              <w:rPr>
                <w:rStyle w:val="Hyperlnk"/>
                <w:noProof/>
              </w:rPr>
              <w:t>11.</w:t>
            </w:r>
            <w:r w:rsidR="009C6D6C">
              <w:rPr>
                <w:rFonts w:asciiTheme="minorHAnsi" w:eastAsiaTheme="minorEastAsia" w:hAnsiTheme="minorHAnsi" w:cstheme="minorBidi"/>
                <w:noProof/>
                <w:lang w:eastAsia="sv-SE"/>
              </w:rPr>
              <w:tab/>
            </w:r>
            <w:r w:rsidR="009C6D6C" w:rsidRPr="00D05FD6">
              <w:rPr>
                <w:rStyle w:val="Hyperlnk"/>
                <w:noProof/>
              </w:rPr>
              <w:t>Council Decision on the signing and provisional application of a protocol to the Euro Mediterranean Agreement establishing an association between the European Community and its Member States, of the one part, and the Republic of Lebanon, of the other part, to take account of the accession of the Czech Republic, the Republic of Estonia, the Republic of Cyprus, the Republic of Latvia, the Republic of Lithuania, the Republic of Hungary, the Republic of Malta, the Republic of Poland, the Republic of Slovenia and the Slovak Republic to the European Union -Adoption of the Croatian language version and request for EP consent -Joint Declaration for adaptation to the Treaty of Lisbon =Council Decision on the conclusion of a protocol to the Euro Mediterranean Agreement establishing an association between the European Community and its Member States, of the one part, and the Republic of Lebanon, of the other part, to take account of the accession of the Czech Republic, the Republic of Estonia, the Republic of Cyprus, the Republic of Latvia, the Republic of Lithuania, the Republic of Hungary, the Republic of Malta, the Republic of Poland, the Republic of Slovenia and the Slovak Republic to the European Union</w:t>
            </w:r>
            <w:r w:rsidR="009C6D6C">
              <w:rPr>
                <w:noProof/>
                <w:webHidden/>
              </w:rPr>
              <w:tab/>
            </w:r>
            <w:r w:rsidR="009C6D6C">
              <w:rPr>
                <w:noProof/>
                <w:webHidden/>
              </w:rPr>
              <w:fldChar w:fldCharType="begin"/>
            </w:r>
            <w:r w:rsidR="009C6D6C">
              <w:rPr>
                <w:noProof/>
                <w:webHidden/>
              </w:rPr>
              <w:instrText xml:space="preserve"> PAGEREF _Toc403634231 \h </w:instrText>
            </w:r>
            <w:r w:rsidR="009C6D6C">
              <w:rPr>
                <w:noProof/>
                <w:webHidden/>
              </w:rPr>
            </w:r>
            <w:r w:rsidR="009C6D6C">
              <w:rPr>
                <w:noProof/>
                <w:webHidden/>
              </w:rPr>
              <w:fldChar w:fldCharType="separate"/>
            </w:r>
            <w:r w:rsidR="009C6D6C">
              <w:rPr>
                <w:noProof/>
                <w:webHidden/>
              </w:rPr>
              <w:t>7</w:t>
            </w:r>
            <w:r w:rsidR="009C6D6C">
              <w:rPr>
                <w:noProof/>
                <w:webHidden/>
              </w:rPr>
              <w:fldChar w:fldCharType="end"/>
            </w:r>
          </w:hyperlink>
        </w:p>
        <w:p w14:paraId="15F19B18" w14:textId="77777777" w:rsidR="009C6D6C" w:rsidRDefault="00E87DF9">
          <w:pPr>
            <w:pStyle w:val="Innehll1"/>
            <w:tabs>
              <w:tab w:val="left" w:pos="660"/>
              <w:tab w:val="right" w:leader="dot" w:pos="9062"/>
            </w:tabs>
            <w:rPr>
              <w:rFonts w:asciiTheme="minorHAnsi" w:eastAsiaTheme="minorEastAsia" w:hAnsiTheme="minorHAnsi" w:cstheme="minorBidi"/>
              <w:noProof/>
              <w:lang w:eastAsia="sv-SE"/>
            </w:rPr>
          </w:pPr>
          <w:hyperlink w:anchor="_Toc403634232" w:history="1">
            <w:r w:rsidR="009C6D6C" w:rsidRPr="00D05FD6">
              <w:rPr>
                <w:rStyle w:val="Hyperlnk"/>
                <w:noProof/>
              </w:rPr>
              <w:t>12.</w:t>
            </w:r>
            <w:r w:rsidR="009C6D6C">
              <w:rPr>
                <w:rFonts w:asciiTheme="minorHAnsi" w:eastAsiaTheme="minorEastAsia" w:hAnsiTheme="minorHAnsi" w:cstheme="minorBidi"/>
                <w:noProof/>
                <w:lang w:eastAsia="sv-SE"/>
              </w:rPr>
              <w:tab/>
            </w:r>
            <w:r w:rsidR="009C6D6C" w:rsidRPr="00D05FD6">
              <w:rPr>
                <w:rStyle w:val="Hyperlnk"/>
                <w:noProof/>
              </w:rPr>
              <w:t>Council Decision on the signing and provisional application of a protocol to the Euro Mediterranean Agreement establishing an association between the European Community and its Member States, of the one part, and the Republic of Lebanon, of the other part, to take account of the accession of the Republic of Bulgaria and Romania to the European Union -Adoption and request for EP consent  = Council Decision on the conclusion of a protocol to the Euro Mediterranean Agreement establishing an association between the European Community and its Member States, of the one part, and the Republic of Lebanon, of the other part, to take account of the accession of the Republic of Bulgaria and Romania to the European Union</w:t>
            </w:r>
            <w:r w:rsidR="009C6D6C">
              <w:rPr>
                <w:noProof/>
                <w:webHidden/>
              </w:rPr>
              <w:tab/>
            </w:r>
            <w:r w:rsidR="009C6D6C">
              <w:rPr>
                <w:noProof/>
                <w:webHidden/>
              </w:rPr>
              <w:fldChar w:fldCharType="begin"/>
            </w:r>
            <w:r w:rsidR="009C6D6C">
              <w:rPr>
                <w:noProof/>
                <w:webHidden/>
              </w:rPr>
              <w:instrText xml:space="preserve"> PAGEREF _Toc403634232 \h </w:instrText>
            </w:r>
            <w:r w:rsidR="009C6D6C">
              <w:rPr>
                <w:noProof/>
                <w:webHidden/>
              </w:rPr>
            </w:r>
            <w:r w:rsidR="009C6D6C">
              <w:rPr>
                <w:noProof/>
                <w:webHidden/>
              </w:rPr>
              <w:fldChar w:fldCharType="separate"/>
            </w:r>
            <w:r w:rsidR="009C6D6C">
              <w:rPr>
                <w:noProof/>
                <w:webHidden/>
              </w:rPr>
              <w:t>8</w:t>
            </w:r>
            <w:r w:rsidR="009C6D6C">
              <w:rPr>
                <w:noProof/>
                <w:webHidden/>
              </w:rPr>
              <w:fldChar w:fldCharType="end"/>
            </w:r>
          </w:hyperlink>
        </w:p>
        <w:p w14:paraId="70D7A070" w14:textId="77777777" w:rsidR="009C6D6C" w:rsidRDefault="00E87DF9">
          <w:pPr>
            <w:pStyle w:val="Innehll1"/>
            <w:tabs>
              <w:tab w:val="left" w:pos="660"/>
              <w:tab w:val="right" w:leader="dot" w:pos="9062"/>
            </w:tabs>
            <w:rPr>
              <w:rFonts w:asciiTheme="minorHAnsi" w:eastAsiaTheme="minorEastAsia" w:hAnsiTheme="minorHAnsi" w:cstheme="minorBidi"/>
              <w:noProof/>
              <w:lang w:eastAsia="sv-SE"/>
            </w:rPr>
          </w:pPr>
          <w:hyperlink w:anchor="_Toc403634233" w:history="1">
            <w:r w:rsidR="009C6D6C" w:rsidRPr="00D05FD6">
              <w:rPr>
                <w:rStyle w:val="Hyperlnk"/>
                <w:noProof/>
              </w:rPr>
              <w:t>13.</w:t>
            </w:r>
            <w:r w:rsidR="009C6D6C">
              <w:rPr>
                <w:rFonts w:asciiTheme="minorHAnsi" w:eastAsiaTheme="minorEastAsia" w:hAnsiTheme="minorHAnsi" w:cstheme="minorBidi"/>
                <w:noProof/>
                <w:lang w:eastAsia="sv-SE"/>
              </w:rPr>
              <w:tab/>
            </w:r>
            <w:r w:rsidR="009C6D6C" w:rsidRPr="00D05FD6">
              <w:rPr>
                <w:rStyle w:val="Hyperlnk"/>
                <w:noProof/>
              </w:rPr>
              <w:t>Relations with the Kyrgyz Republic</w:t>
            </w:r>
            <w:r w:rsidR="009C6D6C">
              <w:rPr>
                <w:noProof/>
                <w:webHidden/>
              </w:rPr>
              <w:tab/>
            </w:r>
            <w:r w:rsidR="009C6D6C">
              <w:rPr>
                <w:noProof/>
                <w:webHidden/>
              </w:rPr>
              <w:fldChar w:fldCharType="begin"/>
            </w:r>
            <w:r w:rsidR="009C6D6C">
              <w:rPr>
                <w:noProof/>
                <w:webHidden/>
              </w:rPr>
              <w:instrText xml:space="preserve"> PAGEREF _Toc403634233 \h </w:instrText>
            </w:r>
            <w:r w:rsidR="009C6D6C">
              <w:rPr>
                <w:noProof/>
                <w:webHidden/>
              </w:rPr>
            </w:r>
            <w:r w:rsidR="009C6D6C">
              <w:rPr>
                <w:noProof/>
                <w:webHidden/>
              </w:rPr>
              <w:fldChar w:fldCharType="separate"/>
            </w:r>
            <w:r w:rsidR="009C6D6C">
              <w:rPr>
                <w:noProof/>
                <w:webHidden/>
              </w:rPr>
              <w:t>9</w:t>
            </w:r>
            <w:r w:rsidR="009C6D6C">
              <w:rPr>
                <w:noProof/>
                <w:webHidden/>
              </w:rPr>
              <w:fldChar w:fldCharType="end"/>
            </w:r>
          </w:hyperlink>
        </w:p>
        <w:p w14:paraId="1B32D5C9" w14:textId="77777777" w:rsidR="009C6D6C" w:rsidRDefault="00E87DF9">
          <w:pPr>
            <w:pStyle w:val="Innehll1"/>
            <w:tabs>
              <w:tab w:val="left" w:pos="660"/>
              <w:tab w:val="right" w:leader="dot" w:pos="9062"/>
            </w:tabs>
            <w:rPr>
              <w:rFonts w:asciiTheme="minorHAnsi" w:eastAsiaTheme="minorEastAsia" w:hAnsiTheme="minorHAnsi" w:cstheme="minorBidi"/>
              <w:noProof/>
              <w:lang w:eastAsia="sv-SE"/>
            </w:rPr>
          </w:pPr>
          <w:hyperlink w:anchor="_Toc403634234" w:history="1">
            <w:r w:rsidR="009C6D6C" w:rsidRPr="00D05FD6">
              <w:rPr>
                <w:rStyle w:val="Hyperlnk"/>
                <w:noProof/>
              </w:rPr>
              <w:t>14.</w:t>
            </w:r>
            <w:r w:rsidR="009C6D6C">
              <w:rPr>
                <w:rFonts w:asciiTheme="minorHAnsi" w:eastAsiaTheme="minorEastAsia" w:hAnsiTheme="minorHAnsi" w:cstheme="minorBidi"/>
                <w:noProof/>
                <w:lang w:eastAsia="sv-SE"/>
              </w:rPr>
              <w:tab/>
            </w:r>
            <w:r w:rsidR="009C6D6C" w:rsidRPr="00D05FD6">
              <w:rPr>
                <w:rStyle w:val="Hyperlnk"/>
                <w:noProof/>
              </w:rPr>
              <w:t>Relations with Georgia</w:t>
            </w:r>
            <w:r w:rsidR="009C6D6C">
              <w:rPr>
                <w:noProof/>
                <w:webHidden/>
              </w:rPr>
              <w:tab/>
            </w:r>
            <w:r w:rsidR="009C6D6C">
              <w:rPr>
                <w:noProof/>
                <w:webHidden/>
              </w:rPr>
              <w:fldChar w:fldCharType="begin"/>
            </w:r>
            <w:r w:rsidR="009C6D6C">
              <w:rPr>
                <w:noProof/>
                <w:webHidden/>
              </w:rPr>
              <w:instrText xml:space="preserve"> PAGEREF _Toc403634234 \h </w:instrText>
            </w:r>
            <w:r w:rsidR="009C6D6C">
              <w:rPr>
                <w:noProof/>
                <w:webHidden/>
              </w:rPr>
            </w:r>
            <w:r w:rsidR="009C6D6C">
              <w:rPr>
                <w:noProof/>
                <w:webHidden/>
              </w:rPr>
              <w:fldChar w:fldCharType="separate"/>
            </w:r>
            <w:r w:rsidR="009C6D6C">
              <w:rPr>
                <w:noProof/>
                <w:webHidden/>
              </w:rPr>
              <w:t>9</w:t>
            </w:r>
            <w:r w:rsidR="009C6D6C">
              <w:rPr>
                <w:noProof/>
                <w:webHidden/>
              </w:rPr>
              <w:fldChar w:fldCharType="end"/>
            </w:r>
          </w:hyperlink>
        </w:p>
        <w:p w14:paraId="0840457B" w14:textId="77777777" w:rsidR="009C6D6C" w:rsidRDefault="00E87DF9">
          <w:pPr>
            <w:pStyle w:val="Innehll1"/>
            <w:tabs>
              <w:tab w:val="left" w:pos="660"/>
              <w:tab w:val="right" w:leader="dot" w:pos="9062"/>
            </w:tabs>
            <w:rPr>
              <w:rFonts w:asciiTheme="minorHAnsi" w:eastAsiaTheme="minorEastAsia" w:hAnsiTheme="minorHAnsi" w:cstheme="minorBidi"/>
              <w:noProof/>
              <w:lang w:eastAsia="sv-SE"/>
            </w:rPr>
          </w:pPr>
          <w:hyperlink w:anchor="_Toc403634235" w:history="1">
            <w:r w:rsidR="009C6D6C" w:rsidRPr="00D05FD6">
              <w:rPr>
                <w:rStyle w:val="Hyperlnk"/>
                <w:noProof/>
              </w:rPr>
              <w:t>15.</w:t>
            </w:r>
            <w:r w:rsidR="009C6D6C">
              <w:rPr>
                <w:rFonts w:asciiTheme="minorHAnsi" w:eastAsiaTheme="minorEastAsia" w:hAnsiTheme="minorHAnsi" w:cstheme="minorBidi"/>
                <w:noProof/>
                <w:lang w:eastAsia="sv-SE"/>
              </w:rPr>
              <w:tab/>
            </w:r>
            <w:r w:rsidR="009C6D6C" w:rsidRPr="00D05FD6">
              <w:rPr>
                <w:rStyle w:val="Hyperlnk"/>
                <w:noProof/>
              </w:rPr>
              <w:t>Forwarding to the European Parliament Secretariat of a technical report on the visit of the GSC Security Office</w:t>
            </w:r>
            <w:r w:rsidR="009C6D6C">
              <w:rPr>
                <w:noProof/>
                <w:webHidden/>
              </w:rPr>
              <w:tab/>
            </w:r>
            <w:r w:rsidR="009C6D6C">
              <w:rPr>
                <w:noProof/>
                <w:webHidden/>
              </w:rPr>
              <w:fldChar w:fldCharType="begin"/>
            </w:r>
            <w:r w:rsidR="009C6D6C">
              <w:rPr>
                <w:noProof/>
                <w:webHidden/>
              </w:rPr>
              <w:instrText xml:space="preserve"> PAGEREF _Toc403634235 \h </w:instrText>
            </w:r>
            <w:r w:rsidR="009C6D6C">
              <w:rPr>
                <w:noProof/>
                <w:webHidden/>
              </w:rPr>
            </w:r>
            <w:r w:rsidR="009C6D6C">
              <w:rPr>
                <w:noProof/>
                <w:webHidden/>
              </w:rPr>
              <w:fldChar w:fldCharType="separate"/>
            </w:r>
            <w:r w:rsidR="009C6D6C">
              <w:rPr>
                <w:noProof/>
                <w:webHidden/>
              </w:rPr>
              <w:t>9</w:t>
            </w:r>
            <w:r w:rsidR="009C6D6C">
              <w:rPr>
                <w:noProof/>
                <w:webHidden/>
              </w:rPr>
              <w:fldChar w:fldCharType="end"/>
            </w:r>
          </w:hyperlink>
        </w:p>
        <w:p w14:paraId="24B641C6" w14:textId="77777777" w:rsidR="009C6D6C" w:rsidRDefault="00E87DF9">
          <w:pPr>
            <w:pStyle w:val="Innehll1"/>
            <w:tabs>
              <w:tab w:val="left" w:pos="660"/>
              <w:tab w:val="right" w:leader="dot" w:pos="9062"/>
            </w:tabs>
            <w:rPr>
              <w:rFonts w:asciiTheme="minorHAnsi" w:eastAsiaTheme="minorEastAsia" w:hAnsiTheme="minorHAnsi" w:cstheme="minorBidi"/>
              <w:noProof/>
              <w:lang w:eastAsia="sv-SE"/>
            </w:rPr>
          </w:pPr>
          <w:hyperlink w:anchor="_Toc403634236" w:history="1">
            <w:r w:rsidR="009C6D6C" w:rsidRPr="00D05FD6">
              <w:rPr>
                <w:rStyle w:val="Hyperlnk"/>
                <w:noProof/>
              </w:rPr>
              <w:t>16.</w:t>
            </w:r>
            <w:r w:rsidR="009C6D6C">
              <w:rPr>
                <w:rFonts w:asciiTheme="minorHAnsi" w:eastAsiaTheme="minorEastAsia" w:hAnsiTheme="minorHAnsi" w:cstheme="minorBidi"/>
                <w:noProof/>
                <w:lang w:eastAsia="sv-SE"/>
              </w:rPr>
              <w:tab/>
            </w:r>
            <w:r w:rsidR="009C6D6C" w:rsidRPr="00D05FD6">
              <w:rPr>
                <w:rStyle w:val="Hyperlnk"/>
                <w:noProof/>
              </w:rPr>
              <w:t>Declaration by the Council on the role of the Council Security Committee in ensuring consistency within the Council on matters relating to the protection of classified information</w:t>
            </w:r>
            <w:r w:rsidR="009C6D6C">
              <w:rPr>
                <w:noProof/>
                <w:webHidden/>
              </w:rPr>
              <w:tab/>
            </w:r>
            <w:r w:rsidR="009C6D6C">
              <w:rPr>
                <w:noProof/>
                <w:webHidden/>
              </w:rPr>
              <w:fldChar w:fldCharType="begin"/>
            </w:r>
            <w:r w:rsidR="009C6D6C">
              <w:rPr>
                <w:noProof/>
                <w:webHidden/>
              </w:rPr>
              <w:instrText xml:space="preserve"> PAGEREF _Toc403634236 \h </w:instrText>
            </w:r>
            <w:r w:rsidR="009C6D6C">
              <w:rPr>
                <w:noProof/>
                <w:webHidden/>
              </w:rPr>
            </w:r>
            <w:r w:rsidR="009C6D6C">
              <w:rPr>
                <w:noProof/>
                <w:webHidden/>
              </w:rPr>
              <w:fldChar w:fldCharType="separate"/>
            </w:r>
            <w:r w:rsidR="009C6D6C">
              <w:rPr>
                <w:noProof/>
                <w:webHidden/>
              </w:rPr>
              <w:t>10</w:t>
            </w:r>
            <w:r w:rsidR="009C6D6C">
              <w:rPr>
                <w:noProof/>
                <w:webHidden/>
              </w:rPr>
              <w:fldChar w:fldCharType="end"/>
            </w:r>
          </w:hyperlink>
        </w:p>
        <w:p w14:paraId="7F060458" w14:textId="77777777" w:rsidR="009C6D6C" w:rsidRDefault="00E87DF9">
          <w:pPr>
            <w:pStyle w:val="Innehll1"/>
            <w:tabs>
              <w:tab w:val="left" w:pos="660"/>
              <w:tab w:val="right" w:leader="dot" w:pos="9062"/>
            </w:tabs>
            <w:rPr>
              <w:rFonts w:asciiTheme="minorHAnsi" w:eastAsiaTheme="minorEastAsia" w:hAnsiTheme="minorHAnsi" w:cstheme="minorBidi"/>
              <w:noProof/>
              <w:lang w:eastAsia="sv-SE"/>
            </w:rPr>
          </w:pPr>
          <w:hyperlink w:anchor="_Toc403634237" w:history="1">
            <w:r w:rsidR="009C6D6C" w:rsidRPr="00D05FD6">
              <w:rPr>
                <w:rStyle w:val="Hyperlnk"/>
                <w:noProof/>
              </w:rPr>
              <w:t>17.</w:t>
            </w:r>
            <w:r w:rsidR="009C6D6C">
              <w:rPr>
                <w:rFonts w:asciiTheme="minorHAnsi" w:eastAsiaTheme="minorEastAsia" w:hAnsiTheme="minorHAnsi" w:cstheme="minorBidi"/>
                <w:noProof/>
                <w:lang w:eastAsia="sv-SE"/>
              </w:rPr>
              <w:tab/>
            </w:r>
            <w:r w:rsidR="009C6D6C" w:rsidRPr="00D05FD6">
              <w:rPr>
                <w:rStyle w:val="Hyperlnk"/>
                <w:noProof/>
              </w:rPr>
              <w:t>Single Progress Report on the Development of EU Military Capabilities in the period from November 2013 to October 2014</w:t>
            </w:r>
            <w:r w:rsidR="009C6D6C">
              <w:rPr>
                <w:noProof/>
                <w:webHidden/>
              </w:rPr>
              <w:tab/>
            </w:r>
            <w:r w:rsidR="009C6D6C">
              <w:rPr>
                <w:noProof/>
                <w:webHidden/>
              </w:rPr>
              <w:fldChar w:fldCharType="begin"/>
            </w:r>
            <w:r w:rsidR="009C6D6C">
              <w:rPr>
                <w:noProof/>
                <w:webHidden/>
              </w:rPr>
              <w:instrText xml:space="preserve"> PAGEREF _Toc403634237 \h </w:instrText>
            </w:r>
            <w:r w:rsidR="009C6D6C">
              <w:rPr>
                <w:noProof/>
                <w:webHidden/>
              </w:rPr>
            </w:r>
            <w:r w:rsidR="009C6D6C">
              <w:rPr>
                <w:noProof/>
                <w:webHidden/>
              </w:rPr>
              <w:fldChar w:fldCharType="separate"/>
            </w:r>
            <w:r w:rsidR="009C6D6C">
              <w:rPr>
                <w:noProof/>
                <w:webHidden/>
              </w:rPr>
              <w:t>11</w:t>
            </w:r>
            <w:r w:rsidR="009C6D6C">
              <w:rPr>
                <w:noProof/>
                <w:webHidden/>
              </w:rPr>
              <w:fldChar w:fldCharType="end"/>
            </w:r>
          </w:hyperlink>
        </w:p>
        <w:p w14:paraId="24E1A5BF" w14:textId="77777777" w:rsidR="009C6D6C" w:rsidRDefault="00E87DF9">
          <w:pPr>
            <w:pStyle w:val="Innehll1"/>
            <w:tabs>
              <w:tab w:val="left" w:pos="660"/>
              <w:tab w:val="right" w:leader="dot" w:pos="9062"/>
            </w:tabs>
            <w:rPr>
              <w:rFonts w:asciiTheme="minorHAnsi" w:eastAsiaTheme="minorEastAsia" w:hAnsiTheme="minorHAnsi" w:cstheme="minorBidi"/>
              <w:noProof/>
              <w:lang w:eastAsia="sv-SE"/>
            </w:rPr>
          </w:pPr>
          <w:hyperlink w:anchor="_Toc403634238" w:history="1">
            <w:r w:rsidR="009C6D6C" w:rsidRPr="00D05FD6">
              <w:rPr>
                <w:rStyle w:val="Hyperlnk"/>
                <w:noProof/>
              </w:rPr>
              <w:t>18.</w:t>
            </w:r>
            <w:r w:rsidR="009C6D6C">
              <w:rPr>
                <w:rFonts w:asciiTheme="minorHAnsi" w:eastAsiaTheme="minorEastAsia" w:hAnsiTheme="minorHAnsi" w:cstheme="minorBidi"/>
                <w:noProof/>
                <w:lang w:eastAsia="sv-SE"/>
              </w:rPr>
              <w:tab/>
            </w:r>
            <w:r w:rsidR="009C6D6C" w:rsidRPr="00D05FD6">
              <w:rPr>
                <w:rStyle w:val="Hyperlnk"/>
                <w:noProof/>
              </w:rPr>
              <w:t>Progress Catalogue 2014</w:t>
            </w:r>
            <w:r w:rsidR="009C6D6C">
              <w:rPr>
                <w:noProof/>
                <w:webHidden/>
              </w:rPr>
              <w:tab/>
            </w:r>
            <w:r w:rsidR="009C6D6C">
              <w:rPr>
                <w:noProof/>
                <w:webHidden/>
              </w:rPr>
              <w:fldChar w:fldCharType="begin"/>
            </w:r>
            <w:r w:rsidR="009C6D6C">
              <w:rPr>
                <w:noProof/>
                <w:webHidden/>
              </w:rPr>
              <w:instrText xml:space="preserve"> PAGEREF _Toc403634238 \h </w:instrText>
            </w:r>
            <w:r w:rsidR="009C6D6C">
              <w:rPr>
                <w:noProof/>
                <w:webHidden/>
              </w:rPr>
            </w:r>
            <w:r w:rsidR="009C6D6C">
              <w:rPr>
                <w:noProof/>
                <w:webHidden/>
              </w:rPr>
              <w:fldChar w:fldCharType="separate"/>
            </w:r>
            <w:r w:rsidR="009C6D6C">
              <w:rPr>
                <w:noProof/>
                <w:webHidden/>
              </w:rPr>
              <w:t>11</w:t>
            </w:r>
            <w:r w:rsidR="009C6D6C">
              <w:rPr>
                <w:noProof/>
                <w:webHidden/>
              </w:rPr>
              <w:fldChar w:fldCharType="end"/>
            </w:r>
          </w:hyperlink>
        </w:p>
        <w:p w14:paraId="7FA05AF0" w14:textId="77777777" w:rsidR="009C6D6C" w:rsidRDefault="00E87DF9">
          <w:pPr>
            <w:pStyle w:val="Innehll1"/>
            <w:tabs>
              <w:tab w:val="left" w:pos="660"/>
              <w:tab w:val="right" w:leader="dot" w:pos="9062"/>
            </w:tabs>
            <w:rPr>
              <w:rFonts w:asciiTheme="minorHAnsi" w:eastAsiaTheme="minorEastAsia" w:hAnsiTheme="minorHAnsi" w:cstheme="minorBidi"/>
              <w:noProof/>
              <w:lang w:eastAsia="sv-SE"/>
            </w:rPr>
          </w:pPr>
          <w:hyperlink w:anchor="_Toc403634239" w:history="1">
            <w:r w:rsidR="009C6D6C" w:rsidRPr="00D05FD6">
              <w:rPr>
                <w:rStyle w:val="Hyperlnk"/>
                <w:noProof/>
              </w:rPr>
              <w:t>19.</w:t>
            </w:r>
            <w:r w:rsidR="009C6D6C">
              <w:rPr>
                <w:rFonts w:asciiTheme="minorHAnsi" w:eastAsiaTheme="minorEastAsia" w:hAnsiTheme="minorHAnsi" w:cstheme="minorBidi"/>
                <w:noProof/>
                <w:lang w:eastAsia="sv-SE"/>
              </w:rPr>
              <w:tab/>
            </w:r>
            <w:r w:rsidR="009C6D6C" w:rsidRPr="00D05FD6">
              <w:rPr>
                <w:rStyle w:val="Hyperlnk"/>
                <w:noProof/>
              </w:rPr>
              <w:t>Policy Framework for Systematic and Long-Term Defence Cooperation</w:t>
            </w:r>
            <w:r w:rsidR="009C6D6C">
              <w:rPr>
                <w:noProof/>
                <w:webHidden/>
              </w:rPr>
              <w:tab/>
            </w:r>
            <w:r w:rsidR="009C6D6C">
              <w:rPr>
                <w:noProof/>
                <w:webHidden/>
              </w:rPr>
              <w:fldChar w:fldCharType="begin"/>
            </w:r>
            <w:r w:rsidR="009C6D6C">
              <w:rPr>
                <w:noProof/>
                <w:webHidden/>
              </w:rPr>
              <w:instrText xml:space="preserve"> PAGEREF _Toc403634239 \h </w:instrText>
            </w:r>
            <w:r w:rsidR="009C6D6C">
              <w:rPr>
                <w:noProof/>
                <w:webHidden/>
              </w:rPr>
            </w:r>
            <w:r w:rsidR="009C6D6C">
              <w:rPr>
                <w:noProof/>
                <w:webHidden/>
              </w:rPr>
              <w:fldChar w:fldCharType="separate"/>
            </w:r>
            <w:r w:rsidR="009C6D6C">
              <w:rPr>
                <w:noProof/>
                <w:webHidden/>
              </w:rPr>
              <w:t>11</w:t>
            </w:r>
            <w:r w:rsidR="009C6D6C">
              <w:rPr>
                <w:noProof/>
                <w:webHidden/>
              </w:rPr>
              <w:fldChar w:fldCharType="end"/>
            </w:r>
          </w:hyperlink>
        </w:p>
        <w:p w14:paraId="45CD9F20" w14:textId="77777777" w:rsidR="009C6D6C" w:rsidRDefault="00E87DF9">
          <w:pPr>
            <w:pStyle w:val="Innehll1"/>
            <w:tabs>
              <w:tab w:val="left" w:pos="660"/>
              <w:tab w:val="right" w:leader="dot" w:pos="9062"/>
            </w:tabs>
            <w:rPr>
              <w:rFonts w:asciiTheme="minorHAnsi" w:eastAsiaTheme="minorEastAsia" w:hAnsiTheme="minorHAnsi" w:cstheme="minorBidi"/>
              <w:noProof/>
              <w:lang w:eastAsia="sv-SE"/>
            </w:rPr>
          </w:pPr>
          <w:hyperlink w:anchor="_Toc403634240" w:history="1">
            <w:r w:rsidR="009C6D6C" w:rsidRPr="00D05FD6">
              <w:rPr>
                <w:rStyle w:val="Hyperlnk"/>
                <w:noProof/>
              </w:rPr>
              <w:t>20.</w:t>
            </w:r>
            <w:r w:rsidR="009C6D6C">
              <w:rPr>
                <w:rFonts w:asciiTheme="minorHAnsi" w:eastAsiaTheme="minorEastAsia" w:hAnsiTheme="minorHAnsi" w:cstheme="minorBidi"/>
                <w:noProof/>
                <w:lang w:eastAsia="sv-SE"/>
              </w:rPr>
              <w:tab/>
            </w:r>
            <w:r w:rsidR="009C6D6C" w:rsidRPr="00D05FD6">
              <w:rPr>
                <w:rStyle w:val="Hyperlnk"/>
                <w:noProof/>
              </w:rPr>
              <w:t>EU Cyber Defence Policy Framework</w:t>
            </w:r>
            <w:r w:rsidR="009C6D6C">
              <w:rPr>
                <w:noProof/>
                <w:webHidden/>
              </w:rPr>
              <w:tab/>
            </w:r>
            <w:r w:rsidR="009C6D6C">
              <w:rPr>
                <w:noProof/>
                <w:webHidden/>
              </w:rPr>
              <w:fldChar w:fldCharType="begin"/>
            </w:r>
            <w:r w:rsidR="009C6D6C">
              <w:rPr>
                <w:noProof/>
                <w:webHidden/>
              </w:rPr>
              <w:instrText xml:space="preserve"> PAGEREF _Toc403634240 \h </w:instrText>
            </w:r>
            <w:r w:rsidR="009C6D6C">
              <w:rPr>
                <w:noProof/>
                <w:webHidden/>
              </w:rPr>
            </w:r>
            <w:r w:rsidR="009C6D6C">
              <w:rPr>
                <w:noProof/>
                <w:webHidden/>
              </w:rPr>
              <w:fldChar w:fldCharType="separate"/>
            </w:r>
            <w:r w:rsidR="009C6D6C">
              <w:rPr>
                <w:noProof/>
                <w:webHidden/>
              </w:rPr>
              <w:t>12</w:t>
            </w:r>
            <w:r w:rsidR="009C6D6C">
              <w:rPr>
                <w:noProof/>
                <w:webHidden/>
              </w:rPr>
              <w:fldChar w:fldCharType="end"/>
            </w:r>
          </w:hyperlink>
        </w:p>
        <w:p w14:paraId="7C5E64B7" w14:textId="77777777" w:rsidR="009C6D6C" w:rsidRDefault="00E87DF9">
          <w:pPr>
            <w:pStyle w:val="Innehll1"/>
            <w:tabs>
              <w:tab w:val="left" w:pos="660"/>
              <w:tab w:val="right" w:leader="dot" w:pos="9062"/>
            </w:tabs>
            <w:rPr>
              <w:rFonts w:asciiTheme="minorHAnsi" w:eastAsiaTheme="minorEastAsia" w:hAnsiTheme="minorHAnsi" w:cstheme="minorBidi"/>
              <w:noProof/>
              <w:lang w:eastAsia="sv-SE"/>
            </w:rPr>
          </w:pPr>
          <w:hyperlink w:anchor="_Toc403634241" w:history="1">
            <w:r w:rsidR="009C6D6C" w:rsidRPr="00D05FD6">
              <w:rPr>
                <w:rStyle w:val="Hyperlnk"/>
                <w:noProof/>
              </w:rPr>
              <w:t>21.</w:t>
            </w:r>
            <w:r w:rsidR="009C6D6C">
              <w:rPr>
                <w:rFonts w:asciiTheme="minorHAnsi" w:eastAsiaTheme="minorEastAsia" w:hAnsiTheme="minorHAnsi" w:cstheme="minorBidi"/>
                <w:noProof/>
                <w:lang w:eastAsia="sv-SE"/>
              </w:rPr>
              <w:tab/>
            </w:r>
            <w:r w:rsidR="009C6D6C" w:rsidRPr="00D05FD6">
              <w:rPr>
                <w:rStyle w:val="Hyperlnk"/>
                <w:noProof/>
              </w:rPr>
              <w:t>Council Decision amending Decision 2014/145/CFSP concerning restrictive measures in respect of actions undermining or threatening the territorial integrity, sovereignty and independence of Ukraine =Council Implementing Regulation implementing Regulation (EU) n° 269/2014 concerning restrictive measures in respect of actions undermining or threatening the territorial integrity, sovereignty and independence of Ukraine</w:t>
            </w:r>
            <w:r w:rsidR="009C6D6C">
              <w:rPr>
                <w:noProof/>
                <w:webHidden/>
              </w:rPr>
              <w:tab/>
            </w:r>
            <w:r w:rsidR="009C6D6C">
              <w:rPr>
                <w:noProof/>
                <w:webHidden/>
              </w:rPr>
              <w:fldChar w:fldCharType="begin"/>
            </w:r>
            <w:r w:rsidR="009C6D6C">
              <w:rPr>
                <w:noProof/>
                <w:webHidden/>
              </w:rPr>
              <w:instrText xml:space="preserve"> PAGEREF _Toc403634241 \h </w:instrText>
            </w:r>
            <w:r w:rsidR="009C6D6C">
              <w:rPr>
                <w:noProof/>
                <w:webHidden/>
              </w:rPr>
            </w:r>
            <w:r w:rsidR="009C6D6C">
              <w:rPr>
                <w:noProof/>
                <w:webHidden/>
              </w:rPr>
              <w:fldChar w:fldCharType="separate"/>
            </w:r>
            <w:r w:rsidR="009C6D6C">
              <w:rPr>
                <w:noProof/>
                <w:webHidden/>
              </w:rPr>
              <w:t>12</w:t>
            </w:r>
            <w:r w:rsidR="009C6D6C">
              <w:rPr>
                <w:noProof/>
                <w:webHidden/>
              </w:rPr>
              <w:fldChar w:fldCharType="end"/>
            </w:r>
          </w:hyperlink>
        </w:p>
        <w:p w14:paraId="4C4AB55E" w14:textId="77777777" w:rsidR="009C6D6C" w:rsidRDefault="00E87DF9">
          <w:pPr>
            <w:pStyle w:val="Innehll1"/>
            <w:tabs>
              <w:tab w:val="left" w:pos="660"/>
              <w:tab w:val="right" w:leader="dot" w:pos="9062"/>
            </w:tabs>
            <w:rPr>
              <w:rFonts w:asciiTheme="minorHAnsi" w:eastAsiaTheme="minorEastAsia" w:hAnsiTheme="minorHAnsi" w:cstheme="minorBidi"/>
              <w:noProof/>
              <w:lang w:eastAsia="sv-SE"/>
            </w:rPr>
          </w:pPr>
          <w:hyperlink w:anchor="_Toc403634242" w:history="1">
            <w:r w:rsidR="009C6D6C" w:rsidRPr="00D05FD6">
              <w:rPr>
                <w:rStyle w:val="Hyperlnk"/>
                <w:noProof/>
              </w:rPr>
              <w:t>22.</w:t>
            </w:r>
            <w:r w:rsidR="009C6D6C">
              <w:rPr>
                <w:rFonts w:asciiTheme="minorHAnsi" w:eastAsiaTheme="minorEastAsia" w:hAnsiTheme="minorHAnsi" w:cstheme="minorBidi"/>
                <w:noProof/>
                <w:lang w:eastAsia="sv-SE"/>
              </w:rPr>
              <w:tab/>
            </w:r>
            <w:r w:rsidR="009C6D6C" w:rsidRPr="00D05FD6">
              <w:rPr>
                <w:rStyle w:val="Hyperlnk"/>
                <w:noProof/>
              </w:rPr>
              <w:t>Council Decision launching the European Union Advisory Mission for Civilian Security Sector Reform Ukraine (EUAM Ukraine) and amending Decision 2014/486/CFSP</w:t>
            </w:r>
            <w:r w:rsidR="009C6D6C">
              <w:rPr>
                <w:noProof/>
                <w:webHidden/>
              </w:rPr>
              <w:tab/>
            </w:r>
            <w:r w:rsidR="009C6D6C">
              <w:rPr>
                <w:noProof/>
                <w:webHidden/>
              </w:rPr>
              <w:fldChar w:fldCharType="begin"/>
            </w:r>
            <w:r w:rsidR="009C6D6C">
              <w:rPr>
                <w:noProof/>
                <w:webHidden/>
              </w:rPr>
              <w:instrText xml:space="preserve"> PAGEREF _Toc403634242 \h </w:instrText>
            </w:r>
            <w:r w:rsidR="009C6D6C">
              <w:rPr>
                <w:noProof/>
                <w:webHidden/>
              </w:rPr>
            </w:r>
            <w:r w:rsidR="009C6D6C">
              <w:rPr>
                <w:noProof/>
                <w:webHidden/>
              </w:rPr>
              <w:fldChar w:fldCharType="separate"/>
            </w:r>
            <w:r w:rsidR="009C6D6C">
              <w:rPr>
                <w:noProof/>
                <w:webHidden/>
              </w:rPr>
              <w:t>13</w:t>
            </w:r>
            <w:r w:rsidR="009C6D6C">
              <w:rPr>
                <w:noProof/>
                <w:webHidden/>
              </w:rPr>
              <w:fldChar w:fldCharType="end"/>
            </w:r>
          </w:hyperlink>
        </w:p>
        <w:p w14:paraId="691CBEC6" w14:textId="77777777" w:rsidR="009C6D6C" w:rsidRDefault="00E87DF9">
          <w:pPr>
            <w:pStyle w:val="Innehll1"/>
            <w:tabs>
              <w:tab w:val="left" w:pos="660"/>
              <w:tab w:val="right" w:leader="dot" w:pos="9062"/>
            </w:tabs>
            <w:rPr>
              <w:rFonts w:asciiTheme="minorHAnsi" w:eastAsiaTheme="minorEastAsia" w:hAnsiTheme="minorHAnsi" w:cstheme="minorBidi"/>
              <w:noProof/>
              <w:lang w:eastAsia="sv-SE"/>
            </w:rPr>
          </w:pPr>
          <w:hyperlink w:anchor="_Toc403634243" w:history="1">
            <w:r w:rsidR="009C6D6C" w:rsidRPr="00D05FD6">
              <w:rPr>
                <w:rStyle w:val="Hyperlnk"/>
                <w:noProof/>
              </w:rPr>
              <w:t>23.</w:t>
            </w:r>
            <w:r w:rsidR="009C6D6C">
              <w:rPr>
                <w:rFonts w:asciiTheme="minorHAnsi" w:eastAsiaTheme="minorEastAsia" w:hAnsiTheme="minorHAnsi" w:cstheme="minorBidi"/>
                <w:noProof/>
                <w:lang w:eastAsia="sv-SE"/>
              </w:rPr>
              <w:tab/>
            </w:r>
            <w:r w:rsidR="009C6D6C" w:rsidRPr="00D05FD6">
              <w:rPr>
                <w:rStyle w:val="Hyperlnk"/>
                <w:noProof/>
              </w:rPr>
              <w:t>Council Decision amending and extending Decision 2012/173/CFSP on the activation of the EU Operations Centre for the Common Security and Defence Policy missions and operation in the Horn of Africa</w:t>
            </w:r>
            <w:r w:rsidR="009C6D6C">
              <w:rPr>
                <w:noProof/>
                <w:webHidden/>
              </w:rPr>
              <w:tab/>
            </w:r>
            <w:r w:rsidR="009C6D6C">
              <w:rPr>
                <w:noProof/>
                <w:webHidden/>
              </w:rPr>
              <w:fldChar w:fldCharType="begin"/>
            </w:r>
            <w:r w:rsidR="009C6D6C">
              <w:rPr>
                <w:noProof/>
                <w:webHidden/>
              </w:rPr>
              <w:instrText xml:space="preserve"> PAGEREF _Toc403634243 \h </w:instrText>
            </w:r>
            <w:r w:rsidR="009C6D6C">
              <w:rPr>
                <w:noProof/>
                <w:webHidden/>
              </w:rPr>
            </w:r>
            <w:r w:rsidR="009C6D6C">
              <w:rPr>
                <w:noProof/>
                <w:webHidden/>
              </w:rPr>
              <w:fldChar w:fldCharType="separate"/>
            </w:r>
            <w:r w:rsidR="009C6D6C">
              <w:rPr>
                <w:noProof/>
                <w:webHidden/>
              </w:rPr>
              <w:t>14</w:t>
            </w:r>
            <w:r w:rsidR="009C6D6C">
              <w:rPr>
                <w:noProof/>
                <w:webHidden/>
              </w:rPr>
              <w:fldChar w:fldCharType="end"/>
            </w:r>
          </w:hyperlink>
        </w:p>
        <w:p w14:paraId="0ECF93CA" w14:textId="77777777" w:rsidR="009C6D6C" w:rsidRDefault="00E87DF9">
          <w:pPr>
            <w:pStyle w:val="Innehll1"/>
            <w:tabs>
              <w:tab w:val="left" w:pos="660"/>
              <w:tab w:val="right" w:leader="dot" w:pos="9062"/>
            </w:tabs>
            <w:rPr>
              <w:rFonts w:asciiTheme="minorHAnsi" w:eastAsiaTheme="minorEastAsia" w:hAnsiTheme="minorHAnsi" w:cstheme="minorBidi"/>
              <w:noProof/>
              <w:lang w:eastAsia="sv-SE"/>
            </w:rPr>
          </w:pPr>
          <w:hyperlink w:anchor="_Toc403634244" w:history="1">
            <w:r w:rsidR="009C6D6C" w:rsidRPr="00D05FD6">
              <w:rPr>
                <w:rStyle w:val="Hyperlnk"/>
                <w:noProof/>
              </w:rPr>
              <w:t>24.</w:t>
            </w:r>
            <w:r w:rsidR="009C6D6C">
              <w:rPr>
                <w:rFonts w:asciiTheme="minorHAnsi" w:eastAsiaTheme="minorEastAsia" w:hAnsiTheme="minorHAnsi" w:cstheme="minorBidi"/>
                <w:noProof/>
                <w:lang w:eastAsia="sv-SE"/>
              </w:rPr>
              <w:tab/>
            </w:r>
            <w:r w:rsidR="009C6D6C" w:rsidRPr="00D05FD6">
              <w:rPr>
                <w:rStyle w:val="Hyperlnk"/>
                <w:noProof/>
              </w:rPr>
              <w:t>Council Decision amending and extending Joint Action 2008/851/CFSP on a European Union military operation to contribute to the deterrence, prevention and repression of acts of piracy and armed robbery off the Somali coast</w:t>
            </w:r>
            <w:r w:rsidR="009C6D6C">
              <w:rPr>
                <w:noProof/>
                <w:webHidden/>
              </w:rPr>
              <w:tab/>
            </w:r>
            <w:r w:rsidR="009C6D6C">
              <w:rPr>
                <w:noProof/>
                <w:webHidden/>
              </w:rPr>
              <w:fldChar w:fldCharType="begin"/>
            </w:r>
            <w:r w:rsidR="009C6D6C">
              <w:rPr>
                <w:noProof/>
                <w:webHidden/>
              </w:rPr>
              <w:instrText xml:space="preserve"> PAGEREF _Toc403634244 \h </w:instrText>
            </w:r>
            <w:r w:rsidR="009C6D6C">
              <w:rPr>
                <w:noProof/>
                <w:webHidden/>
              </w:rPr>
            </w:r>
            <w:r w:rsidR="009C6D6C">
              <w:rPr>
                <w:noProof/>
                <w:webHidden/>
              </w:rPr>
              <w:fldChar w:fldCharType="separate"/>
            </w:r>
            <w:r w:rsidR="009C6D6C">
              <w:rPr>
                <w:noProof/>
                <w:webHidden/>
              </w:rPr>
              <w:t>14</w:t>
            </w:r>
            <w:r w:rsidR="009C6D6C">
              <w:rPr>
                <w:noProof/>
                <w:webHidden/>
              </w:rPr>
              <w:fldChar w:fldCharType="end"/>
            </w:r>
          </w:hyperlink>
        </w:p>
        <w:p w14:paraId="4C656866" w14:textId="77777777" w:rsidR="009C6D6C" w:rsidRDefault="00E87DF9">
          <w:pPr>
            <w:pStyle w:val="Innehll1"/>
            <w:tabs>
              <w:tab w:val="left" w:pos="660"/>
              <w:tab w:val="right" w:leader="dot" w:pos="9062"/>
            </w:tabs>
            <w:rPr>
              <w:rFonts w:asciiTheme="minorHAnsi" w:eastAsiaTheme="minorEastAsia" w:hAnsiTheme="minorHAnsi" w:cstheme="minorBidi"/>
              <w:noProof/>
              <w:lang w:eastAsia="sv-SE"/>
            </w:rPr>
          </w:pPr>
          <w:hyperlink w:anchor="_Toc403634245" w:history="1">
            <w:r w:rsidR="009C6D6C" w:rsidRPr="00D05FD6">
              <w:rPr>
                <w:rStyle w:val="Hyperlnk"/>
                <w:noProof/>
              </w:rPr>
              <w:t>25.</w:t>
            </w:r>
            <w:r w:rsidR="009C6D6C">
              <w:rPr>
                <w:rFonts w:asciiTheme="minorHAnsi" w:eastAsiaTheme="minorEastAsia" w:hAnsiTheme="minorHAnsi" w:cstheme="minorBidi"/>
                <w:noProof/>
                <w:lang w:eastAsia="sv-SE"/>
              </w:rPr>
              <w:tab/>
            </w:r>
            <w:r w:rsidR="009C6D6C" w:rsidRPr="00D05FD6">
              <w:rPr>
                <w:rStyle w:val="Hyperlnk"/>
                <w:noProof/>
              </w:rPr>
              <w:t>Draft Council Conclusions on EU membership of the Principal Donors Group of the Extraordinary Chambers in the Courts of Cambodia</w:t>
            </w:r>
            <w:r w:rsidR="009C6D6C">
              <w:rPr>
                <w:noProof/>
                <w:webHidden/>
              </w:rPr>
              <w:tab/>
            </w:r>
            <w:r w:rsidR="009C6D6C">
              <w:rPr>
                <w:noProof/>
                <w:webHidden/>
              </w:rPr>
              <w:fldChar w:fldCharType="begin"/>
            </w:r>
            <w:r w:rsidR="009C6D6C">
              <w:rPr>
                <w:noProof/>
                <w:webHidden/>
              </w:rPr>
              <w:instrText xml:space="preserve"> PAGEREF _Toc403634245 \h </w:instrText>
            </w:r>
            <w:r w:rsidR="009C6D6C">
              <w:rPr>
                <w:noProof/>
                <w:webHidden/>
              </w:rPr>
            </w:r>
            <w:r w:rsidR="009C6D6C">
              <w:rPr>
                <w:noProof/>
                <w:webHidden/>
              </w:rPr>
              <w:fldChar w:fldCharType="separate"/>
            </w:r>
            <w:r w:rsidR="009C6D6C">
              <w:rPr>
                <w:noProof/>
                <w:webHidden/>
              </w:rPr>
              <w:t>15</w:t>
            </w:r>
            <w:r w:rsidR="009C6D6C">
              <w:rPr>
                <w:noProof/>
                <w:webHidden/>
              </w:rPr>
              <w:fldChar w:fldCharType="end"/>
            </w:r>
          </w:hyperlink>
        </w:p>
        <w:p w14:paraId="6962FDD9" w14:textId="77777777" w:rsidR="009C6D6C" w:rsidRDefault="00E87DF9">
          <w:pPr>
            <w:pStyle w:val="Innehll1"/>
            <w:tabs>
              <w:tab w:val="left" w:pos="660"/>
              <w:tab w:val="right" w:leader="dot" w:pos="9062"/>
            </w:tabs>
            <w:rPr>
              <w:rFonts w:asciiTheme="minorHAnsi" w:eastAsiaTheme="minorEastAsia" w:hAnsiTheme="minorHAnsi" w:cstheme="minorBidi"/>
              <w:noProof/>
              <w:lang w:eastAsia="sv-SE"/>
            </w:rPr>
          </w:pPr>
          <w:hyperlink w:anchor="_Toc403634246" w:history="1">
            <w:r w:rsidR="009C6D6C" w:rsidRPr="00D05FD6">
              <w:rPr>
                <w:rStyle w:val="Hyperlnk"/>
                <w:noProof/>
              </w:rPr>
              <w:t>26.</w:t>
            </w:r>
            <w:r w:rsidR="009C6D6C">
              <w:rPr>
                <w:rFonts w:asciiTheme="minorHAnsi" w:eastAsiaTheme="minorEastAsia" w:hAnsiTheme="minorHAnsi" w:cstheme="minorBidi"/>
                <w:noProof/>
                <w:lang w:eastAsia="sv-SE"/>
              </w:rPr>
              <w:tab/>
            </w:r>
            <w:r w:rsidR="009C6D6C" w:rsidRPr="00D05FD6">
              <w:rPr>
                <w:rStyle w:val="Hyperlnk"/>
                <w:noProof/>
              </w:rPr>
              <w:t>Draft Council Act extending the term of office of a Deputy Director of Europol</w:t>
            </w:r>
            <w:r w:rsidR="009C6D6C">
              <w:rPr>
                <w:noProof/>
                <w:webHidden/>
              </w:rPr>
              <w:tab/>
            </w:r>
            <w:r w:rsidR="009C6D6C">
              <w:rPr>
                <w:noProof/>
                <w:webHidden/>
              </w:rPr>
              <w:fldChar w:fldCharType="begin"/>
            </w:r>
            <w:r w:rsidR="009C6D6C">
              <w:rPr>
                <w:noProof/>
                <w:webHidden/>
              </w:rPr>
              <w:instrText xml:space="preserve"> PAGEREF _Toc403634246 \h </w:instrText>
            </w:r>
            <w:r w:rsidR="009C6D6C">
              <w:rPr>
                <w:noProof/>
                <w:webHidden/>
              </w:rPr>
            </w:r>
            <w:r w:rsidR="009C6D6C">
              <w:rPr>
                <w:noProof/>
                <w:webHidden/>
              </w:rPr>
              <w:fldChar w:fldCharType="separate"/>
            </w:r>
            <w:r w:rsidR="009C6D6C">
              <w:rPr>
                <w:noProof/>
                <w:webHidden/>
              </w:rPr>
              <w:t>15</w:t>
            </w:r>
            <w:r w:rsidR="009C6D6C">
              <w:rPr>
                <w:noProof/>
                <w:webHidden/>
              </w:rPr>
              <w:fldChar w:fldCharType="end"/>
            </w:r>
          </w:hyperlink>
        </w:p>
        <w:p w14:paraId="15B16426" w14:textId="77777777" w:rsidR="009C6D6C" w:rsidRDefault="00E87DF9">
          <w:pPr>
            <w:pStyle w:val="Innehll1"/>
            <w:tabs>
              <w:tab w:val="left" w:pos="660"/>
              <w:tab w:val="right" w:leader="dot" w:pos="9062"/>
            </w:tabs>
            <w:rPr>
              <w:rFonts w:asciiTheme="minorHAnsi" w:eastAsiaTheme="minorEastAsia" w:hAnsiTheme="minorHAnsi" w:cstheme="minorBidi"/>
              <w:noProof/>
              <w:lang w:eastAsia="sv-SE"/>
            </w:rPr>
          </w:pPr>
          <w:hyperlink w:anchor="_Toc403634247" w:history="1">
            <w:r w:rsidR="009C6D6C" w:rsidRPr="00D05FD6">
              <w:rPr>
                <w:rStyle w:val="Hyperlnk"/>
                <w:noProof/>
              </w:rPr>
              <w:t>27.</w:t>
            </w:r>
            <w:r w:rsidR="009C6D6C">
              <w:rPr>
                <w:rFonts w:asciiTheme="minorHAnsi" w:eastAsiaTheme="minorEastAsia" w:hAnsiTheme="minorHAnsi" w:cstheme="minorBidi"/>
                <w:noProof/>
                <w:lang w:eastAsia="sv-SE"/>
              </w:rPr>
              <w:tab/>
            </w:r>
            <w:r w:rsidR="009C6D6C" w:rsidRPr="00D05FD6">
              <w:rPr>
                <w:rStyle w:val="Hyperlnk"/>
                <w:noProof/>
              </w:rPr>
              <w:t>Council Decision on the conclusion of the Agreement of 28 June 2006 between the European Union and the Republic of Iceland and the Kingdom of Norway on the surrender procedure between the Member States of the European Union and Iceland and Norway</w:t>
            </w:r>
            <w:r w:rsidR="009C6D6C">
              <w:rPr>
                <w:noProof/>
                <w:webHidden/>
              </w:rPr>
              <w:tab/>
            </w:r>
            <w:r w:rsidR="009C6D6C">
              <w:rPr>
                <w:noProof/>
                <w:webHidden/>
              </w:rPr>
              <w:fldChar w:fldCharType="begin"/>
            </w:r>
            <w:r w:rsidR="009C6D6C">
              <w:rPr>
                <w:noProof/>
                <w:webHidden/>
              </w:rPr>
              <w:instrText xml:space="preserve"> PAGEREF _Toc403634247 \h </w:instrText>
            </w:r>
            <w:r w:rsidR="009C6D6C">
              <w:rPr>
                <w:noProof/>
                <w:webHidden/>
              </w:rPr>
            </w:r>
            <w:r w:rsidR="009C6D6C">
              <w:rPr>
                <w:noProof/>
                <w:webHidden/>
              </w:rPr>
              <w:fldChar w:fldCharType="separate"/>
            </w:r>
            <w:r w:rsidR="009C6D6C">
              <w:rPr>
                <w:noProof/>
                <w:webHidden/>
              </w:rPr>
              <w:t>15</w:t>
            </w:r>
            <w:r w:rsidR="009C6D6C">
              <w:rPr>
                <w:noProof/>
                <w:webHidden/>
              </w:rPr>
              <w:fldChar w:fldCharType="end"/>
            </w:r>
          </w:hyperlink>
        </w:p>
        <w:p w14:paraId="515BB203" w14:textId="77777777" w:rsidR="009C6D6C" w:rsidRDefault="00E87DF9">
          <w:pPr>
            <w:pStyle w:val="Innehll1"/>
            <w:tabs>
              <w:tab w:val="left" w:pos="660"/>
              <w:tab w:val="right" w:leader="dot" w:pos="9062"/>
            </w:tabs>
            <w:rPr>
              <w:rFonts w:asciiTheme="minorHAnsi" w:eastAsiaTheme="minorEastAsia" w:hAnsiTheme="minorHAnsi" w:cstheme="minorBidi"/>
              <w:noProof/>
              <w:lang w:eastAsia="sv-SE"/>
            </w:rPr>
          </w:pPr>
          <w:hyperlink w:anchor="_Toc403634248" w:history="1">
            <w:r w:rsidR="009C6D6C" w:rsidRPr="00D05FD6">
              <w:rPr>
                <w:rStyle w:val="Hyperlnk"/>
                <w:noProof/>
              </w:rPr>
              <w:t>28.</w:t>
            </w:r>
            <w:r w:rsidR="009C6D6C">
              <w:rPr>
                <w:rFonts w:asciiTheme="minorHAnsi" w:eastAsiaTheme="minorEastAsia" w:hAnsiTheme="minorHAnsi" w:cstheme="minorBidi"/>
                <w:noProof/>
                <w:lang w:eastAsia="sv-SE"/>
              </w:rPr>
              <w:tab/>
            </w:r>
            <w:r w:rsidR="009C6D6C" w:rsidRPr="00D05FD6">
              <w:rPr>
                <w:rStyle w:val="Hyperlnk"/>
                <w:noProof/>
              </w:rPr>
              <w:t>Preparation of the Fourth Euro-African Ministerial Conference on Migration and Development (Rome, 27 November 2014)</w:t>
            </w:r>
            <w:r w:rsidR="009C6D6C">
              <w:rPr>
                <w:noProof/>
                <w:webHidden/>
              </w:rPr>
              <w:tab/>
            </w:r>
            <w:r w:rsidR="009C6D6C">
              <w:rPr>
                <w:noProof/>
                <w:webHidden/>
              </w:rPr>
              <w:fldChar w:fldCharType="begin"/>
            </w:r>
            <w:r w:rsidR="009C6D6C">
              <w:rPr>
                <w:noProof/>
                <w:webHidden/>
              </w:rPr>
              <w:instrText xml:space="preserve"> PAGEREF _Toc403634248 \h </w:instrText>
            </w:r>
            <w:r w:rsidR="009C6D6C">
              <w:rPr>
                <w:noProof/>
                <w:webHidden/>
              </w:rPr>
            </w:r>
            <w:r w:rsidR="009C6D6C">
              <w:rPr>
                <w:noProof/>
                <w:webHidden/>
              </w:rPr>
              <w:fldChar w:fldCharType="separate"/>
            </w:r>
            <w:r w:rsidR="009C6D6C">
              <w:rPr>
                <w:noProof/>
                <w:webHidden/>
              </w:rPr>
              <w:t>16</w:t>
            </w:r>
            <w:r w:rsidR="009C6D6C">
              <w:rPr>
                <w:noProof/>
                <w:webHidden/>
              </w:rPr>
              <w:fldChar w:fldCharType="end"/>
            </w:r>
          </w:hyperlink>
        </w:p>
        <w:p w14:paraId="45C8FD5F" w14:textId="77777777" w:rsidR="009C6D6C" w:rsidRDefault="00E87DF9">
          <w:pPr>
            <w:pStyle w:val="Innehll1"/>
            <w:tabs>
              <w:tab w:val="left" w:pos="660"/>
              <w:tab w:val="right" w:leader="dot" w:pos="9062"/>
            </w:tabs>
            <w:rPr>
              <w:rFonts w:asciiTheme="minorHAnsi" w:eastAsiaTheme="minorEastAsia" w:hAnsiTheme="minorHAnsi" w:cstheme="minorBidi"/>
              <w:noProof/>
              <w:lang w:eastAsia="sv-SE"/>
            </w:rPr>
          </w:pPr>
          <w:hyperlink w:anchor="_Toc403634249" w:history="1">
            <w:r w:rsidR="009C6D6C" w:rsidRPr="00D05FD6">
              <w:rPr>
                <w:rStyle w:val="Hyperlnk"/>
                <w:noProof/>
              </w:rPr>
              <w:t>29.</w:t>
            </w:r>
            <w:r w:rsidR="009C6D6C">
              <w:rPr>
                <w:rFonts w:asciiTheme="minorHAnsi" w:eastAsiaTheme="minorEastAsia" w:hAnsiTheme="minorHAnsi" w:cstheme="minorBidi"/>
                <w:noProof/>
                <w:lang w:eastAsia="sv-SE"/>
              </w:rPr>
              <w:tab/>
            </w:r>
            <w:r w:rsidR="009C6D6C" w:rsidRPr="00D05FD6">
              <w:rPr>
                <w:rStyle w:val="Hyperlnk"/>
                <w:noProof/>
              </w:rPr>
              <w:t>Preparation of the Ministerial Conference of the Khartoum process (Rome, 28 November 2014)</w:t>
            </w:r>
            <w:r w:rsidR="009C6D6C">
              <w:rPr>
                <w:noProof/>
                <w:webHidden/>
              </w:rPr>
              <w:tab/>
            </w:r>
            <w:r w:rsidR="009C6D6C">
              <w:rPr>
                <w:noProof/>
                <w:webHidden/>
              </w:rPr>
              <w:fldChar w:fldCharType="begin"/>
            </w:r>
            <w:r w:rsidR="009C6D6C">
              <w:rPr>
                <w:noProof/>
                <w:webHidden/>
              </w:rPr>
              <w:instrText xml:space="preserve"> PAGEREF _Toc403634249 \h </w:instrText>
            </w:r>
            <w:r w:rsidR="009C6D6C">
              <w:rPr>
                <w:noProof/>
                <w:webHidden/>
              </w:rPr>
            </w:r>
            <w:r w:rsidR="009C6D6C">
              <w:rPr>
                <w:noProof/>
                <w:webHidden/>
              </w:rPr>
              <w:fldChar w:fldCharType="separate"/>
            </w:r>
            <w:r w:rsidR="009C6D6C">
              <w:rPr>
                <w:noProof/>
                <w:webHidden/>
              </w:rPr>
              <w:t>16</w:t>
            </w:r>
            <w:r w:rsidR="009C6D6C">
              <w:rPr>
                <w:noProof/>
                <w:webHidden/>
              </w:rPr>
              <w:fldChar w:fldCharType="end"/>
            </w:r>
          </w:hyperlink>
        </w:p>
        <w:p w14:paraId="4AAD0F03" w14:textId="77777777" w:rsidR="009C6D6C" w:rsidRDefault="00E87DF9">
          <w:pPr>
            <w:pStyle w:val="Innehll1"/>
            <w:tabs>
              <w:tab w:val="left" w:pos="660"/>
              <w:tab w:val="right" w:leader="dot" w:pos="9062"/>
            </w:tabs>
            <w:rPr>
              <w:rFonts w:asciiTheme="minorHAnsi" w:eastAsiaTheme="minorEastAsia" w:hAnsiTheme="minorHAnsi" w:cstheme="minorBidi"/>
              <w:noProof/>
              <w:lang w:eastAsia="sv-SE"/>
            </w:rPr>
          </w:pPr>
          <w:hyperlink w:anchor="_Toc403634250" w:history="1">
            <w:r w:rsidR="009C6D6C" w:rsidRPr="00D05FD6">
              <w:rPr>
                <w:rStyle w:val="Hyperlnk"/>
                <w:noProof/>
              </w:rPr>
              <w:t>30.</w:t>
            </w:r>
            <w:r w:rsidR="009C6D6C">
              <w:rPr>
                <w:rFonts w:asciiTheme="minorHAnsi" w:eastAsiaTheme="minorEastAsia" w:hAnsiTheme="minorHAnsi" w:cstheme="minorBidi"/>
                <w:noProof/>
                <w:lang w:eastAsia="sv-SE"/>
              </w:rPr>
              <w:tab/>
            </w:r>
            <w:r w:rsidR="009C6D6C" w:rsidRPr="00D05FD6">
              <w:rPr>
                <w:rStyle w:val="Hyperlnk"/>
                <w:noProof/>
              </w:rPr>
              <w:t>Schengen evaluation of CZ/EE/HU/LT/LV/MT/PL/SI/SK - Draft Council conclusions on the follow-up to the Schengen evaluation conducted in 2012-2013-2014</w:t>
            </w:r>
            <w:r w:rsidR="009C6D6C">
              <w:rPr>
                <w:noProof/>
                <w:webHidden/>
              </w:rPr>
              <w:tab/>
            </w:r>
            <w:r w:rsidR="009C6D6C">
              <w:rPr>
                <w:noProof/>
                <w:webHidden/>
              </w:rPr>
              <w:fldChar w:fldCharType="begin"/>
            </w:r>
            <w:r w:rsidR="009C6D6C">
              <w:rPr>
                <w:noProof/>
                <w:webHidden/>
              </w:rPr>
              <w:instrText xml:space="preserve"> PAGEREF _Toc403634250 \h </w:instrText>
            </w:r>
            <w:r w:rsidR="009C6D6C">
              <w:rPr>
                <w:noProof/>
                <w:webHidden/>
              </w:rPr>
            </w:r>
            <w:r w:rsidR="009C6D6C">
              <w:rPr>
                <w:noProof/>
                <w:webHidden/>
              </w:rPr>
              <w:fldChar w:fldCharType="separate"/>
            </w:r>
            <w:r w:rsidR="009C6D6C">
              <w:rPr>
                <w:noProof/>
                <w:webHidden/>
              </w:rPr>
              <w:t>17</w:t>
            </w:r>
            <w:r w:rsidR="009C6D6C">
              <w:rPr>
                <w:noProof/>
                <w:webHidden/>
              </w:rPr>
              <w:fldChar w:fldCharType="end"/>
            </w:r>
          </w:hyperlink>
        </w:p>
        <w:p w14:paraId="6C25B656" w14:textId="77777777" w:rsidR="009C6D6C" w:rsidRDefault="00E87DF9">
          <w:pPr>
            <w:pStyle w:val="Innehll1"/>
            <w:tabs>
              <w:tab w:val="left" w:pos="660"/>
              <w:tab w:val="right" w:leader="dot" w:pos="9062"/>
            </w:tabs>
            <w:rPr>
              <w:rFonts w:asciiTheme="minorHAnsi" w:eastAsiaTheme="minorEastAsia" w:hAnsiTheme="minorHAnsi" w:cstheme="minorBidi"/>
              <w:noProof/>
              <w:lang w:eastAsia="sv-SE"/>
            </w:rPr>
          </w:pPr>
          <w:hyperlink w:anchor="_Toc403634251" w:history="1">
            <w:r w:rsidR="009C6D6C" w:rsidRPr="00D05FD6">
              <w:rPr>
                <w:rStyle w:val="Hyperlnk"/>
                <w:noProof/>
              </w:rPr>
              <w:t>31.</w:t>
            </w:r>
            <w:r w:rsidR="009C6D6C">
              <w:rPr>
                <w:rFonts w:asciiTheme="minorHAnsi" w:eastAsiaTheme="minorEastAsia" w:hAnsiTheme="minorHAnsi" w:cstheme="minorBidi"/>
                <w:noProof/>
                <w:lang w:eastAsia="sv-SE"/>
              </w:rPr>
              <w:tab/>
            </w:r>
            <w:r w:rsidR="009C6D6C" w:rsidRPr="00D05FD6">
              <w:rPr>
                <w:rStyle w:val="Hyperlnk"/>
                <w:noProof/>
              </w:rPr>
              <w:t>Schengen evaluation of Switzerland - Draft Council conclusions on the evaluation of the correct application of the Schengen acquis including follow-up</w:t>
            </w:r>
            <w:r w:rsidR="009C6D6C">
              <w:rPr>
                <w:noProof/>
                <w:webHidden/>
              </w:rPr>
              <w:tab/>
            </w:r>
            <w:r w:rsidR="009C6D6C">
              <w:rPr>
                <w:noProof/>
                <w:webHidden/>
              </w:rPr>
              <w:fldChar w:fldCharType="begin"/>
            </w:r>
            <w:r w:rsidR="009C6D6C">
              <w:rPr>
                <w:noProof/>
                <w:webHidden/>
              </w:rPr>
              <w:instrText xml:space="preserve"> PAGEREF _Toc403634251 \h </w:instrText>
            </w:r>
            <w:r w:rsidR="009C6D6C">
              <w:rPr>
                <w:noProof/>
                <w:webHidden/>
              </w:rPr>
            </w:r>
            <w:r w:rsidR="009C6D6C">
              <w:rPr>
                <w:noProof/>
                <w:webHidden/>
              </w:rPr>
              <w:fldChar w:fldCharType="separate"/>
            </w:r>
            <w:r w:rsidR="009C6D6C">
              <w:rPr>
                <w:noProof/>
                <w:webHidden/>
              </w:rPr>
              <w:t>18</w:t>
            </w:r>
            <w:r w:rsidR="009C6D6C">
              <w:rPr>
                <w:noProof/>
                <w:webHidden/>
              </w:rPr>
              <w:fldChar w:fldCharType="end"/>
            </w:r>
          </w:hyperlink>
        </w:p>
        <w:p w14:paraId="7DD0EFAF" w14:textId="77777777" w:rsidR="009C6D6C" w:rsidRDefault="00E87DF9">
          <w:pPr>
            <w:pStyle w:val="Innehll1"/>
            <w:tabs>
              <w:tab w:val="left" w:pos="660"/>
              <w:tab w:val="right" w:leader="dot" w:pos="9062"/>
            </w:tabs>
            <w:rPr>
              <w:rFonts w:asciiTheme="minorHAnsi" w:eastAsiaTheme="minorEastAsia" w:hAnsiTheme="minorHAnsi" w:cstheme="minorBidi"/>
              <w:noProof/>
              <w:lang w:eastAsia="sv-SE"/>
            </w:rPr>
          </w:pPr>
          <w:hyperlink w:anchor="_Toc403634252" w:history="1">
            <w:r w:rsidR="009C6D6C" w:rsidRPr="00D05FD6">
              <w:rPr>
                <w:rStyle w:val="Hyperlnk"/>
                <w:noProof/>
              </w:rPr>
              <w:t>32.</w:t>
            </w:r>
            <w:r w:rsidR="009C6D6C">
              <w:rPr>
                <w:rFonts w:asciiTheme="minorHAnsi" w:eastAsiaTheme="minorEastAsia" w:hAnsiTheme="minorHAnsi" w:cstheme="minorBidi"/>
                <w:noProof/>
                <w:lang w:eastAsia="sv-SE"/>
              </w:rPr>
              <w:tab/>
            </w:r>
            <w:r w:rsidR="009C6D6C" w:rsidRPr="00D05FD6">
              <w:rPr>
                <w:rStyle w:val="Hyperlnk"/>
                <w:noProof/>
              </w:rPr>
              <w:t>Report by the Head of the European Defence Agency to the Council</w:t>
            </w:r>
            <w:r w:rsidR="009C6D6C">
              <w:rPr>
                <w:noProof/>
                <w:webHidden/>
              </w:rPr>
              <w:tab/>
            </w:r>
            <w:r w:rsidR="009C6D6C">
              <w:rPr>
                <w:noProof/>
                <w:webHidden/>
              </w:rPr>
              <w:fldChar w:fldCharType="begin"/>
            </w:r>
            <w:r w:rsidR="009C6D6C">
              <w:rPr>
                <w:noProof/>
                <w:webHidden/>
              </w:rPr>
              <w:instrText xml:space="preserve"> PAGEREF _Toc403634252 \h </w:instrText>
            </w:r>
            <w:r w:rsidR="009C6D6C">
              <w:rPr>
                <w:noProof/>
                <w:webHidden/>
              </w:rPr>
            </w:r>
            <w:r w:rsidR="009C6D6C">
              <w:rPr>
                <w:noProof/>
                <w:webHidden/>
              </w:rPr>
              <w:fldChar w:fldCharType="separate"/>
            </w:r>
            <w:r w:rsidR="009C6D6C">
              <w:rPr>
                <w:noProof/>
                <w:webHidden/>
              </w:rPr>
              <w:t>18</w:t>
            </w:r>
            <w:r w:rsidR="009C6D6C">
              <w:rPr>
                <w:noProof/>
                <w:webHidden/>
              </w:rPr>
              <w:fldChar w:fldCharType="end"/>
            </w:r>
          </w:hyperlink>
        </w:p>
        <w:p w14:paraId="0E24E091" w14:textId="77777777" w:rsidR="006D069E" w:rsidRDefault="006D069E">
          <w:r>
            <w:rPr>
              <w:b/>
              <w:bCs/>
              <w:noProof/>
            </w:rPr>
            <w:fldChar w:fldCharType="end"/>
          </w:r>
        </w:p>
      </w:sdtContent>
    </w:sdt>
    <w:p w14:paraId="0E24E092" w14:textId="77777777" w:rsidR="006D069E" w:rsidRDefault="006D069E">
      <w:pPr>
        <w:ind w:left="0"/>
      </w:pPr>
      <w:r>
        <w:br w:type="page"/>
      </w:r>
    </w:p>
    <w:p w14:paraId="0E24E093" w14:textId="77777777" w:rsidR="006D069E" w:rsidRDefault="006D069E" w:rsidP="006D069E">
      <w:pPr>
        <w:pStyle w:val="Rubrik1"/>
        <w:numPr>
          <w:ilvl w:val="0"/>
          <w:numId w:val="0"/>
        </w:numPr>
      </w:pPr>
      <w:bookmarkStart w:id="1" w:name="_Toc364854645"/>
    </w:p>
    <w:p w14:paraId="0E24E094" w14:textId="77777777" w:rsidR="006D069E" w:rsidRPr="00E87DF9" w:rsidRDefault="006D069E" w:rsidP="00594BAA">
      <w:pPr>
        <w:pStyle w:val="Rubrik1"/>
        <w:ind w:left="709" w:firstLine="0"/>
        <w:rPr>
          <w:lang w:val="en-US"/>
        </w:rPr>
      </w:pPr>
      <w:bookmarkStart w:id="2" w:name="_Toc403634221"/>
      <w:r w:rsidRPr="00E87DF9">
        <w:rPr>
          <w:noProof/>
          <w:lang w:val="en-US"/>
        </w:rPr>
        <w:t>Opinion</w:t>
      </w:r>
      <w:r w:rsidRPr="00E87DF9">
        <w:rPr>
          <w:lang w:val="en-US"/>
        </w:rPr>
        <w:t xml:space="preserve"> 1/13 of the Court of 14 October 2014</w:t>
      </w:r>
      <w:bookmarkEnd w:id="2"/>
    </w:p>
    <w:p w14:paraId="0E24E095" w14:textId="77777777" w:rsidR="006D069E" w:rsidRPr="00E87DF9" w:rsidRDefault="006D069E" w:rsidP="006D069E">
      <w:r w:rsidRPr="00E87DF9">
        <w:rPr>
          <w:noProof/>
        </w:rPr>
        <w:t>15098</w:t>
      </w:r>
      <w:r w:rsidRPr="00E87DF9">
        <w:t>/14 JUR 811 JUSTCIV 276 JAIEX 78 RELEX 890</w:t>
      </w:r>
    </w:p>
    <w:p w14:paraId="0E24E096" w14:textId="685870AD" w:rsidR="006D069E" w:rsidRDefault="006D069E" w:rsidP="006D069E">
      <w:r>
        <w:rPr>
          <w:b/>
        </w:rPr>
        <w:t xml:space="preserve">Ansvarigt statsråd: </w:t>
      </w:r>
      <w:r>
        <w:rPr>
          <w:noProof/>
        </w:rPr>
        <w:t>Margot</w:t>
      </w:r>
      <w:r>
        <w:t xml:space="preserve"> Wallström</w:t>
      </w:r>
    </w:p>
    <w:p w14:paraId="0E24E099" w14:textId="12C6E66D" w:rsidR="006D069E" w:rsidRDefault="006D069E" w:rsidP="006D069E">
      <w:r>
        <w:t>Föranleder ingen annotering.</w:t>
      </w:r>
    </w:p>
    <w:p w14:paraId="0E24E09A" w14:textId="77777777" w:rsidR="006D069E" w:rsidRPr="00E87DF9" w:rsidRDefault="006D069E" w:rsidP="00594BAA">
      <w:pPr>
        <w:pStyle w:val="Rubrik1"/>
        <w:ind w:left="709" w:firstLine="0"/>
        <w:rPr>
          <w:lang w:val="en-US"/>
        </w:rPr>
      </w:pPr>
      <w:bookmarkStart w:id="3" w:name="_Toc403634222"/>
      <w:r w:rsidRPr="00E87DF9">
        <w:rPr>
          <w:noProof/>
          <w:lang w:val="en-US"/>
        </w:rPr>
        <w:t>Case</w:t>
      </w:r>
      <w:r w:rsidRPr="00E87DF9">
        <w:rPr>
          <w:lang w:val="en-US"/>
        </w:rPr>
        <w:t xml:space="preserve"> T-434/14, S. Arbuzov v. Council</w:t>
      </w:r>
      <w:r w:rsidRPr="00E87DF9">
        <w:rPr>
          <w:lang w:val="en-US"/>
        </w:rPr>
        <w:br/>
        <w:t>Case T-486/14, E. Stavytskyi v. Council</w:t>
      </w:r>
      <w:r w:rsidRPr="00E87DF9">
        <w:rPr>
          <w:lang w:val="en-US"/>
        </w:rPr>
        <w:br/>
        <w:t>Case T-494/14, O. Klymenko v. Council</w:t>
      </w:r>
      <w:bookmarkEnd w:id="3"/>
    </w:p>
    <w:p w14:paraId="0E24E09B" w14:textId="77777777" w:rsidR="006D069E" w:rsidRPr="00E87DF9" w:rsidRDefault="006D069E" w:rsidP="006D069E">
      <w:r w:rsidRPr="00E87DF9">
        <w:rPr>
          <w:noProof/>
        </w:rPr>
        <w:t>15119</w:t>
      </w:r>
      <w:r w:rsidRPr="00E87DF9">
        <w:t>/14 JUR 813 RELEX 892 COEST 407</w:t>
      </w:r>
    </w:p>
    <w:p w14:paraId="0E24E09C" w14:textId="7E5B3B83" w:rsidR="006D069E" w:rsidRDefault="006D069E" w:rsidP="006D069E">
      <w:r>
        <w:rPr>
          <w:b/>
        </w:rPr>
        <w:t xml:space="preserve">Ansvarigt statsråd: </w:t>
      </w:r>
      <w:r>
        <w:rPr>
          <w:noProof/>
        </w:rPr>
        <w:t>Margot</w:t>
      </w:r>
      <w:r>
        <w:t xml:space="preserve"> Wallström</w:t>
      </w:r>
    </w:p>
    <w:p w14:paraId="0E24E09F" w14:textId="7152A8E2" w:rsidR="006D069E" w:rsidRDefault="006D069E" w:rsidP="006D069E">
      <w:r>
        <w:t>Föranleder ingen annotering.</w:t>
      </w:r>
    </w:p>
    <w:p w14:paraId="0E24E0A0" w14:textId="77777777" w:rsidR="006D069E" w:rsidRPr="00E87DF9" w:rsidRDefault="006D069E" w:rsidP="00594BAA">
      <w:pPr>
        <w:pStyle w:val="Rubrik1"/>
        <w:ind w:left="709" w:firstLine="142"/>
        <w:rPr>
          <w:lang w:val="en-US"/>
        </w:rPr>
      </w:pPr>
      <w:bookmarkStart w:id="4" w:name="_Toc403634223"/>
      <w:r w:rsidRPr="00E87DF9">
        <w:rPr>
          <w:noProof/>
          <w:lang w:val="en-US"/>
        </w:rPr>
        <w:t>Case</w:t>
      </w:r>
      <w:r w:rsidRPr="00E87DF9">
        <w:rPr>
          <w:lang w:val="en-US"/>
        </w:rPr>
        <w:t xml:space="preserve"> before the General Court</w:t>
      </w:r>
      <w:r w:rsidRPr="00E87DF9">
        <w:rPr>
          <w:lang w:val="en-US"/>
        </w:rPr>
        <w:br/>
        <w:t>=Case T-737/14 (Bank for Development and Foreign Economic Affairs) (Vnesheconombank) against the Council</w:t>
      </w:r>
      <w:bookmarkEnd w:id="4"/>
    </w:p>
    <w:p w14:paraId="0E24E0A1" w14:textId="77777777" w:rsidR="006D069E" w:rsidRDefault="006D069E" w:rsidP="006D069E">
      <w:pPr>
        <w:rPr>
          <w:lang w:val="en-US"/>
        </w:rPr>
      </w:pPr>
      <w:r>
        <w:rPr>
          <w:noProof/>
          <w:lang w:val="en-US"/>
        </w:rPr>
        <w:t>15230</w:t>
      </w:r>
      <w:r>
        <w:rPr>
          <w:lang w:val="en-US"/>
        </w:rPr>
        <w:t>/14 JUR 824 RELEX 901 PESC 1142 COMEM 202 CONOP 107</w:t>
      </w:r>
    </w:p>
    <w:p w14:paraId="0E24E0A2" w14:textId="2D1E7845" w:rsidR="006D069E" w:rsidRDefault="006D069E" w:rsidP="006D069E">
      <w:r>
        <w:rPr>
          <w:b/>
        </w:rPr>
        <w:t xml:space="preserve">Ansvarigt statsråd: </w:t>
      </w:r>
      <w:r>
        <w:rPr>
          <w:noProof/>
        </w:rPr>
        <w:t>Margot</w:t>
      </w:r>
      <w:r>
        <w:t xml:space="preserve"> Wallström</w:t>
      </w:r>
    </w:p>
    <w:p w14:paraId="0E24E0A5" w14:textId="2F786EAD" w:rsidR="006D069E" w:rsidRDefault="006D069E" w:rsidP="006D069E">
      <w:r>
        <w:t>Föranleder ingen annotering.</w:t>
      </w:r>
    </w:p>
    <w:p w14:paraId="0E24E0A6" w14:textId="77777777" w:rsidR="006D069E" w:rsidRPr="00E87DF9" w:rsidRDefault="006D069E" w:rsidP="00594BAA">
      <w:pPr>
        <w:pStyle w:val="Rubrik1"/>
        <w:ind w:left="709" w:firstLine="0"/>
        <w:rPr>
          <w:lang w:val="en-US"/>
        </w:rPr>
      </w:pPr>
      <w:bookmarkStart w:id="5" w:name="_Toc403634224"/>
      <w:r w:rsidRPr="00E87DF9">
        <w:rPr>
          <w:noProof/>
          <w:lang w:val="en-US"/>
        </w:rPr>
        <w:t>Case</w:t>
      </w:r>
      <w:r w:rsidRPr="00E87DF9">
        <w:rPr>
          <w:lang w:val="en-US"/>
        </w:rPr>
        <w:t xml:space="preserve"> before the General Court</w:t>
      </w:r>
      <w:r w:rsidRPr="00E87DF9">
        <w:rPr>
          <w:lang w:val="en-US"/>
        </w:rPr>
        <w:br/>
        <w:t>=Case T-739/14 (PSC Prominvestbank, Joint-Stock Commercial Industrial &amp;amp; Investment Bank) against the Council</w:t>
      </w:r>
      <w:bookmarkEnd w:id="5"/>
    </w:p>
    <w:p w14:paraId="0E24E0A7" w14:textId="77777777" w:rsidR="006D069E" w:rsidRDefault="006D069E" w:rsidP="006D069E">
      <w:pPr>
        <w:rPr>
          <w:lang w:val="en-US"/>
        </w:rPr>
      </w:pPr>
      <w:r>
        <w:rPr>
          <w:noProof/>
          <w:lang w:val="en-US"/>
        </w:rPr>
        <w:t>15233</w:t>
      </w:r>
      <w:r>
        <w:rPr>
          <w:lang w:val="en-US"/>
        </w:rPr>
        <w:t>/14 JUR 825 RELEX 902 PESC 1143 COMEM 203 CONOP 108</w:t>
      </w:r>
    </w:p>
    <w:p w14:paraId="0E24E0A8" w14:textId="66D5E05C" w:rsidR="006D069E" w:rsidRDefault="006D069E" w:rsidP="006D069E">
      <w:r>
        <w:rPr>
          <w:b/>
        </w:rPr>
        <w:t xml:space="preserve">Ansvarigt statsråd: </w:t>
      </w:r>
      <w:r>
        <w:rPr>
          <w:noProof/>
        </w:rPr>
        <w:t>Margot</w:t>
      </w:r>
      <w:r>
        <w:t xml:space="preserve"> Wallström</w:t>
      </w:r>
    </w:p>
    <w:p w14:paraId="0E24E0AD" w14:textId="35E139B8" w:rsidR="006D069E" w:rsidRDefault="006D069E" w:rsidP="006D069E">
      <w:pPr>
        <w:rPr>
          <w:noProof/>
        </w:rPr>
      </w:pPr>
      <w:r>
        <w:t>Föranleder ingen annotering.</w:t>
      </w:r>
    </w:p>
    <w:p w14:paraId="0E24E0B4" w14:textId="77777777" w:rsidR="006D069E" w:rsidRPr="00E87DF9" w:rsidRDefault="006D069E" w:rsidP="00594BAA">
      <w:pPr>
        <w:pStyle w:val="Rubrik1"/>
        <w:ind w:left="709" w:firstLine="0"/>
        <w:rPr>
          <w:lang w:val="en-US"/>
        </w:rPr>
      </w:pPr>
      <w:bookmarkStart w:id="6" w:name="_Toc403634225"/>
      <w:r w:rsidRPr="00E87DF9">
        <w:rPr>
          <w:noProof/>
          <w:lang w:val="en-US"/>
        </w:rPr>
        <w:t>Resolutions,</w:t>
      </w:r>
      <w:r w:rsidRPr="00E87DF9">
        <w:rPr>
          <w:lang w:val="en-US"/>
        </w:rPr>
        <w:t xml:space="preserve"> decisions and opinions adopted by the European Parliament at its part-session in Strasbourg from 20 to 23 October 2014</w:t>
      </w:r>
      <w:bookmarkEnd w:id="6"/>
    </w:p>
    <w:p w14:paraId="0E24E0B5" w14:textId="77777777" w:rsidR="006D069E" w:rsidRPr="00E87DF9" w:rsidRDefault="006D069E" w:rsidP="006D069E">
      <w:r w:rsidRPr="00E87DF9">
        <w:rPr>
          <w:noProof/>
        </w:rPr>
        <w:t>14834</w:t>
      </w:r>
      <w:r w:rsidRPr="00E87DF9">
        <w:t>/14 PE-RE 13</w:t>
      </w:r>
    </w:p>
    <w:p w14:paraId="0E24E0B6" w14:textId="56AD6EDF" w:rsidR="006D069E" w:rsidRDefault="006D069E" w:rsidP="006D069E">
      <w:r>
        <w:rPr>
          <w:b/>
        </w:rPr>
        <w:t xml:space="preserve">Ansvarigt statsråd: </w:t>
      </w:r>
      <w:r>
        <w:t>Margot Wallström</w:t>
      </w:r>
    </w:p>
    <w:p w14:paraId="6F814CA2" w14:textId="77777777" w:rsidR="006D069E" w:rsidRDefault="006D069E" w:rsidP="006D069E">
      <w:r>
        <w:t>Föranleder ingen annotering.</w:t>
      </w:r>
    </w:p>
    <w:p w14:paraId="0E24E0B9" w14:textId="48415EE3" w:rsidR="006D069E" w:rsidRDefault="006D069E" w:rsidP="006D069E">
      <w:pPr>
        <w:ind w:left="0"/>
      </w:pPr>
      <w:r>
        <w:br w:type="page"/>
      </w:r>
    </w:p>
    <w:p w14:paraId="0E24E0BA" w14:textId="77777777" w:rsidR="006D069E" w:rsidRPr="00E87DF9" w:rsidRDefault="006D069E" w:rsidP="00594BAA">
      <w:pPr>
        <w:pStyle w:val="Rubrik1"/>
        <w:ind w:left="709" w:firstLine="0"/>
        <w:rPr>
          <w:lang w:val="en-US"/>
        </w:rPr>
      </w:pPr>
      <w:bookmarkStart w:id="7" w:name="_Toc403634226"/>
      <w:r w:rsidRPr="00E87DF9">
        <w:rPr>
          <w:noProof/>
          <w:lang w:val="en-US"/>
        </w:rPr>
        <w:lastRenderedPageBreak/>
        <w:t>Draft</w:t>
      </w:r>
      <w:r w:rsidRPr="00E87DF9">
        <w:rPr>
          <w:lang w:val="en-US"/>
        </w:rPr>
        <w:t xml:space="preserve"> Council Conclusions on the Court of Auditors' Special Report n° 7/2014 entitled "has the ERDF successfully supported the development of business incubators ?"</w:t>
      </w:r>
      <w:bookmarkEnd w:id="7"/>
    </w:p>
    <w:p w14:paraId="0E24E0BB" w14:textId="77777777" w:rsidR="006D069E" w:rsidRDefault="006D069E" w:rsidP="006D069E">
      <w:pPr>
        <w:rPr>
          <w:lang w:val="en-US"/>
        </w:rPr>
      </w:pPr>
      <w:r>
        <w:rPr>
          <w:noProof/>
          <w:lang w:val="en-US"/>
        </w:rPr>
        <w:t>14820</w:t>
      </w:r>
      <w:r>
        <w:rPr>
          <w:lang w:val="en-US"/>
        </w:rPr>
        <w:t>/14 FIN 796 FC 44 FSTR 64 REGIO 119 RECH 414</w:t>
      </w:r>
    </w:p>
    <w:p w14:paraId="0E24E0BC" w14:textId="33C106D8" w:rsidR="006D069E" w:rsidRDefault="006D069E" w:rsidP="006D069E">
      <w:r>
        <w:rPr>
          <w:b/>
        </w:rPr>
        <w:t xml:space="preserve">Ansvarigt statsråd: </w:t>
      </w:r>
      <w:r>
        <w:rPr>
          <w:noProof/>
        </w:rPr>
        <w:t>Sven-Erik</w:t>
      </w:r>
      <w:r>
        <w:t xml:space="preserve"> Bucht</w:t>
      </w:r>
    </w:p>
    <w:p w14:paraId="14114159" w14:textId="3821E6FE" w:rsidR="004F23E8" w:rsidRDefault="004F23E8" w:rsidP="004F23E8">
      <w:r w:rsidRPr="00F81DA1">
        <w:rPr>
          <w:b/>
        </w:rPr>
        <w:t>Avsikt med behandling i rådet</w:t>
      </w:r>
      <w:r>
        <w:t>:</w:t>
      </w:r>
      <w:r w:rsidRPr="009225C9">
        <w:t xml:space="preserve"> </w:t>
      </w:r>
      <w:r>
        <w:t>att anta rådsslutsatser om Revisionsrättens rapport nr 7/2014 om ”Har Eruf på ett framgångsrikt sätt stött utvecklingen av förtagsinkubatorer?”</w:t>
      </w:r>
    </w:p>
    <w:p w14:paraId="75049CEA" w14:textId="77777777" w:rsidR="004F23E8" w:rsidRDefault="004F23E8" w:rsidP="004F23E8">
      <w:r w:rsidRPr="00F81DA1">
        <w:rPr>
          <w:b/>
        </w:rPr>
        <w:t>Hur ställer sig regeringen till den blivande A-punkten:</w:t>
      </w:r>
      <w:r>
        <w:t xml:space="preserve"> Regeringen avser att rösta ja till förslaget.</w:t>
      </w:r>
    </w:p>
    <w:p w14:paraId="48C4BED5" w14:textId="77777777" w:rsidR="004F23E8" w:rsidRDefault="004F23E8" w:rsidP="004F23E8">
      <w:r w:rsidRPr="00F81DA1">
        <w:rPr>
          <w:b/>
        </w:rPr>
        <w:t>Bakgrund</w:t>
      </w:r>
      <w:r>
        <w:rPr>
          <w:b/>
        </w:rPr>
        <w:t xml:space="preserve">: </w:t>
      </w:r>
      <w:r>
        <w:t>Revisionsrättens har granskat 27 inkubatorer i 4 medlemsländer som hade fått stöd från Eruf. De fann bl.a. att de till stor del har kunnat anpassa sig till företagens behov och att de hade färdigställts inom planerade budgetramar. Resultaten när det gäller nya företag och skapade arbetstillfällen var dock lägre än andra jämförbara inkubatorer. Därför rekommenderar revisionsrätten bl.a. att stödet till inkubatorer ska baseras på realistiska och detaljerade affärsplaner med individuellt stöd till potentiella entreprenörer. Vidare behöver stödet tydligare kopplas till förväntade resultat. Det är också en viktig uppgift för kommissionen att sprida kunskap och bidra till erfarenhetsutbyte mellan inkubatorer i medlemsländerna.</w:t>
      </w:r>
    </w:p>
    <w:p w14:paraId="0E24E0C9" w14:textId="77777777" w:rsidR="006D069E" w:rsidRPr="00E87DF9" w:rsidRDefault="006D069E" w:rsidP="00594BAA">
      <w:pPr>
        <w:pStyle w:val="Rubrik1"/>
        <w:ind w:left="709" w:firstLine="0"/>
        <w:rPr>
          <w:lang w:val="en-US"/>
        </w:rPr>
      </w:pPr>
      <w:bookmarkStart w:id="8" w:name="_Toc403634227"/>
      <w:r w:rsidRPr="00E87DF9">
        <w:rPr>
          <w:noProof/>
          <w:lang w:val="en-US"/>
        </w:rPr>
        <w:t>Proposal</w:t>
      </w:r>
      <w:r w:rsidRPr="00E87DF9">
        <w:rPr>
          <w:lang w:val="en-US"/>
        </w:rPr>
        <w:t xml:space="preserve"> for transfer of appropriations n° DEC 41/2014 within Section III - Commission - of the general budget for 2014</w:t>
      </w:r>
      <w:bookmarkEnd w:id="8"/>
    </w:p>
    <w:p w14:paraId="0E24E0CA" w14:textId="77777777" w:rsidR="006D069E" w:rsidRPr="00E87DF9" w:rsidRDefault="006D069E" w:rsidP="006D069E">
      <w:r w:rsidRPr="00E87DF9">
        <w:rPr>
          <w:noProof/>
        </w:rPr>
        <w:t>15082</w:t>
      </w:r>
      <w:r w:rsidRPr="00E87DF9">
        <w:t>/14 FIN 821 INST 543 PE-L 74</w:t>
      </w:r>
    </w:p>
    <w:p w14:paraId="0E24E0CB" w14:textId="1F186620" w:rsidR="006D069E" w:rsidRDefault="006D069E" w:rsidP="006D069E">
      <w:r>
        <w:rPr>
          <w:b/>
        </w:rPr>
        <w:t>Ansvarigt statsråd</w:t>
      </w:r>
      <w:r w:rsidR="002F0B51">
        <w:rPr>
          <w:b/>
        </w:rPr>
        <w:t xml:space="preserve">: </w:t>
      </w:r>
      <w:r>
        <w:rPr>
          <w:noProof/>
        </w:rPr>
        <w:t>Magdalena</w:t>
      </w:r>
      <w:r>
        <w:t xml:space="preserve"> Andersson</w:t>
      </w:r>
    </w:p>
    <w:p w14:paraId="0E24E0CE" w14:textId="5CF4DE7F" w:rsidR="006D069E" w:rsidRDefault="006D069E" w:rsidP="006D069E">
      <w:r>
        <w:rPr>
          <w:b/>
          <w:bCs/>
        </w:rPr>
        <w:t xml:space="preserve">Avsikt med behandlingen i rådet: </w:t>
      </w:r>
      <w:r>
        <w:t xml:space="preserve">Syftet med behandlingen är Coreper att enas om att föreslå för rådet att anta överföringen </w:t>
      </w:r>
    </w:p>
    <w:p w14:paraId="0E24E0CF" w14:textId="77777777" w:rsidR="001338D9" w:rsidRDefault="006D069E">
      <w:pPr>
        <w:spacing w:after="280" w:afterAutospacing="1"/>
      </w:pPr>
      <w:r>
        <w:rPr>
          <w:b/>
          <w:bCs/>
        </w:rPr>
        <w:t>Hur regeringen ställer sig till den blivande A-punkten:</w:t>
      </w:r>
      <w:r>
        <w:t xml:space="preserve"> Regeringen avser rösta ja till förslaget </w:t>
      </w:r>
    </w:p>
    <w:p w14:paraId="0E24E0D0" w14:textId="77777777" w:rsidR="001338D9" w:rsidRDefault="006D069E">
      <w:pPr>
        <w:spacing w:after="280" w:afterAutospacing="1"/>
      </w:pPr>
      <w:r>
        <w:rPr>
          <w:b/>
          <w:bCs/>
        </w:rPr>
        <w:t xml:space="preserve">Bakgrund: </w:t>
      </w:r>
      <w:r>
        <w:t xml:space="preserve">Förslag till överföring DEC 41/2014 innebär att totalt 16 260 000 euro i icke-differentierade bemyndiganden överförs i den allmänna budgeten: </w:t>
      </w:r>
    </w:p>
    <w:p w14:paraId="0E24E0D1" w14:textId="25CDBF71" w:rsidR="001338D9" w:rsidRPr="00E87DF9" w:rsidRDefault="00877322">
      <w:pPr>
        <w:spacing w:after="280" w:afterAutospacing="1"/>
        <w:rPr>
          <w:lang w:val="en-US"/>
        </w:rPr>
      </w:pPr>
      <w:r w:rsidRPr="00E87DF9">
        <w:rPr>
          <w:lang w:val="en-US"/>
        </w:rPr>
        <w:t>från:</w:t>
      </w:r>
      <w:r w:rsidR="006D069E" w:rsidRPr="00E87DF9">
        <w:rPr>
          <w:lang w:val="en-US"/>
        </w:rPr>
        <w:t xml:space="preserve"> budgetlinjerna XX 01 01 01 01 Remuneration and allowances at headquarters, XX 01 01 01 02 Expenses and allowances related to recruitment and termination of service, transfers och XX 01 01 02 01 Remuneration and allowances Union delegations. </w:t>
      </w:r>
    </w:p>
    <w:p w14:paraId="0E24E0D2" w14:textId="61361CE7" w:rsidR="001338D9" w:rsidRPr="00E87DF9" w:rsidRDefault="006D069E">
      <w:pPr>
        <w:spacing w:after="280" w:afterAutospacing="1"/>
        <w:rPr>
          <w:lang w:val="en-US"/>
        </w:rPr>
      </w:pPr>
      <w:r w:rsidRPr="00E87DF9">
        <w:rPr>
          <w:lang w:val="en-US"/>
        </w:rPr>
        <w:t>till</w:t>
      </w:r>
      <w:r w:rsidR="00877322" w:rsidRPr="00E87DF9">
        <w:rPr>
          <w:lang w:val="en-US"/>
        </w:rPr>
        <w:t>:</w:t>
      </w:r>
      <w:r w:rsidRPr="00E87DF9">
        <w:rPr>
          <w:lang w:val="en-US"/>
        </w:rPr>
        <w:t xml:space="preserve"> budgetlinjerna 30 01 15 01 Pensions, invalidity allowances and severance grants och 30 01 15 03 Weightings and adjustments to pensions and allowances </w:t>
      </w:r>
    </w:p>
    <w:p w14:paraId="0E24E0D4" w14:textId="2BE86C44" w:rsidR="006D069E" w:rsidRDefault="006D069E">
      <w:pPr>
        <w:spacing w:after="280" w:afterAutospacing="1"/>
        <w:rPr>
          <w:noProof/>
        </w:rPr>
      </w:pPr>
      <w:r>
        <w:t>Överföringen motiveras av KOM med att antalet pensionsavgångar under 2014 underskattats (</w:t>
      </w:r>
      <w:r w:rsidR="004F23E8">
        <w:t>omkr.</w:t>
      </w:r>
      <w:r>
        <w:t xml:space="preserve"> 200 personer fler än väntat), vilket lett till högre pensionskostnader än väntat. Därutöver har korrigeringskoefficienten för pensionerade tjänstemän utanför Bryssel och </w:t>
      </w:r>
      <w:r>
        <w:lastRenderedPageBreak/>
        <w:t>Luxemburg ökat. Samtidigt har fler nyrekryteringar inom de lägre tjänstegraderna gjorts än väntat, vilket lett till ett överskott och möjliggör en minskning av anslag för löner.</w:t>
      </w:r>
    </w:p>
    <w:p w14:paraId="0E24E0D5" w14:textId="77777777" w:rsidR="006D069E" w:rsidRPr="00E87DF9" w:rsidRDefault="006D069E" w:rsidP="00594BAA">
      <w:pPr>
        <w:pStyle w:val="Rubrik1"/>
        <w:ind w:left="709" w:firstLine="0"/>
        <w:rPr>
          <w:lang w:val="en-US"/>
        </w:rPr>
      </w:pPr>
      <w:bookmarkStart w:id="9" w:name="_Toc403634228"/>
      <w:r w:rsidRPr="00E87DF9">
        <w:rPr>
          <w:noProof/>
          <w:lang w:val="en-US"/>
        </w:rPr>
        <w:t>Proposal</w:t>
      </w:r>
      <w:r w:rsidRPr="00E87DF9">
        <w:rPr>
          <w:lang w:val="en-US"/>
        </w:rPr>
        <w:t xml:space="preserve"> for transfer of appropriations n° DEC 47/2014 within Section III - Commission - of the general budget for 2014</w:t>
      </w:r>
      <w:bookmarkEnd w:id="9"/>
    </w:p>
    <w:p w14:paraId="0E24E0D6" w14:textId="77777777" w:rsidR="006D069E" w:rsidRPr="00E87DF9" w:rsidRDefault="006D069E" w:rsidP="006D069E">
      <w:r w:rsidRPr="00E87DF9">
        <w:rPr>
          <w:noProof/>
        </w:rPr>
        <w:t>15169</w:t>
      </w:r>
      <w:r w:rsidRPr="00E87DF9">
        <w:t>/14 FIN 827 INST 547 PE-L 77</w:t>
      </w:r>
    </w:p>
    <w:p w14:paraId="0E24E0D7" w14:textId="169E35A7" w:rsidR="006D069E" w:rsidRDefault="006D069E" w:rsidP="006D069E">
      <w:r>
        <w:rPr>
          <w:b/>
        </w:rPr>
        <w:t>Ansvarigt statsråd</w:t>
      </w:r>
      <w:r w:rsidR="00877322">
        <w:rPr>
          <w:b/>
        </w:rPr>
        <w:t xml:space="preserve">: </w:t>
      </w:r>
      <w:r>
        <w:rPr>
          <w:noProof/>
        </w:rPr>
        <w:t>Magdalena</w:t>
      </w:r>
      <w:r>
        <w:t xml:space="preserve"> Andersson</w:t>
      </w:r>
    </w:p>
    <w:p w14:paraId="0E24E0DA" w14:textId="58CC89FE" w:rsidR="006D069E" w:rsidRDefault="006D069E" w:rsidP="006D069E">
      <w:r>
        <w:rPr>
          <w:b/>
          <w:bCs/>
        </w:rPr>
        <w:t>Avsikt med behandlingen i rådet:</w:t>
      </w:r>
      <w:r>
        <w:t xml:space="preserve"> Syftet med behandlingen är Coreper att enas om att föreslå för rådet att anta överfö</w:t>
      </w:r>
      <w:r w:rsidR="00877322">
        <w:t>ringen.</w:t>
      </w:r>
      <w:r>
        <w:t xml:space="preserve"> </w:t>
      </w:r>
    </w:p>
    <w:p w14:paraId="0E24E0DB" w14:textId="77777777" w:rsidR="001338D9" w:rsidRDefault="006D069E">
      <w:pPr>
        <w:spacing w:after="280" w:afterAutospacing="1"/>
      </w:pPr>
      <w:r>
        <w:rPr>
          <w:b/>
          <w:bCs/>
        </w:rPr>
        <w:t>Hur regeringen ställer sig till den blivande A-punkten:</w:t>
      </w:r>
      <w:r>
        <w:t xml:space="preserve"> Regeringen avser rösta ja till förslaget </w:t>
      </w:r>
    </w:p>
    <w:p w14:paraId="0E24E0DC" w14:textId="77777777" w:rsidR="001338D9" w:rsidRDefault="006D069E">
      <w:pPr>
        <w:spacing w:after="280" w:afterAutospacing="1"/>
      </w:pPr>
      <w:r>
        <w:rPr>
          <w:b/>
          <w:bCs/>
        </w:rPr>
        <w:t xml:space="preserve">Bakgrund: </w:t>
      </w:r>
      <w:r>
        <w:t>Reserven för katastrofbistånd är avsedd för att snabb hjälp skall kunna lämnas i syfte att täcka specifika stödbehov i tredjeländer efter händelser som inte kunde förutses när budgeten upprättades, först och främst i form av humanitära insatser, men när omständigheterna så kräver även civil krishantering och skydd i krissituationer. Det årliga åtagandebelopp som ingår i reserven är 280 miljoner euro (i 2011 års priser) för den period som budgetramen gäller.</w:t>
      </w:r>
    </w:p>
    <w:p w14:paraId="0E24E0DD" w14:textId="77777777" w:rsidR="001338D9" w:rsidRDefault="006D069E">
      <w:pPr>
        <w:spacing w:after="280" w:afterAutospacing="1"/>
      </w:pPr>
      <w:r>
        <w:t>Reserven för åtaganden förs in i Europeiska unionens allmänna budget i form av en avsättning. När KOM finner det nödvändigt att använda reserven kommer den att lägga fram ett förslag till budgetmyndighetens två parter om överföring från reserven till berörda budgetposter. Innan KOM lägger fram ett förslag om ianspråktagande av reserven ska emellertid en undersökning av möjligheterna att omfördela anslag att företas.</w:t>
      </w:r>
    </w:p>
    <w:p w14:paraId="0E24E0DE" w14:textId="77777777" w:rsidR="001338D9" w:rsidRDefault="006D069E">
      <w:pPr>
        <w:spacing w:after="280" w:afterAutospacing="1"/>
      </w:pPr>
      <w:r>
        <w:t xml:space="preserve">I DEC 47 föreslår KOM att 17 miljoner euro i åtaganden och betalningar ska tillföras anslaget 23 02 01, Humanitärt bistånd. </w:t>
      </w:r>
    </w:p>
    <w:p w14:paraId="0E24E0E0" w14:textId="4E53D0A8" w:rsidR="006D069E" w:rsidRDefault="006D069E">
      <w:pPr>
        <w:spacing w:after="280" w:afterAutospacing="1"/>
        <w:rPr>
          <w:noProof/>
        </w:rPr>
      </w:pPr>
      <w:r>
        <w:t xml:space="preserve">KOM motiverar överföringen med särskilda behov för stöd av insatser för att bekämpa utbrottet av Ebola i Sierra Leone, Liberia och Guinea. Insatser ska bla. omfatta humanitär hälsa, förebyggande arbete samt samordning av stöd och logistik. </w:t>
      </w:r>
    </w:p>
    <w:p w14:paraId="0E24E0E1" w14:textId="77777777" w:rsidR="006D069E" w:rsidRDefault="006D069E" w:rsidP="00594BAA">
      <w:pPr>
        <w:pStyle w:val="Rubrik1"/>
        <w:ind w:left="709" w:firstLine="0"/>
      </w:pPr>
      <w:bookmarkStart w:id="10" w:name="_Toc403634229"/>
      <w:r>
        <w:rPr>
          <w:noProof/>
        </w:rPr>
        <w:t>European</w:t>
      </w:r>
      <w:r>
        <w:t xml:space="preserve"> Economic Area</w:t>
      </w:r>
      <w:bookmarkEnd w:id="10"/>
    </w:p>
    <w:p w14:paraId="0E24E0E2" w14:textId="77777777" w:rsidR="006D069E" w:rsidRDefault="006D069E" w:rsidP="006D069E">
      <w:pPr>
        <w:rPr>
          <w:lang w:val="en-US"/>
        </w:rPr>
      </w:pPr>
      <w:r>
        <w:rPr>
          <w:noProof/>
          <w:lang w:val="en-US"/>
        </w:rPr>
        <w:t>15167</w:t>
      </w:r>
      <w:r>
        <w:rPr>
          <w:lang w:val="en-US"/>
        </w:rPr>
        <w:t>/14 EEE 77</w:t>
      </w:r>
    </w:p>
    <w:p w14:paraId="0E24E0E3" w14:textId="31A3CE07" w:rsidR="006D069E" w:rsidRDefault="006D069E" w:rsidP="006D069E">
      <w:r>
        <w:rPr>
          <w:b/>
        </w:rPr>
        <w:t>Ansvarigt statsråd</w:t>
      </w:r>
      <w:r w:rsidR="00877322">
        <w:rPr>
          <w:b/>
        </w:rPr>
        <w:t xml:space="preserve">: </w:t>
      </w:r>
      <w:r>
        <w:rPr>
          <w:noProof/>
        </w:rPr>
        <w:t>Margot</w:t>
      </w:r>
      <w:r>
        <w:t xml:space="preserve"> Wallström</w:t>
      </w:r>
    </w:p>
    <w:p w14:paraId="0E24E0E7" w14:textId="6750A726" w:rsidR="001338D9" w:rsidRDefault="006D069E" w:rsidP="00877322">
      <w:r>
        <w:rPr>
          <w:b/>
          <w:bCs/>
        </w:rPr>
        <w:t>Avsikt med behandlingen i rådet:</w:t>
      </w:r>
      <w:r>
        <w:t xml:space="preserve"> Rådet förväntas fatta ett beslut om gemensam ståndpunkt infö</w:t>
      </w:r>
      <w:r w:rsidR="000E407D">
        <w:t>r EES-rådet den 5 november 2014.</w:t>
      </w:r>
    </w:p>
    <w:p w14:paraId="0E24E0E9" w14:textId="75FC7446" w:rsidR="001338D9" w:rsidRDefault="006D069E">
      <w:pPr>
        <w:spacing w:after="280" w:afterAutospacing="1"/>
      </w:pPr>
      <w:r>
        <w:rPr>
          <w:b/>
          <w:bCs/>
        </w:rPr>
        <w:t>Hur regeringen ställer sig till den blivande A-punkten:</w:t>
      </w:r>
      <w:r>
        <w:t xml:space="preserve"> Regeringen avser rösta ja till </w:t>
      </w:r>
      <w:r w:rsidR="000E407D">
        <w:t>förslaget</w:t>
      </w:r>
      <w:r>
        <w:t>.</w:t>
      </w:r>
    </w:p>
    <w:p w14:paraId="0E24E0EC" w14:textId="4F77CFB9" w:rsidR="006D069E" w:rsidRDefault="006D069E">
      <w:pPr>
        <w:spacing w:after="280" w:afterAutospacing="1"/>
        <w:rPr>
          <w:noProof/>
        </w:rPr>
      </w:pPr>
      <w:r>
        <w:rPr>
          <w:b/>
          <w:bCs/>
        </w:rPr>
        <w:t>Bakgrund:</w:t>
      </w:r>
      <w:r w:rsidR="00877322">
        <w:rPr>
          <w:b/>
          <w:bCs/>
        </w:rPr>
        <w:t xml:space="preserve"> </w:t>
      </w:r>
      <w:r>
        <w:t xml:space="preserve">Efter diskussioner i arbetsgruppen kommer Kommissionen att på unionens vägnar bemyndigas godkänna protokollet från det 41:a mötet den 13 maj 2014, samt EES-rådets </w:t>
      </w:r>
      <w:r>
        <w:lastRenderedPageBreak/>
        <w:t>lägesrapport. Möjliga diskussionspunkter vid mötet kan tänkas vara bedömning av hur väl EES-avtalet fungerar, ramen för EU 2030 för klimat och energi EES-kontext samt den gemensamma ståndpunkten inför EES-rådet.</w:t>
      </w:r>
    </w:p>
    <w:p w14:paraId="0E24E0ED" w14:textId="77777777" w:rsidR="006D069E" w:rsidRPr="00E87DF9" w:rsidRDefault="006D069E" w:rsidP="00594BAA">
      <w:pPr>
        <w:pStyle w:val="Rubrik1"/>
        <w:ind w:left="709" w:firstLine="0"/>
        <w:rPr>
          <w:lang w:val="en-US"/>
        </w:rPr>
      </w:pPr>
      <w:bookmarkStart w:id="11" w:name="_Toc403634230"/>
      <w:r w:rsidRPr="00E87DF9">
        <w:rPr>
          <w:noProof/>
          <w:lang w:val="en-US"/>
        </w:rPr>
        <w:t>Council</w:t>
      </w:r>
      <w:r w:rsidRPr="00E87DF9">
        <w:rPr>
          <w:lang w:val="en-US"/>
        </w:rPr>
        <w:t xml:space="preserve"> Decision authorising the Commission to open negotiations with Norway with a view to achieving progressive liberalisation of bilateral trade in agricultural products, in the framework of Article 19 of the Agreement on the European Economic Area</w:t>
      </w:r>
      <w:bookmarkEnd w:id="11"/>
    </w:p>
    <w:p w14:paraId="0E24E0EE" w14:textId="10689234" w:rsidR="006D069E" w:rsidRDefault="006D069E" w:rsidP="006D069E">
      <w:pPr>
        <w:rPr>
          <w:lang w:val="en-US"/>
        </w:rPr>
      </w:pPr>
      <w:r>
        <w:rPr>
          <w:noProof/>
          <w:lang w:val="en-US"/>
        </w:rPr>
        <w:t>12673</w:t>
      </w:r>
      <w:r>
        <w:rPr>
          <w:lang w:val="en-US"/>
        </w:rPr>
        <w:t>/14 N 19 EEE 54 AGRI 548</w:t>
      </w:r>
      <w:r w:rsidR="00877322">
        <w:rPr>
          <w:lang w:val="en-US"/>
        </w:rPr>
        <w:t xml:space="preserve"> </w:t>
      </w:r>
      <w:r>
        <w:rPr>
          <w:lang w:val="en-US"/>
        </w:rPr>
        <w:t>12674/14 N 20 EEE 55 AGRI 549+ ADD 1 REV 2 RESTREINT UE</w:t>
      </w:r>
    </w:p>
    <w:p w14:paraId="0E24E0EF" w14:textId="4D18AD38" w:rsidR="006D069E" w:rsidRDefault="006D069E" w:rsidP="006D069E">
      <w:r>
        <w:rPr>
          <w:b/>
        </w:rPr>
        <w:t>Ansvarigt statsråd</w:t>
      </w:r>
      <w:r w:rsidR="00877322">
        <w:rPr>
          <w:b/>
        </w:rPr>
        <w:t xml:space="preserve">: </w:t>
      </w:r>
      <w:r>
        <w:rPr>
          <w:noProof/>
        </w:rPr>
        <w:t>Margot</w:t>
      </w:r>
      <w:r>
        <w:t xml:space="preserve"> Wallström</w:t>
      </w:r>
    </w:p>
    <w:p w14:paraId="0E24E0F3" w14:textId="2E1CD8AA" w:rsidR="001338D9" w:rsidRDefault="006D069E" w:rsidP="00877322">
      <w:r>
        <w:rPr>
          <w:b/>
          <w:bCs/>
        </w:rPr>
        <w:t>Avsikt med behandlingen i rådet:</w:t>
      </w:r>
      <w:r>
        <w:t xml:space="preserve"> Rådet förväntas fatta ett beslut om bemyndigande för kommissionen att inleda förhandlingar med Norge i syfte att fortsatt li</w:t>
      </w:r>
      <w:r w:rsidR="00C7785A">
        <w:t>b</w:t>
      </w:r>
      <w:r>
        <w:t>eralisera handeln med produkter som faller inom ramen för artikel 19 i EES-avtalet. Det rör främst</w:t>
      </w:r>
      <w:r w:rsidR="00C7785A">
        <w:t xml:space="preserve"> obearbetade jordbruksprodukter.</w:t>
      </w:r>
    </w:p>
    <w:p w14:paraId="0E24E0F5" w14:textId="48024111" w:rsidR="001338D9" w:rsidRDefault="006D069E">
      <w:pPr>
        <w:spacing w:after="280" w:afterAutospacing="1"/>
      </w:pPr>
      <w:r>
        <w:rPr>
          <w:b/>
          <w:bCs/>
        </w:rPr>
        <w:t>Hur regeringen ställer sig till den blivande A-punkten:</w:t>
      </w:r>
      <w:r>
        <w:t xml:space="preserve"> Regeringen avser rösta ja. </w:t>
      </w:r>
    </w:p>
    <w:p w14:paraId="0E24E0F8" w14:textId="26EC3648" w:rsidR="006D069E" w:rsidRDefault="006D069E">
      <w:pPr>
        <w:spacing w:after="280" w:afterAutospacing="1"/>
        <w:rPr>
          <w:noProof/>
        </w:rPr>
      </w:pPr>
      <w:r>
        <w:rPr>
          <w:b/>
          <w:bCs/>
        </w:rPr>
        <w:t>Bakgrund:</w:t>
      </w:r>
      <w:r w:rsidR="00877322">
        <w:rPr>
          <w:b/>
          <w:bCs/>
        </w:rPr>
        <w:t xml:space="preserve"> </w:t>
      </w:r>
      <w:r>
        <w:t>Artikel 19 i EES-avtalet syftar till att gradvis liberalisera handeln för främst obearbetade jordbruksprodukter, i det här fallet mellan EU och N</w:t>
      </w:r>
      <w:r w:rsidR="00C7785A">
        <w:t>orge. Ett första avtal trädde ik</w:t>
      </w:r>
      <w:r>
        <w:t xml:space="preserve">raft år 2003 och en revidering av avtalet skedde år 2012. Marknadsöppningar har uppnåtts i bl.a. kött-, mejeri- och grönsakssektorn. </w:t>
      </w:r>
    </w:p>
    <w:p w14:paraId="0E24E0F9" w14:textId="77777777" w:rsidR="006D069E" w:rsidRPr="00E87DF9" w:rsidRDefault="006D069E" w:rsidP="00594BAA">
      <w:pPr>
        <w:pStyle w:val="Rubrik1"/>
        <w:ind w:left="709" w:firstLine="0"/>
        <w:rPr>
          <w:lang w:val="en-US"/>
        </w:rPr>
      </w:pPr>
      <w:bookmarkStart w:id="12" w:name="_Toc403634231"/>
      <w:r w:rsidRPr="00E87DF9">
        <w:rPr>
          <w:noProof/>
          <w:lang w:val="en-US"/>
        </w:rPr>
        <w:t>Council</w:t>
      </w:r>
      <w:r w:rsidRPr="00E87DF9">
        <w:rPr>
          <w:lang w:val="en-US"/>
        </w:rPr>
        <w:t xml:space="preserve"> Decision on the signing and provisional application of a protocol to the Euro Mediterranean Agreement establishing an association between the European Community and its Member States, of the one part, and the Republic of Lebanon, of the other part, to take account of the accession of the Czech Republic, the Republic of Estonia, the Republic of Cyprus, the Republic of Latvia, the Republic of Lithuania, the Republic of Hungary, the Republic of Malta, the Republic of Poland, the Republic of Slovenia and the Slovak Republic to the European Union</w:t>
      </w:r>
      <w:r w:rsidRPr="00E87DF9">
        <w:rPr>
          <w:lang w:val="en-US"/>
        </w:rPr>
        <w:br/>
        <w:t>-Adoption of the Croatian language version and request for EP consent</w:t>
      </w:r>
      <w:r w:rsidRPr="00E87DF9">
        <w:rPr>
          <w:lang w:val="en-US"/>
        </w:rPr>
        <w:br/>
        <w:t>-Joint Declaration for adaptation to the Treaty of Lisbon</w:t>
      </w:r>
      <w:r w:rsidRPr="00E87DF9">
        <w:rPr>
          <w:lang w:val="en-US"/>
        </w:rPr>
        <w:br/>
        <w:t>=Council Decision on the conclusion of a protocol to the Euro Mediterranean Agreement establishing an association between the European Community and its Member States, of the one part, and the Republic of Lebanon, of the other part, to take account of the accession of the Czech Republic, the Republic of Estonia, the Republic of Cyprus, the Republic of Latvia, the Republic of Lithuania, the Republic of Hungary, the Republic of Malta, the Republic of Poland, the Republic of Slovenia and the Slovak Republic to the European Union</w:t>
      </w:r>
      <w:bookmarkEnd w:id="12"/>
    </w:p>
    <w:p w14:paraId="0E24E0FA" w14:textId="163E6A93" w:rsidR="006D069E" w:rsidRDefault="006D069E" w:rsidP="006D069E">
      <w:pPr>
        <w:rPr>
          <w:lang w:val="en-US"/>
        </w:rPr>
      </w:pPr>
      <w:r>
        <w:rPr>
          <w:noProof/>
          <w:lang w:val="en-US"/>
        </w:rPr>
        <w:t>15245</w:t>
      </w:r>
      <w:r>
        <w:rPr>
          <w:lang w:val="en-US"/>
        </w:rPr>
        <w:t>/14 RL 7</w:t>
      </w:r>
      <w:r w:rsidR="000D23B0">
        <w:rPr>
          <w:lang w:val="en-US"/>
        </w:rPr>
        <w:t xml:space="preserve"> </w:t>
      </w:r>
      <w:r>
        <w:rPr>
          <w:lang w:val="en-US"/>
        </w:rPr>
        <w:t>11299/07 RL 11 (hr)</w:t>
      </w:r>
      <w:r w:rsidR="000D23B0">
        <w:rPr>
          <w:lang w:val="en-US"/>
        </w:rPr>
        <w:t xml:space="preserve"> </w:t>
      </w:r>
      <w:r>
        <w:rPr>
          <w:lang w:val="en-US"/>
        </w:rPr>
        <w:t>11300/07 RL 12 (hr)13349/14 RL 3</w:t>
      </w:r>
    </w:p>
    <w:p w14:paraId="0E24E0FB" w14:textId="0EFA6B53" w:rsidR="006D069E" w:rsidRDefault="006D069E" w:rsidP="006D069E">
      <w:r>
        <w:rPr>
          <w:b/>
        </w:rPr>
        <w:t>Ansvarigt statsråd</w:t>
      </w:r>
      <w:r w:rsidR="000D23B0">
        <w:rPr>
          <w:b/>
        </w:rPr>
        <w:t xml:space="preserve">: </w:t>
      </w:r>
      <w:r>
        <w:rPr>
          <w:noProof/>
        </w:rPr>
        <w:t>Margot</w:t>
      </w:r>
      <w:r>
        <w:t xml:space="preserve"> Wallström</w:t>
      </w:r>
    </w:p>
    <w:p w14:paraId="0E24E0FF" w14:textId="6390DACF" w:rsidR="001338D9" w:rsidRDefault="006D069E" w:rsidP="000D23B0">
      <w:r>
        <w:rPr>
          <w:b/>
          <w:bCs/>
        </w:rPr>
        <w:t>Avsikt med behandlingen i rådet:</w:t>
      </w:r>
      <w:r>
        <w:t xml:space="preserve"> Att godkänna protokollet till Europa–Medelhavsavtalet om upprättande av en associering mellan Europeiska gemenskapen och dess medlemsstater, å ena sidan, och Republiken Libanon, å andra sidan, med anledning av Republiken Tjeckiens, </w:t>
      </w:r>
      <w:r>
        <w:lastRenderedPageBreak/>
        <w:t xml:space="preserve">Republiken Estlands, Republiken Cyperns, Republiken Lettlands, Republiken Litauens, Ungerns, Republiken Maltas, Republiken Polens, Republiken Sloveniens och Republiken Slovakiens anslutning till Europeiska unionen. </w:t>
      </w:r>
    </w:p>
    <w:p w14:paraId="0E24E100" w14:textId="4845385E" w:rsidR="001338D9" w:rsidRDefault="006D069E">
      <w:pPr>
        <w:spacing w:after="280" w:afterAutospacing="1"/>
      </w:pPr>
      <w:r>
        <w:t>Att även godkänna den kroatiska språkversionen </w:t>
      </w:r>
      <w:r w:rsidR="00C7785A">
        <w:t xml:space="preserve">och </w:t>
      </w:r>
      <w:r>
        <w:t>begära Europa</w:t>
      </w:r>
      <w:r w:rsidR="00C7785A">
        <w:t>pa</w:t>
      </w:r>
      <w:r>
        <w:t xml:space="preserve">rlamentets godkännande. </w:t>
      </w:r>
    </w:p>
    <w:p w14:paraId="0E24E101" w14:textId="77777777" w:rsidR="001338D9" w:rsidRDefault="006D069E">
      <w:pPr>
        <w:spacing w:after="280" w:afterAutospacing="1"/>
      </w:pPr>
      <w:r>
        <w:t xml:space="preserve">Att även godkänna den gemensamma deklarationen i och med anpassningen till Lissabonfördraget.  </w:t>
      </w:r>
    </w:p>
    <w:p w14:paraId="4671CEAD" w14:textId="755C1673" w:rsidR="00C7785A" w:rsidRDefault="006D069E">
      <w:pPr>
        <w:spacing w:after="280" w:afterAutospacing="1"/>
      </w:pPr>
      <w:r>
        <w:rPr>
          <w:b/>
          <w:bCs/>
        </w:rPr>
        <w:t>Hur regeringen ställer sig till den blivande A-punkten:</w:t>
      </w:r>
      <w:r>
        <w:t xml:space="preserve"> </w:t>
      </w:r>
      <w:r w:rsidR="00C7785A">
        <w:t>Regeringen avser stödja godkännandet, att godkänna den kroatiska språkversionen och deklarationen samt begäran om Europaparlamentets godkännande.</w:t>
      </w:r>
    </w:p>
    <w:p w14:paraId="0E24E106" w14:textId="039B4DE4" w:rsidR="001338D9" w:rsidRDefault="006D069E">
      <w:pPr>
        <w:spacing w:after="280" w:afterAutospacing="1"/>
      </w:pPr>
      <w:r>
        <w:rPr>
          <w:b/>
          <w:bCs/>
        </w:rPr>
        <w:t>Bakgrund:</w:t>
      </w:r>
      <w:r w:rsidR="000D23B0">
        <w:rPr>
          <w:b/>
          <w:bCs/>
        </w:rPr>
        <w:t xml:space="preserve"> </w:t>
      </w:r>
      <w:r>
        <w:t xml:space="preserve">Associationsavtalet mellan EU och Libanon skrevs under 2002 och trädde i kraft 2006. I och med utvidgningen av EU måste de nya medlemsstaterna läggas till i protokollet. </w:t>
      </w:r>
    </w:p>
    <w:p w14:paraId="0E24E107" w14:textId="77777777" w:rsidR="006D069E" w:rsidRPr="00E87DF9" w:rsidRDefault="006D069E" w:rsidP="00594BAA">
      <w:pPr>
        <w:pStyle w:val="Rubrik1"/>
        <w:ind w:left="709" w:firstLine="0"/>
        <w:rPr>
          <w:lang w:val="en-US"/>
        </w:rPr>
      </w:pPr>
      <w:bookmarkStart w:id="13" w:name="_Toc403634232"/>
      <w:r w:rsidRPr="00E87DF9">
        <w:rPr>
          <w:noProof/>
          <w:lang w:val="en-US"/>
        </w:rPr>
        <w:t>Council</w:t>
      </w:r>
      <w:r w:rsidRPr="00E87DF9">
        <w:rPr>
          <w:lang w:val="en-US"/>
        </w:rPr>
        <w:t xml:space="preserve"> Decision on the signing and provisional application of a protocol to the Euro Mediterranean Agreement establishing an association between the European Community and its Member States, of the one part, and the Republic of Lebanon, of the other part, to take account of the accession of the Republic of Bulgaria and Romania to the European Union</w:t>
      </w:r>
      <w:r w:rsidRPr="00E87DF9">
        <w:rPr>
          <w:lang w:val="en-US"/>
        </w:rPr>
        <w:br/>
        <w:t>-Adoption and request for EP consent</w:t>
      </w:r>
      <w:r w:rsidRPr="00E87DF9">
        <w:rPr>
          <w:lang w:val="en-US"/>
        </w:rPr>
        <w:br/>
        <w:t xml:space="preserve"> = Council Decision on the conclusion of a protocol to the Euro Mediterranean Agreement establishing an association between the European Community and its Member States, of the one part, and the Republic of Lebanon, of the other part, to take account of the accession of the Republic of Bulgaria and Romania to the European Union</w:t>
      </w:r>
      <w:bookmarkEnd w:id="13"/>
    </w:p>
    <w:p w14:paraId="0E24E108" w14:textId="195939BB" w:rsidR="006D069E" w:rsidRPr="00E87DF9" w:rsidRDefault="006D069E" w:rsidP="006D069E">
      <w:r w:rsidRPr="00E87DF9">
        <w:rPr>
          <w:noProof/>
        </w:rPr>
        <w:t>15249</w:t>
      </w:r>
      <w:r w:rsidRPr="00E87DF9">
        <w:t>/14 RL 813360/14 RL 4</w:t>
      </w:r>
      <w:r w:rsidR="000D23B0" w:rsidRPr="00E87DF9">
        <w:t xml:space="preserve"> </w:t>
      </w:r>
      <w:r w:rsidRPr="00E87DF9">
        <w:t>13376/14 RL 5 + COR 1(da)+ COR 2 (el, mt)+ COR 3 (sv, sk)+ REV 1 (hr) 13395/14 RL 6</w:t>
      </w:r>
    </w:p>
    <w:p w14:paraId="0E24E109" w14:textId="791F7366" w:rsidR="006D069E" w:rsidRDefault="006D069E" w:rsidP="006D069E">
      <w:r>
        <w:rPr>
          <w:b/>
        </w:rPr>
        <w:t>Ansvarigt statsråd</w:t>
      </w:r>
      <w:r w:rsidR="000D23B0">
        <w:rPr>
          <w:b/>
        </w:rPr>
        <w:t xml:space="preserve">: </w:t>
      </w:r>
      <w:r>
        <w:rPr>
          <w:noProof/>
        </w:rPr>
        <w:t>Margot</w:t>
      </w:r>
      <w:r>
        <w:t xml:space="preserve"> Wallström</w:t>
      </w:r>
    </w:p>
    <w:p w14:paraId="0E24E10D" w14:textId="260A520E" w:rsidR="001338D9" w:rsidRDefault="006D069E">
      <w:pPr>
        <w:spacing w:after="280" w:afterAutospacing="1"/>
      </w:pPr>
      <w:r>
        <w:rPr>
          <w:b/>
          <w:bCs/>
        </w:rPr>
        <w:t xml:space="preserve">Avsikt med behandlingen i rådet: </w:t>
      </w:r>
      <w:r>
        <w:t>Att godkänna protokollet till Europa–Medelhavsavtalet om upprättande av en associering mellan Europeiska gemenskapen och dess medlemsstater, å ena sidan, och Republiken Libanon, å andra sidan, i syfte att beakta Republiken Bulgariens och Rumäniens anslutning till unionen.</w:t>
      </w:r>
    </w:p>
    <w:p w14:paraId="0E24E10E" w14:textId="77777777" w:rsidR="001338D9" w:rsidRDefault="006D069E">
      <w:pPr>
        <w:spacing w:after="280" w:afterAutospacing="1"/>
      </w:pPr>
      <w:r>
        <w:t>Att även godkänna den provisoriska tillämpningen av protokollet och begära Europaparlamentets godkännande.</w:t>
      </w:r>
    </w:p>
    <w:p w14:paraId="0E24E110" w14:textId="48D7E633" w:rsidR="001338D9" w:rsidRDefault="006D069E">
      <w:pPr>
        <w:spacing w:after="280" w:afterAutospacing="1"/>
      </w:pPr>
      <w:r>
        <w:rPr>
          <w:b/>
          <w:bCs/>
        </w:rPr>
        <w:t xml:space="preserve">Hur regeringen ställer sig till den blivande A-punkten: </w:t>
      </w:r>
      <w:r>
        <w:t>Regeringen avser stödja godkännandet och den provisoriska tillämpningen samt begäran om Europaparlamentets godkännande.</w:t>
      </w:r>
    </w:p>
    <w:p w14:paraId="0E24E113" w14:textId="6354B1BA" w:rsidR="006D069E" w:rsidRDefault="006D069E">
      <w:pPr>
        <w:spacing w:after="280" w:afterAutospacing="1"/>
        <w:rPr>
          <w:noProof/>
        </w:rPr>
      </w:pPr>
      <w:r>
        <w:rPr>
          <w:b/>
          <w:bCs/>
        </w:rPr>
        <w:t>Bakgrund:</w:t>
      </w:r>
      <w:r w:rsidR="000D23B0">
        <w:rPr>
          <w:b/>
          <w:bCs/>
        </w:rPr>
        <w:t xml:space="preserve"> </w:t>
      </w:r>
      <w:r>
        <w:t xml:space="preserve">Associationsavtalet mellan EU och Libanon skrevs under 2002 och trädde i kraft 2006. I och med utvidgningen av EU måste de nya medlemsstaterna läggas till i protokollet. </w:t>
      </w:r>
    </w:p>
    <w:p w14:paraId="0E24E114" w14:textId="77777777" w:rsidR="006D069E" w:rsidRDefault="006D069E" w:rsidP="00594BAA">
      <w:pPr>
        <w:pStyle w:val="Rubrik1"/>
        <w:ind w:left="851" w:hanging="142"/>
      </w:pPr>
      <w:bookmarkStart w:id="14" w:name="_Toc403634233"/>
      <w:r>
        <w:rPr>
          <w:noProof/>
        </w:rPr>
        <w:lastRenderedPageBreak/>
        <w:t>Relations</w:t>
      </w:r>
      <w:r>
        <w:t xml:space="preserve"> with the Kyrgyz Republic</w:t>
      </w:r>
      <w:bookmarkEnd w:id="14"/>
    </w:p>
    <w:p w14:paraId="0E24E115" w14:textId="77777777" w:rsidR="006D069E" w:rsidRDefault="006D069E" w:rsidP="006D069E">
      <w:pPr>
        <w:rPr>
          <w:lang w:val="en-US"/>
        </w:rPr>
      </w:pPr>
      <w:r>
        <w:rPr>
          <w:noProof/>
          <w:lang w:val="en-US"/>
        </w:rPr>
        <w:t>15231</w:t>
      </w:r>
      <w:r>
        <w:rPr>
          <w:lang w:val="en-US"/>
        </w:rPr>
        <w:t>/14 COEST 409</w:t>
      </w:r>
    </w:p>
    <w:p w14:paraId="0E24E116" w14:textId="72797F0F" w:rsidR="006D069E" w:rsidRDefault="006D069E" w:rsidP="006D069E">
      <w:r>
        <w:rPr>
          <w:b/>
        </w:rPr>
        <w:t>Ansvarigt statsråd</w:t>
      </w:r>
      <w:r w:rsidR="000D23B0">
        <w:rPr>
          <w:b/>
        </w:rPr>
        <w:t xml:space="preserve">: </w:t>
      </w:r>
      <w:r>
        <w:rPr>
          <w:noProof/>
        </w:rPr>
        <w:t>Margot</w:t>
      </w:r>
      <w:r>
        <w:t xml:space="preserve"> Wallström</w:t>
      </w:r>
    </w:p>
    <w:p w14:paraId="15196711" w14:textId="4551F81D" w:rsidR="000D23B0" w:rsidRDefault="006D069E" w:rsidP="000D23B0">
      <w:r>
        <w:rPr>
          <w:b/>
          <w:bCs/>
        </w:rPr>
        <w:t>Avsikt med behandlingen i rådet:</w:t>
      </w:r>
      <w:r w:rsidR="000D23B0">
        <w:rPr>
          <w:b/>
          <w:bCs/>
        </w:rPr>
        <w:t xml:space="preserve"> </w:t>
      </w:r>
      <w:r>
        <w:t>Rådet väntas godkänna unionens ståndpunkt enligt preliminär oc</w:t>
      </w:r>
      <w:r w:rsidR="00C7785A">
        <w:t>h kommenterar dagordning.</w:t>
      </w:r>
    </w:p>
    <w:p w14:paraId="0E24E11C" w14:textId="7361FBDC" w:rsidR="001338D9" w:rsidRDefault="006D069E" w:rsidP="000D23B0">
      <w:r>
        <w:rPr>
          <w:b/>
          <w:bCs/>
        </w:rPr>
        <w:t>Hur regeringen ställer sig till den blivande A-punkten:</w:t>
      </w:r>
      <w:r>
        <w:t xml:space="preserve"> Regeringen avser rösta </w:t>
      </w:r>
      <w:r w:rsidR="00C7785A">
        <w:t xml:space="preserve">ja. </w:t>
      </w:r>
    </w:p>
    <w:p w14:paraId="0E24E11F" w14:textId="52B0408A" w:rsidR="006D069E" w:rsidRDefault="006D069E">
      <w:pPr>
        <w:spacing w:after="280" w:afterAutospacing="1"/>
        <w:rPr>
          <w:noProof/>
        </w:rPr>
      </w:pPr>
      <w:r>
        <w:rPr>
          <w:b/>
          <w:bCs/>
        </w:rPr>
        <w:t>Bakgrund:</w:t>
      </w:r>
      <w:r w:rsidR="000D23B0">
        <w:rPr>
          <w:b/>
          <w:bCs/>
        </w:rPr>
        <w:t xml:space="preserve"> </w:t>
      </w:r>
      <w:r>
        <w:t>Det trettonde samarbetsrådet mellan EU och Kyrgyzstan inom ramen för gällande PSA och Centralasienstrategin genomförs den 18 november. Inför det trettonde mötet i samarbetsrådet har arbetsgruppen COEST fastställt Europeiska unionens ståndpunkt enligt pr</w:t>
      </w:r>
      <w:r w:rsidR="004D15F8">
        <w:t>eliminär och kommenterad</w:t>
      </w:r>
      <w:r>
        <w:t xml:space="preserve"> dagordning .</w:t>
      </w:r>
    </w:p>
    <w:p w14:paraId="0E24E120" w14:textId="77777777" w:rsidR="006D069E" w:rsidRDefault="006D069E" w:rsidP="00594BAA">
      <w:pPr>
        <w:pStyle w:val="Rubrik1"/>
        <w:ind w:left="709" w:firstLine="0"/>
      </w:pPr>
      <w:bookmarkStart w:id="15" w:name="_Toc403634234"/>
      <w:r>
        <w:rPr>
          <w:noProof/>
        </w:rPr>
        <w:t>Relations</w:t>
      </w:r>
      <w:r>
        <w:t xml:space="preserve"> with Georgia</w:t>
      </w:r>
      <w:bookmarkEnd w:id="15"/>
    </w:p>
    <w:p w14:paraId="0E24E121" w14:textId="77777777" w:rsidR="006D069E" w:rsidRDefault="006D069E" w:rsidP="006D069E">
      <w:pPr>
        <w:rPr>
          <w:lang w:val="en-US"/>
        </w:rPr>
      </w:pPr>
      <w:r>
        <w:rPr>
          <w:noProof/>
          <w:lang w:val="en-US"/>
        </w:rPr>
        <w:t>15242</w:t>
      </w:r>
      <w:r>
        <w:rPr>
          <w:lang w:val="en-US"/>
        </w:rPr>
        <w:t>/14 COEST 410</w:t>
      </w:r>
    </w:p>
    <w:p w14:paraId="0E24E122" w14:textId="112C9CD6" w:rsidR="006D069E" w:rsidRDefault="006D069E" w:rsidP="006D069E">
      <w:r>
        <w:rPr>
          <w:b/>
        </w:rPr>
        <w:t>Ansvarigt statsråd</w:t>
      </w:r>
      <w:r w:rsidR="000D23B0">
        <w:rPr>
          <w:b/>
        </w:rPr>
        <w:t xml:space="preserve">: </w:t>
      </w:r>
      <w:r>
        <w:rPr>
          <w:noProof/>
        </w:rPr>
        <w:t>Margot</w:t>
      </w:r>
      <w:r>
        <w:t xml:space="preserve"> Wallström</w:t>
      </w:r>
    </w:p>
    <w:p w14:paraId="0E24E126" w14:textId="6E95FFC3" w:rsidR="001338D9" w:rsidRDefault="006D069E" w:rsidP="000D23B0">
      <w:r>
        <w:rPr>
          <w:b/>
          <w:bCs/>
        </w:rPr>
        <w:t>Avsikt med behandlingen i rådet:</w:t>
      </w:r>
      <w:r>
        <w:t xml:space="preserve"> Att fastställa unionens ståndpunkt inför det första Associeringsrådet EU-Georgien som planeras till den 17 november 2014. </w:t>
      </w:r>
    </w:p>
    <w:p w14:paraId="0E24E128" w14:textId="123698C6" w:rsidR="001338D9" w:rsidRDefault="006D069E">
      <w:pPr>
        <w:spacing w:after="280" w:afterAutospacing="1"/>
      </w:pPr>
      <w:r>
        <w:rPr>
          <w:b/>
          <w:bCs/>
        </w:rPr>
        <w:t>Hur regeringen ställer sig till den blivande A-punkten:</w:t>
      </w:r>
      <w:r>
        <w:t xml:space="preserve"> Regeringen avser stödja fastställandet av unionens ståndpunkt.</w:t>
      </w:r>
    </w:p>
    <w:p w14:paraId="0E24E12A" w14:textId="4F23BED6" w:rsidR="001338D9" w:rsidRDefault="006D069E">
      <w:pPr>
        <w:spacing w:after="280" w:afterAutospacing="1"/>
      </w:pPr>
      <w:r>
        <w:rPr>
          <w:b/>
          <w:bCs/>
        </w:rPr>
        <w:t>Bakgrund:</w:t>
      </w:r>
      <w:r w:rsidR="000D23B0">
        <w:rPr>
          <w:b/>
          <w:bCs/>
        </w:rPr>
        <w:t xml:space="preserve"> </w:t>
      </w:r>
      <w:r>
        <w:t xml:space="preserve">EU och Georgien undertecknade den 27 juni 2014 ett associeringsavtal som ersätter det tidigare Partnerskaps- och Samarbetsavtalet. Avtalet tillämpas provisoriskt från och med den 1 september, och träder i kraft efter ratificering av </w:t>
      </w:r>
      <w:r w:rsidR="004D15F8">
        <w:t>parlamenten</w:t>
      </w:r>
      <w:r>
        <w:t xml:space="preserve"> i EU:s medlemsstater samt EU-parlamentet.</w:t>
      </w:r>
    </w:p>
    <w:p w14:paraId="0E24E12B" w14:textId="6FE01973" w:rsidR="001338D9" w:rsidRDefault="006D069E">
      <w:pPr>
        <w:spacing w:after="280" w:afterAutospacing="1"/>
      </w:pPr>
      <w:r>
        <w:t xml:space="preserve">I och med avtalets </w:t>
      </w:r>
      <w:r w:rsidR="004D15F8">
        <w:t>provisoriska</w:t>
      </w:r>
      <w:r>
        <w:t xml:space="preserve"> tillämpning inrättas ett Associeringsråd som möts årligen, och som ersätter det tidigare Samarbetsrådet. Mötet äger rum på ministernivå.</w:t>
      </w:r>
    </w:p>
    <w:p w14:paraId="0E24E12D" w14:textId="59FFB69B" w:rsidR="006D069E" w:rsidRDefault="006D069E">
      <w:pPr>
        <w:spacing w:after="280" w:afterAutospacing="1"/>
        <w:rPr>
          <w:noProof/>
        </w:rPr>
      </w:pPr>
      <w:r>
        <w:t>Inför mötet har en annoterad dagordning tagits fram som beskriver den ståndpunkt EU ska inta under mötet. Den annoterade dagordningen har förhandlats på arbetsgruppsnivå och föreslås nu fastställas av rådet.</w:t>
      </w:r>
    </w:p>
    <w:p w14:paraId="0E24E12E" w14:textId="77777777" w:rsidR="006D069E" w:rsidRPr="00E87DF9" w:rsidRDefault="006D069E" w:rsidP="00594BAA">
      <w:pPr>
        <w:pStyle w:val="Rubrik1"/>
        <w:ind w:left="709" w:firstLine="0"/>
        <w:rPr>
          <w:lang w:val="en-US"/>
        </w:rPr>
      </w:pPr>
      <w:bookmarkStart w:id="16" w:name="_Toc403634235"/>
      <w:r w:rsidRPr="00E87DF9">
        <w:rPr>
          <w:noProof/>
          <w:lang w:val="en-US"/>
        </w:rPr>
        <w:t>Forwarding</w:t>
      </w:r>
      <w:r w:rsidRPr="00E87DF9">
        <w:rPr>
          <w:lang w:val="en-US"/>
        </w:rPr>
        <w:t xml:space="preserve"> to the European Parliament Secretariat of a technical report on the visit of the GSC Security Office</w:t>
      </w:r>
      <w:bookmarkEnd w:id="16"/>
    </w:p>
    <w:p w14:paraId="0E24E12F" w14:textId="77777777" w:rsidR="006D069E" w:rsidRPr="00E87DF9" w:rsidRDefault="006D069E" w:rsidP="006D069E">
      <w:r w:rsidRPr="00E87DF9">
        <w:rPr>
          <w:noProof/>
        </w:rPr>
        <w:t>15054</w:t>
      </w:r>
      <w:r w:rsidRPr="00E87DF9">
        <w:t>/14 CSC 235</w:t>
      </w:r>
    </w:p>
    <w:p w14:paraId="0E24E130" w14:textId="5A3A98B7" w:rsidR="006D069E" w:rsidRDefault="006D069E" w:rsidP="006D069E">
      <w:r>
        <w:rPr>
          <w:b/>
        </w:rPr>
        <w:t>Ansvarigt statsråd</w:t>
      </w:r>
      <w:r w:rsidR="000D23B0">
        <w:rPr>
          <w:b/>
        </w:rPr>
        <w:t xml:space="preserve">: </w:t>
      </w:r>
      <w:r>
        <w:rPr>
          <w:noProof/>
        </w:rPr>
        <w:t>Margot</w:t>
      </w:r>
      <w:r>
        <w:t xml:space="preserve"> Wallström</w:t>
      </w:r>
    </w:p>
    <w:p w14:paraId="0E24E134" w14:textId="4D9A67A4" w:rsidR="001338D9" w:rsidRDefault="000D23B0">
      <w:pPr>
        <w:spacing w:after="280" w:afterAutospacing="1"/>
      </w:pPr>
      <w:r>
        <w:rPr>
          <w:b/>
        </w:rPr>
        <w:t xml:space="preserve">Avsikt med behandlingen i rådet: </w:t>
      </w:r>
      <w:r w:rsidR="006D069E">
        <w:t xml:space="preserve">Rådet föreslås på rekommendation av dess säkerhetskommitté att godkänna översändandet till Europaparlamentet av </w:t>
      </w:r>
      <w:r w:rsidR="00AE1FC1">
        <w:t xml:space="preserve">en </w:t>
      </w:r>
      <w:r w:rsidR="006D069E">
        <w:t>rapport om det tekniska besöket av generalsekretariatets säkerhetsavdelning i Europaparlamentet</w:t>
      </w:r>
      <w:r w:rsidR="00AE1FC1">
        <w:t xml:space="preserve">. </w:t>
      </w:r>
    </w:p>
    <w:p w14:paraId="0E24E135" w14:textId="0458135C" w:rsidR="001338D9" w:rsidRDefault="006D069E">
      <w:pPr>
        <w:spacing w:after="280" w:afterAutospacing="1"/>
      </w:pPr>
      <w:r w:rsidRPr="000D23B0">
        <w:rPr>
          <w:b/>
        </w:rPr>
        <w:t>Hur regeringen ställer sig till den blivande A-punkten:</w:t>
      </w:r>
      <w:r>
        <w:t xml:space="preserve"> Regeringen avser rösta ja</w:t>
      </w:r>
      <w:r w:rsidR="00AE1FC1">
        <w:t>.</w:t>
      </w:r>
      <w:r>
        <w:t xml:space="preserve"> </w:t>
      </w:r>
    </w:p>
    <w:p w14:paraId="0E24E136" w14:textId="7DB4E81D" w:rsidR="001338D9" w:rsidRDefault="006D069E">
      <w:pPr>
        <w:spacing w:after="280" w:afterAutospacing="1"/>
      </w:pPr>
      <w:r w:rsidRPr="000D23B0">
        <w:rPr>
          <w:b/>
        </w:rPr>
        <w:lastRenderedPageBreak/>
        <w:t>Bakgrund:</w:t>
      </w:r>
      <w:r>
        <w:t xml:space="preserve"> Det interinstitutionella avtalet mellan Europaparlamentet och rådet om överförande till och hantering inom Europaparlamentet av säkerhetsskyddsklassificerade uppgifter som innehas av rådet vilka rör andra frågor än de som omfattas av den gemensamma utrikes- och säkerhetspolitiken (nedan kallat avtalet) trädde i kraft den 1 april 2014</w:t>
      </w:r>
      <w:r w:rsidR="00AE1FC1">
        <w:t xml:space="preserve">. </w:t>
      </w:r>
    </w:p>
    <w:p w14:paraId="0E24E137" w14:textId="5B34C2B9" w:rsidR="001338D9" w:rsidRDefault="006D069E">
      <w:pPr>
        <w:spacing w:after="280" w:afterAutospacing="1"/>
      </w:pPr>
      <w:r>
        <w:t>Den 6 september 2013 genomförde experter från generalsekretariatets säkerhetsavdelning ett besök i Europaparlamentets lokaler i syfte att förse rådet med nödvändig information för att det ska kunna fastställa att likvärdighet har uppnåtts i enlighet med artikel 8.3 i avtalet. Generalsekretariatet översände de tekniska rekommendationerna i den rapporten till Europaparlamentet.</w:t>
      </w:r>
    </w:p>
    <w:p w14:paraId="0E24E139" w14:textId="59B70B73" w:rsidR="006D069E" w:rsidRDefault="006D069E">
      <w:pPr>
        <w:spacing w:after="280" w:afterAutospacing="1"/>
        <w:rPr>
          <w:noProof/>
        </w:rPr>
      </w:pPr>
      <w:r>
        <w:t>Rådets säkerhetskommitté enades den 31 oktober om att en fullständig rapport om det tekniska besöket i Europaparlamentets lokaler ska översändas till berörda avdelningar vid Europaparlamentets sekretariat.</w:t>
      </w:r>
    </w:p>
    <w:p w14:paraId="0E24E13A" w14:textId="77777777" w:rsidR="006D069E" w:rsidRPr="00E87DF9" w:rsidRDefault="006D069E" w:rsidP="00594BAA">
      <w:pPr>
        <w:pStyle w:val="Rubrik1"/>
        <w:ind w:left="709" w:firstLine="0"/>
        <w:rPr>
          <w:lang w:val="en-US"/>
        </w:rPr>
      </w:pPr>
      <w:bookmarkStart w:id="17" w:name="_Toc403634236"/>
      <w:r w:rsidRPr="00E87DF9">
        <w:rPr>
          <w:noProof/>
          <w:lang w:val="en-US"/>
        </w:rPr>
        <w:t>Declaration</w:t>
      </w:r>
      <w:r w:rsidRPr="00E87DF9">
        <w:rPr>
          <w:lang w:val="en-US"/>
        </w:rPr>
        <w:t xml:space="preserve"> by the Council on the role of the Council Security Committee in ensuring consistency within the Council on matters relating to the protection of classified information</w:t>
      </w:r>
      <w:bookmarkEnd w:id="17"/>
      <w:r w:rsidRPr="00E87DF9">
        <w:rPr>
          <w:lang w:val="en-US"/>
        </w:rPr>
        <w:t xml:space="preserve"> </w:t>
      </w:r>
    </w:p>
    <w:p w14:paraId="0E24E13B" w14:textId="77777777" w:rsidR="006D069E" w:rsidRPr="00E87DF9" w:rsidRDefault="006D069E" w:rsidP="006D069E">
      <w:r w:rsidRPr="00E87DF9">
        <w:rPr>
          <w:noProof/>
        </w:rPr>
        <w:t>15057</w:t>
      </w:r>
      <w:r w:rsidRPr="00E87DF9">
        <w:t>/14 CSC 236</w:t>
      </w:r>
    </w:p>
    <w:p w14:paraId="0E24E13C" w14:textId="1F86A77A" w:rsidR="006D069E" w:rsidRDefault="006D069E" w:rsidP="006D069E">
      <w:r>
        <w:rPr>
          <w:b/>
        </w:rPr>
        <w:t>Ansvarigt statsråd</w:t>
      </w:r>
      <w:r w:rsidR="000D23B0">
        <w:rPr>
          <w:b/>
        </w:rPr>
        <w:t xml:space="preserve">: </w:t>
      </w:r>
      <w:r>
        <w:rPr>
          <w:noProof/>
        </w:rPr>
        <w:t>Margot</w:t>
      </w:r>
      <w:r>
        <w:t xml:space="preserve"> Wallström</w:t>
      </w:r>
    </w:p>
    <w:p w14:paraId="25C37748" w14:textId="220BFFBD" w:rsidR="00123E44" w:rsidRDefault="006D069E">
      <w:pPr>
        <w:spacing w:after="280" w:afterAutospacing="1"/>
      </w:pPr>
      <w:r>
        <w:rPr>
          <w:b/>
          <w:bCs/>
        </w:rPr>
        <w:t xml:space="preserve">Avsikt med behandlingen i rådet. </w:t>
      </w:r>
      <w:r>
        <w:t>Rådet föreslås på rekommendation av dess säkerhetskommitté att anta ett uttalande om säkerhetskommitténs roll när det gäller att säkerställa samstämmighet inom rådet i frågor som rör skydd av säkerhetsklassificerade uppgifter.</w:t>
      </w:r>
    </w:p>
    <w:p w14:paraId="38A54F10" w14:textId="6BEF62D1" w:rsidR="000D23B0" w:rsidRDefault="006D069E">
      <w:pPr>
        <w:spacing w:after="280" w:afterAutospacing="1"/>
      </w:pPr>
      <w:r>
        <w:rPr>
          <w:b/>
          <w:bCs/>
        </w:rPr>
        <w:t xml:space="preserve">Hur regeringen ställer sig till den blivande A-punkten: </w:t>
      </w:r>
      <w:r>
        <w:rPr>
          <w:b/>
          <w:bCs/>
        </w:rPr>
        <w:br/>
      </w:r>
      <w:r>
        <w:t>Regeringen avser rösta ja</w:t>
      </w:r>
      <w:r w:rsidR="00123E44">
        <w:t xml:space="preserve">. </w:t>
      </w:r>
    </w:p>
    <w:p w14:paraId="375E790F" w14:textId="77777777" w:rsidR="00123E44" w:rsidRDefault="006D069E">
      <w:pPr>
        <w:spacing w:after="280" w:afterAutospacing="1"/>
      </w:pPr>
      <w:r>
        <w:rPr>
          <w:b/>
          <w:bCs/>
        </w:rPr>
        <w:t>Bakgrund:</w:t>
      </w:r>
      <w:r>
        <w:t xml:space="preserve"> Den 23 september 2013 antog rådet beslutet om säkerhetsbestämmelser för skydd av säkerhetsskyddsklassificerade EU-uppgifter . I artikel 17.1 i detta beslut föreskrivs följande: "[Säkerhetskommittén] ska granska och bedöma alla säkerhetsfrågor inom ramen för detta beslut och i lämpliga fall lämna rekommendationer till rådet."</w:t>
      </w:r>
    </w:p>
    <w:p w14:paraId="5837D498" w14:textId="77777777" w:rsidR="00123E44" w:rsidRDefault="006D069E">
      <w:pPr>
        <w:spacing w:after="280" w:afterAutospacing="1"/>
      </w:pPr>
      <w:r>
        <w:t>För att säkerställa samstämmighet i alla rättsakter från rådet som rör skydd av säkerhetsskyddsklassificerade EU-uppgifter och eftersom det förekommer fall där säkerhetskommittén först informerats i ett mycket sent skede skulle det vara lämpligt att skärpa tillämpningen av denna bestämmelse genom att kräva att säkerhetskommittén utfärdar rekommendationer innan rådet fattar beslut i frågor som rör skydd av säkerhetsskyddsklassificerade EU-uppgifter.</w:t>
      </w:r>
      <w:r w:rsidR="00123E44">
        <w:t xml:space="preserve"> </w:t>
      </w:r>
    </w:p>
    <w:p w14:paraId="0E24E140" w14:textId="34CEB73C" w:rsidR="001338D9" w:rsidRDefault="006D069E">
      <w:pPr>
        <w:spacing w:after="280" w:afterAutospacing="1"/>
      </w:pPr>
      <w:r>
        <w:t xml:space="preserve">Den 23 september 2014 nådde säkerhetskommittén därför en överenskommelse om </w:t>
      </w:r>
      <w:r w:rsidR="00123E44">
        <w:t xml:space="preserve">ett </w:t>
      </w:r>
      <w:r>
        <w:t>uttalande om säkerhetskommitténs roll när det gäller att säkerställa samstämmighet inom rådet i frågor som rör skydd av säkerhetsklassificerade uppgifter. Säkerhetskommittén noterade att rådets generalsekretariat även vidtar praktiska åtgärder för att säkerställa att säkerhetskommittén i god tid underrättas om rättsakter som diskuteras i rådets förberedande organ.</w:t>
      </w:r>
    </w:p>
    <w:p w14:paraId="0E24E143" w14:textId="77777777" w:rsidR="006D069E" w:rsidRPr="00E87DF9" w:rsidRDefault="006D069E" w:rsidP="00594BAA">
      <w:pPr>
        <w:pStyle w:val="Rubrik1"/>
        <w:ind w:left="709" w:firstLine="0"/>
        <w:rPr>
          <w:lang w:val="en-US"/>
        </w:rPr>
      </w:pPr>
      <w:bookmarkStart w:id="18" w:name="_Toc403634237"/>
      <w:r w:rsidRPr="00E87DF9">
        <w:rPr>
          <w:noProof/>
          <w:lang w:val="en-US"/>
        </w:rPr>
        <w:lastRenderedPageBreak/>
        <w:t>Single</w:t>
      </w:r>
      <w:r w:rsidRPr="00E87DF9">
        <w:rPr>
          <w:lang w:val="en-US"/>
        </w:rPr>
        <w:t xml:space="preserve"> Progress Report on the Development of EU Military Capabilities in the period from November 2013 to October 2014</w:t>
      </w:r>
      <w:bookmarkEnd w:id="18"/>
    </w:p>
    <w:p w14:paraId="0E24E144" w14:textId="72DEA6B7" w:rsidR="006D069E" w:rsidRDefault="006D069E" w:rsidP="006D069E">
      <w:pPr>
        <w:rPr>
          <w:lang w:val="en-US"/>
        </w:rPr>
      </w:pPr>
      <w:r>
        <w:rPr>
          <w:noProof/>
          <w:lang w:val="en-US"/>
        </w:rPr>
        <w:t>15093</w:t>
      </w:r>
      <w:r>
        <w:rPr>
          <w:lang w:val="en-US"/>
        </w:rPr>
        <w:t>/14 CSDP/PSDC 627</w:t>
      </w:r>
      <w:r w:rsidR="000D23B0">
        <w:rPr>
          <w:lang w:val="en-US"/>
        </w:rPr>
        <w:t xml:space="preserve"> </w:t>
      </w:r>
      <w:r>
        <w:rPr>
          <w:lang w:val="en-US"/>
        </w:rPr>
        <w:t>15067/14 CSDP/PSDC 622 COPS 280</w:t>
      </w:r>
    </w:p>
    <w:p w14:paraId="0E24E145" w14:textId="3B8BACB7" w:rsidR="006D069E" w:rsidRDefault="006D069E" w:rsidP="006D069E">
      <w:r>
        <w:rPr>
          <w:b/>
        </w:rPr>
        <w:t>Ansvarigt statsråd</w:t>
      </w:r>
      <w:r w:rsidR="000D23B0">
        <w:rPr>
          <w:b/>
        </w:rPr>
        <w:t xml:space="preserve">: </w:t>
      </w:r>
      <w:r>
        <w:rPr>
          <w:noProof/>
        </w:rPr>
        <w:t>Peter</w:t>
      </w:r>
      <w:r>
        <w:t xml:space="preserve"> Hultqvist</w:t>
      </w:r>
    </w:p>
    <w:p w14:paraId="0E24E149" w14:textId="77777777" w:rsidR="001338D9" w:rsidRDefault="006D069E">
      <w:pPr>
        <w:spacing w:after="280" w:afterAutospacing="1"/>
      </w:pPr>
      <w:r>
        <w:rPr>
          <w:b/>
          <w:bCs/>
        </w:rPr>
        <w:t xml:space="preserve">Avsikt med behandlingen i rådet: </w:t>
      </w:r>
      <w:r>
        <w:t>Rådet kommer att notera rapporten.</w:t>
      </w:r>
    </w:p>
    <w:p w14:paraId="0E24E14A" w14:textId="77777777" w:rsidR="001338D9" w:rsidRDefault="006D069E">
      <w:pPr>
        <w:spacing w:after="280" w:afterAutospacing="1"/>
      </w:pPr>
      <w:r>
        <w:rPr>
          <w:b/>
          <w:bCs/>
        </w:rPr>
        <w:t xml:space="preserve">Hur regeringen ställer sig till den blivande A-punkten: </w:t>
      </w:r>
      <w:r>
        <w:t xml:space="preserve">Regeringen avser rösta ja till denna A-punkt. </w:t>
      </w:r>
    </w:p>
    <w:p w14:paraId="0E24E14C" w14:textId="5A4457BA" w:rsidR="006D069E" w:rsidRDefault="006D069E">
      <w:pPr>
        <w:spacing w:after="280" w:afterAutospacing="1"/>
        <w:rPr>
          <w:noProof/>
        </w:rPr>
      </w:pPr>
      <w:r>
        <w:rPr>
          <w:b/>
          <w:bCs/>
        </w:rPr>
        <w:t>Bakgrund:</w:t>
      </w:r>
      <w:r>
        <w:t xml:space="preserve"> Syftet med punkten är att notera den årliga rapporten om förmågeutveckling inom EU. Den 19 september 2014 lade Europeiska utrikestjänsten fram ett skriftligt bidrag till utkastet till samlad lägesrapport om utvecklingen av EU:s militära resurser från november 2013 till oktober 2014. Vid mötet den 29 oktober 2014 godkände Europeiska unionens militära kommitté den samlade lägesrapporten om utvecklingen av EU:s militära resurser från november 2013 till oktober 2014. Vid mötet den 4 november 2014 noterade Kusp lägesrapporten. Coreper uppmanas därför att rekommendera att rådet noterar den samlade lägesrapporten om utvecklingen av EU:s militära resurser från november 2013 till oktober 2014. Sverige har inte haft några synpunkter på rapporten i hanteringen inför detta beslut.</w:t>
      </w:r>
    </w:p>
    <w:p w14:paraId="0E24E14D" w14:textId="77777777" w:rsidR="006D069E" w:rsidRDefault="006D069E" w:rsidP="00594BAA">
      <w:pPr>
        <w:pStyle w:val="Rubrik1"/>
        <w:ind w:left="709" w:firstLine="0"/>
      </w:pPr>
      <w:bookmarkStart w:id="19" w:name="_Toc403634238"/>
      <w:r>
        <w:rPr>
          <w:noProof/>
        </w:rPr>
        <w:t>Progress</w:t>
      </w:r>
      <w:r>
        <w:t xml:space="preserve"> Catalogue 2014</w:t>
      </w:r>
      <w:bookmarkEnd w:id="19"/>
    </w:p>
    <w:p w14:paraId="0E24E14E" w14:textId="585AD6D8" w:rsidR="006D069E" w:rsidRDefault="006D069E" w:rsidP="006D069E">
      <w:pPr>
        <w:rPr>
          <w:lang w:val="en-US"/>
        </w:rPr>
      </w:pPr>
      <w:r>
        <w:rPr>
          <w:noProof/>
          <w:lang w:val="en-US"/>
        </w:rPr>
        <w:t>15219</w:t>
      </w:r>
      <w:r>
        <w:rPr>
          <w:lang w:val="en-US"/>
        </w:rPr>
        <w:t>/14 CSDP/PSDC 637</w:t>
      </w:r>
      <w:r w:rsidR="000D23B0">
        <w:rPr>
          <w:lang w:val="en-US"/>
        </w:rPr>
        <w:t xml:space="preserve"> </w:t>
      </w:r>
      <w:r>
        <w:rPr>
          <w:lang w:val="en-US"/>
        </w:rPr>
        <w:t>15218/14 CSDP/PSDC 636</w:t>
      </w:r>
    </w:p>
    <w:p w14:paraId="0E24E14F" w14:textId="3CCBB28C" w:rsidR="006D069E" w:rsidRDefault="006D069E" w:rsidP="006D069E">
      <w:r>
        <w:rPr>
          <w:b/>
        </w:rPr>
        <w:t>Ansvarigt statsråd</w:t>
      </w:r>
      <w:r w:rsidR="000D23B0">
        <w:rPr>
          <w:b/>
        </w:rPr>
        <w:t xml:space="preserve">: </w:t>
      </w:r>
      <w:r>
        <w:rPr>
          <w:noProof/>
        </w:rPr>
        <w:t>Peter</w:t>
      </w:r>
      <w:r>
        <w:t xml:space="preserve"> Hultqvist</w:t>
      </w:r>
    </w:p>
    <w:p w14:paraId="0E24E153" w14:textId="77777777" w:rsidR="001338D9" w:rsidRDefault="006D069E">
      <w:pPr>
        <w:spacing w:after="280" w:afterAutospacing="1"/>
      </w:pPr>
      <w:r>
        <w:rPr>
          <w:b/>
          <w:bCs/>
        </w:rPr>
        <w:t>Avsikt med behandlingen i rådet:</w:t>
      </w:r>
      <w:r>
        <w:t xml:space="preserve"> Rådet kommer att anta framstegskatalogen.</w:t>
      </w:r>
    </w:p>
    <w:p w14:paraId="0E24E154" w14:textId="77777777" w:rsidR="001338D9" w:rsidRDefault="006D069E">
      <w:pPr>
        <w:spacing w:after="280" w:afterAutospacing="1"/>
      </w:pPr>
      <w:r>
        <w:rPr>
          <w:b/>
          <w:bCs/>
        </w:rPr>
        <w:t>Hur regeringen ställer sig till den blivande A-punkten:</w:t>
      </w:r>
      <w:r>
        <w:t xml:space="preserve"> Regeringen avser rösta ja till denna A-punkt. </w:t>
      </w:r>
    </w:p>
    <w:p w14:paraId="0E24E156" w14:textId="06F4BC09" w:rsidR="006D069E" w:rsidRDefault="006D069E">
      <w:pPr>
        <w:spacing w:after="280" w:afterAutospacing="1"/>
        <w:rPr>
          <w:noProof/>
        </w:rPr>
      </w:pPr>
      <w:r>
        <w:rPr>
          <w:b/>
          <w:bCs/>
        </w:rPr>
        <w:t>Bakgrund:</w:t>
      </w:r>
      <w:r>
        <w:t xml:space="preserve"> Syftet med punkten är att anta en framstegskatalog över kritiska militära brister kopplat till den gemensamma säkerhets- och försvarspolitiken. Bristerna integreras i den så kallade Capability Development Plan som beslutas av den Europeiska försvarsbyråns styrelse, och som är till stöd för medlemsländerna i sin militära förmågeutveckling. Katalogen har hanterats i Europeiska unionens militära kommitté och i KUSP.</w:t>
      </w:r>
    </w:p>
    <w:p w14:paraId="0E24E157" w14:textId="77777777" w:rsidR="006D069E" w:rsidRPr="00E87DF9" w:rsidRDefault="006D069E" w:rsidP="00594BAA">
      <w:pPr>
        <w:pStyle w:val="Rubrik1"/>
        <w:ind w:left="709" w:firstLine="0"/>
        <w:rPr>
          <w:lang w:val="en-US"/>
        </w:rPr>
      </w:pPr>
      <w:bookmarkStart w:id="20" w:name="_Toc403634239"/>
      <w:r w:rsidRPr="00E87DF9">
        <w:rPr>
          <w:noProof/>
          <w:lang w:val="en-US"/>
        </w:rPr>
        <w:t>Policy</w:t>
      </w:r>
      <w:r w:rsidRPr="00E87DF9">
        <w:rPr>
          <w:lang w:val="en-US"/>
        </w:rPr>
        <w:t xml:space="preserve"> Framework for Systematic and Long-Term Defence Cooperation</w:t>
      </w:r>
      <w:bookmarkEnd w:id="20"/>
    </w:p>
    <w:p w14:paraId="0E24E158" w14:textId="77777777" w:rsidR="006D069E" w:rsidRDefault="006D069E" w:rsidP="006D069E">
      <w:pPr>
        <w:rPr>
          <w:lang w:val="en-US"/>
        </w:rPr>
      </w:pPr>
      <w:r>
        <w:rPr>
          <w:noProof/>
          <w:lang w:val="en-US"/>
        </w:rPr>
        <w:t>15089</w:t>
      </w:r>
      <w:r>
        <w:rPr>
          <w:lang w:val="en-US"/>
        </w:rPr>
        <w:t>/14 COPS 283 PESC 1131 CSDP/PSDC 626 POLMIL 95</w:t>
      </w:r>
    </w:p>
    <w:p w14:paraId="0E24E159" w14:textId="1105B503" w:rsidR="006D069E" w:rsidRDefault="006D069E" w:rsidP="006D069E">
      <w:r>
        <w:rPr>
          <w:b/>
        </w:rPr>
        <w:t>Ansvarigt statsråd</w:t>
      </w:r>
      <w:r w:rsidR="000D23B0">
        <w:rPr>
          <w:b/>
        </w:rPr>
        <w:t xml:space="preserve">: </w:t>
      </w:r>
      <w:r>
        <w:rPr>
          <w:noProof/>
        </w:rPr>
        <w:t>Peter</w:t>
      </w:r>
      <w:r>
        <w:t xml:space="preserve"> Hultqvist</w:t>
      </w:r>
    </w:p>
    <w:p w14:paraId="0E24E15D" w14:textId="77777777" w:rsidR="001338D9" w:rsidRDefault="006D069E">
      <w:pPr>
        <w:spacing w:after="280" w:afterAutospacing="1"/>
      </w:pPr>
      <w:r>
        <w:rPr>
          <w:b/>
          <w:bCs/>
        </w:rPr>
        <w:t>Avsikt med behandlingen i rådet:</w:t>
      </w:r>
      <w:r>
        <w:t xml:space="preserve"> Rådet kommer att anta ramverket.</w:t>
      </w:r>
    </w:p>
    <w:p w14:paraId="0E24E15E" w14:textId="77777777" w:rsidR="001338D9" w:rsidRDefault="006D069E">
      <w:pPr>
        <w:spacing w:after="280" w:afterAutospacing="1"/>
      </w:pPr>
      <w:r>
        <w:rPr>
          <w:b/>
          <w:bCs/>
        </w:rPr>
        <w:t>Hur regeringen ställer sig till den blivande A-punkten:</w:t>
      </w:r>
      <w:r>
        <w:t xml:space="preserve"> Regeringen avser rösta ja till denna A-punkt. </w:t>
      </w:r>
    </w:p>
    <w:p w14:paraId="0E24E160" w14:textId="72BCABD9" w:rsidR="006D069E" w:rsidRDefault="006D069E">
      <w:pPr>
        <w:spacing w:after="280" w:afterAutospacing="1"/>
        <w:rPr>
          <w:noProof/>
        </w:rPr>
      </w:pPr>
      <w:r>
        <w:rPr>
          <w:b/>
          <w:bCs/>
        </w:rPr>
        <w:lastRenderedPageBreak/>
        <w:t>Bakgrund:</w:t>
      </w:r>
      <w:r>
        <w:t xml:space="preserve"> Syftet med punkten är att anta ett ramverk för systematiskt och långsiktigt försvarssammarbete. Ramverket har förhandlats i EDA-format och i gemensamma EDA/PMG-möten under hösten 2014. Ramverket har genom de olika utkasten blivit mer övergripande och strategiskt skriven än tidigare utkast och mer i enlighet med Sveriges syn på ett ändamålsenligt ramverk. Föreliggande version av ramverket bedöms uppfylla flera av de krav Sverige har haft i förhandlingarna av texten. Ramverket bedöms inte innehålla några delar som är oacceptabla för Sverige avseende t.ex. befintliga samarbetsprocesser inom Nato och EU, frivillighet, variabel geometri vad gäller deltagande samt mellanstatlighet. Antagande av ramverket är också uppsatt som beslutpunkt på agendan för EDA styrelsemöte i ministerformat den 18 november.</w:t>
      </w:r>
    </w:p>
    <w:p w14:paraId="0E24E161" w14:textId="77777777" w:rsidR="006D069E" w:rsidRDefault="006D069E" w:rsidP="00594BAA">
      <w:pPr>
        <w:pStyle w:val="Rubrik1"/>
        <w:ind w:left="709" w:firstLine="0"/>
      </w:pPr>
      <w:bookmarkStart w:id="21" w:name="_Toc403634240"/>
      <w:r>
        <w:rPr>
          <w:noProof/>
        </w:rPr>
        <w:t>EU</w:t>
      </w:r>
      <w:r>
        <w:t xml:space="preserve"> Cyber Defence Policy Framework</w:t>
      </w:r>
      <w:bookmarkEnd w:id="21"/>
    </w:p>
    <w:p w14:paraId="0E24E162" w14:textId="77777777" w:rsidR="006D069E" w:rsidRDefault="006D069E" w:rsidP="006D069E">
      <w:pPr>
        <w:rPr>
          <w:lang w:val="en-US"/>
        </w:rPr>
      </w:pPr>
      <w:r>
        <w:rPr>
          <w:noProof/>
          <w:lang w:val="en-US"/>
        </w:rPr>
        <w:t>15193</w:t>
      </w:r>
      <w:r>
        <w:rPr>
          <w:lang w:val="en-US"/>
        </w:rPr>
        <w:t>/14 COPS 287 POLMIL 97 CYBER 58 RELEX 897 JAI 845TELECOM 196 CSC 242 CIS 12 COSI 111</w:t>
      </w:r>
    </w:p>
    <w:p w14:paraId="0E24E163" w14:textId="0CF29162" w:rsidR="006D069E" w:rsidRDefault="006D069E" w:rsidP="006D069E">
      <w:r>
        <w:rPr>
          <w:b/>
        </w:rPr>
        <w:t>Ansvarigt statsråd</w:t>
      </w:r>
      <w:r w:rsidR="000D23B0">
        <w:rPr>
          <w:b/>
        </w:rPr>
        <w:t xml:space="preserve">: </w:t>
      </w:r>
      <w:r>
        <w:rPr>
          <w:noProof/>
        </w:rPr>
        <w:t>Margot</w:t>
      </w:r>
      <w:r>
        <w:t xml:space="preserve"> Wallström</w:t>
      </w:r>
    </w:p>
    <w:p w14:paraId="0E24E168" w14:textId="53D38D2A" w:rsidR="001338D9" w:rsidRDefault="006D069E">
      <w:pPr>
        <w:spacing w:after="280" w:afterAutospacing="1"/>
      </w:pPr>
      <w:r>
        <w:rPr>
          <w:b/>
          <w:bCs/>
        </w:rPr>
        <w:t>Avsikt med behandlingen i rådet:</w:t>
      </w:r>
      <w:r w:rsidR="000D23B0">
        <w:rPr>
          <w:b/>
          <w:bCs/>
        </w:rPr>
        <w:t xml:space="preserve"> </w:t>
      </w:r>
      <w:r>
        <w:t>Att anta framförhandlat policydokument ”EU Cyber Defence Policy Framework”. </w:t>
      </w:r>
    </w:p>
    <w:p w14:paraId="0E24E16A" w14:textId="2342DAE6" w:rsidR="001338D9" w:rsidRDefault="006D069E">
      <w:pPr>
        <w:spacing w:after="280" w:afterAutospacing="1"/>
      </w:pPr>
      <w:r>
        <w:rPr>
          <w:b/>
          <w:bCs/>
        </w:rPr>
        <w:t>Hur regeringen ställer sig till den blivande A-punkten:</w:t>
      </w:r>
      <w:r>
        <w:t xml:space="preserve"> </w:t>
      </w:r>
      <w:r w:rsidR="00123E44">
        <w:t xml:space="preserve">Regeringen avser rösta ja. </w:t>
      </w:r>
    </w:p>
    <w:p w14:paraId="0E24E16C" w14:textId="54F03CB8" w:rsidR="001338D9" w:rsidRDefault="006D069E">
      <w:pPr>
        <w:spacing w:after="280" w:afterAutospacing="1"/>
      </w:pPr>
      <w:r>
        <w:rPr>
          <w:b/>
          <w:bCs/>
        </w:rPr>
        <w:t>Bakgrund:</w:t>
      </w:r>
      <w:r w:rsidR="000D23B0">
        <w:rPr>
          <w:b/>
          <w:bCs/>
        </w:rPr>
        <w:t xml:space="preserve"> </w:t>
      </w:r>
      <w:r>
        <w:t xml:space="preserve">Ett policydokument avseende cyberförsvaråtgärder och -funktioner kopplade till </w:t>
      </w:r>
      <w:r w:rsidR="00123E44">
        <w:t xml:space="preserve">den gemensamma säkerhets- och försvarspolitiken, </w:t>
      </w:r>
      <w:r>
        <w:t>CSDP</w:t>
      </w:r>
      <w:r w:rsidR="00123E44">
        <w:t>,</w:t>
      </w:r>
      <w:r>
        <w:t xml:space="preserve"> (EU Cyber Defence Policy Framework MD 33/14 REV 3) har framförhandlats inom PMG </w:t>
      </w:r>
      <w:r w:rsidR="00123E44" w:rsidRPr="00123E44">
        <w:t>(Politico-Military Group)</w:t>
      </w:r>
      <w:r w:rsidR="00123E44">
        <w:rPr>
          <w:rStyle w:val="st"/>
          <w:rFonts w:ascii="Arial" w:hAnsi="Arial" w:cs="Arial"/>
          <w:color w:val="222222"/>
        </w:rPr>
        <w:t xml:space="preserve"> </w:t>
      </w:r>
      <w:r>
        <w:t>genom utlöpande av tyst procedur den 11 november.</w:t>
      </w:r>
    </w:p>
    <w:p w14:paraId="0E24E16D" w14:textId="77777777" w:rsidR="001338D9" w:rsidRDefault="006D069E">
      <w:pPr>
        <w:spacing w:after="280" w:afterAutospacing="1"/>
      </w:pPr>
      <w:r>
        <w:t>Ett fokus för slutsatserna från Europeiska rådet i december förra året var att inom ramen för CSDP utforma en policy for cyberförsvar och funktioner kopplade till CSDP.  Denna målsättning återfinns också i EU:s cybersäkerhetsstrategi.</w:t>
      </w:r>
    </w:p>
    <w:p w14:paraId="0E24E16E" w14:textId="7702A772" w:rsidR="001338D9" w:rsidRDefault="006D069E">
      <w:pPr>
        <w:spacing w:after="280" w:afterAutospacing="1"/>
      </w:pPr>
      <w:r>
        <w:t xml:space="preserve">Enligt slutsatserna från Europeiska rådet ska </w:t>
      </w:r>
      <w:r w:rsidR="00B3347E">
        <w:t>den höge representanter (</w:t>
      </w:r>
      <w:r>
        <w:t>HR</w:t>
      </w:r>
      <w:r w:rsidR="00B3347E">
        <w:t>/VP)</w:t>
      </w:r>
      <w:r>
        <w:t xml:space="preserve"> i samarbete med EDA och kommissionen under 2014 ta fram ett utkast till policyramverk för ett cyberförsvar för EU. En vägkarta och konkreta samarbets- och utbildningsprojekt ska också utarbetas. </w:t>
      </w:r>
    </w:p>
    <w:p w14:paraId="0E24E171" w14:textId="77777777" w:rsidR="006D069E" w:rsidRPr="00E87DF9" w:rsidRDefault="006D069E" w:rsidP="00594BAA">
      <w:pPr>
        <w:pStyle w:val="Rubrik1"/>
        <w:ind w:left="709" w:firstLine="0"/>
        <w:rPr>
          <w:lang w:val="en-US"/>
        </w:rPr>
      </w:pPr>
      <w:bookmarkStart w:id="22" w:name="_Toc403634241"/>
      <w:r w:rsidRPr="00E87DF9">
        <w:rPr>
          <w:noProof/>
          <w:lang w:val="en-US"/>
        </w:rPr>
        <w:t>Council</w:t>
      </w:r>
      <w:r w:rsidRPr="00E87DF9">
        <w:rPr>
          <w:lang w:val="en-US"/>
        </w:rPr>
        <w:t xml:space="preserve"> Decision amending Decision 2014/145/CFSP concerning restrictive measures in respect of actions undermining or threatening the territorial integrity, sovereignty and independence of Ukraine</w:t>
      </w:r>
      <w:r w:rsidRPr="00E87DF9">
        <w:rPr>
          <w:lang w:val="en-US"/>
        </w:rPr>
        <w:br/>
        <w:t>=Council Implementing Regulation implementing Regulation (EU) n° 269/2014 concerning restrictive measures in respect of actions undermining or threatening the territorial integrity, sovereignty and independence of Ukraine</w:t>
      </w:r>
      <w:bookmarkEnd w:id="22"/>
    </w:p>
    <w:p w14:paraId="0E24E172" w14:textId="3BEAA37F" w:rsidR="006D069E" w:rsidRDefault="006D069E" w:rsidP="006D069E">
      <w:pPr>
        <w:rPr>
          <w:lang w:val="en-US"/>
        </w:rPr>
      </w:pPr>
      <w:r>
        <w:rPr>
          <w:noProof/>
          <w:lang w:val="en-US"/>
        </w:rPr>
        <w:t>15060</w:t>
      </w:r>
      <w:r>
        <w:rPr>
          <w:lang w:val="en-US"/>
        </w:rPr>
        <w:t>/14 PESC 1128 RELEX 889 COEST 405 FIN 819</w:t>
      </w:r>
      <w:r w:rsidR="000D23B0">
        <w:rPr>
          <w:lang w:val="en-US"/>
        </w:rPr>
        <w:t xml:space="preserve"> </w:t>
      </w:r>
      <w:r>
        <w:rPr>
          <w:lang w:val="en-US"/>
        </w:rPr>
        <w:t>14880/14 PESC 1112 COEST 392 FIN 802</w:t>
      </w:r>
      <w:r w:rsidR="000D23B0">
        <w:rPr>
          <w:lang w:val="en-US"/>
        </w:rPr>
        <w:t xml:space="preserve"> </w:t>
      </w:r>
      <w:r>
        <w:rPr>
          <w:lang w:val="en-US"/>
        </w:rPr>
        <w:t>14881/14 PESC 1113 RELEX 876 COEST 393 FIN 803</w:t>
      </w:r>
    </w:p>
    <w:p w14:paraId="0E24E173" w14:textId="7B98B1EA" w:rsidR="006D069E" w:rsidRDefault="006D069E" w:rsidP="00092A8A">
      <w:pPr>
        <w:tabs>
          <w:tab w:val="left" w:pos="6495"/>
        </w:tabs>
      </w:pPr>
      <w:r>
        <w:rPr>
          <w:b/>
        </w:rPr>
        <w:t>Ansvarigt statsråd</w:t>
      </w:r>
      <w:r w:rsidR="000D23B0">
        <w:rPr>
          <w:b/>
        </w:rPr>
        <w:t xml:space="preserve">: </w:t>
      </w:r>
      <w:r>
        <w:rPr>
          <w:noProof/>
        </w:rPr>
        <w:t>Margot</w:t>
      </w:r>
      <w:r>
        <w:t xml:space="preserve"> Wallström</w:t>
      </w:r>
      <w:r w:rsidR="00092A8A">
        <w:tab/>
      </w:r>
    </w:p>
    <w:p w14:paraId="7855443F" w14:textId="49AB3B8D" w:rsidR="003605E4" w:rsidRPr="003605E4" w:rsidRDefault="003605E4" w:rsidP="003605E4">
      <w:pPr>
        <w:tabs>
          <w:tab w:val="left" w:pos="3510"/>
        </w:tabs>
        <w:rPr>
          <w:b/>
        </w:rPr>
      </w:pPr>
      <w:r w:rsidRPr="003605E4">
        <w:rPr>
          <w:b/>
        </w:rPr>
        <w:lastRenderedPageBreak/>
        <w:t>Avsikt med behandlingen i rådet:</w:t>
      </w:r>
      <w:r>
        <w:rPr>
          <w:b/>
        </w:rPr>
        <w:t xml:space="preserve"> </w:t>
      </w:r>
      <w:r w:rsidRPr="003605E4">
        <w:t>Rådet väntas godkänna ändring i rättsakterna avseende en listad individ (ryske dumaledamoten Vladimir Volfovitj Zhirinovskij) inom EU:s restriktiva åtgärder (sanktioner) mot åtgärder som undergräver eller hotar Ukrainas territoriella integritet, suveränitet och oberoende.</w:t>
      </w:r>
    </w:p>
    <w:p w14:paraId="252C77A0" w14:textId="2DE08BF7" w:rsidR="003605E4" w:rsidRPr="003605E4" w:rsidRDefault="003605E4" w:rsidP="003605E4">
      <w:pPr>
        <w:tabs>
          <w:tab w:val="left" w:pos="3510"/>
        </w:tabs>
      </w:pPr>
      <w:r w:rsidRPr="003605E4">
        <w:rPr>
          <w:b/>
        </w:rPr>
        <w:t>Hur regeringen ställer sig till den blivande A-punkten:</w:t>
      </w:r>
      <w:r>
        <w:rPr>
          <w:b/>
        </w:rPr>
        <w:t xml:space="preserve"> </w:t>
      </w:r>
      <w:r w:rsidRPr="003605E4">
        <w:t xml:space="preserve">Regeringen </w:t>
      </w:r>
      <w:r w:rsidR="00E37056">
        <w:t xml:space="preserve">avser att </w:t>
      </w:r>
      <w:r w:rsidRPr="003605E4">
        <w:t xml:space="preserve">rösta för ändring i rättsakterna. </w:t>
      </w:r>
    </w:p>
    <w:p w14:paraId="4C2E6BB7" w14:textId="6290202D" w:rsidR="003605E4" w:rsidRPr="003605E4" w:rsidRDefault="003605E4" w:rsidP="003605E4">
      <w:pPr>
        <w:tabs>
          <w:tab w:val="left" w:pos="3510"/>
        </w:tabs>
      </w:pPr>
      <w:r w:rsidRPr="003605E4">
        <w:rPr>
          <w:b/>
        </w:rPr>
        <w:t>Bakgrund:</w:t>
      </w:r>
      <w:r>
        <w:rPr>
          <w:b/>
        </w:rPr>
        <w:t xml:space="preserve"> </w:t>
      </w:r>
      <w:r w:rsidRPr="003605E4">
        <w:t xml:space="preserve">Beslutet innebär ändring i identifikationsuppgifterna för den ryske dumaledamoten Vladimir Volfovitj Zhirinovskij. Zhirinovskij listades av EU den 12 september och belades då med inreseförbud i EU samt frysning av eventuella tillgångar. Dock finns ett antal felaktigheter i den s.k. identifikationen av Zhirinovskij i EU:s rättsakter. Exempelvis ska fel födelsedatum ha angetts och Zhirinovskijs namn ha felstavats på ryska. Felaktigheter som dessa avses korrigeras med rådsbeslut MD 2014 285 och rådsförordning MD 2014 286. Ändringarna i rättsakterna kräver enhällighet vilket för svensk del fodrar regeringsbeslut. </w:t>
      </w:r>
    </w:p>
    <w:p w14:paraId="0E24E177" w14:textId="77777777" w:rsidR="006D069E" w:rsidRPr="00E87DF9" w:rsidRDefault="006D069E" w:rsidP="00594BAA">
      <w:pPr>
        <w:pStyle w:val="Rubrik1"/>
        <w:ind w:left="709" w:firstLine="0"/>
        <w:rPr>
          <w:lang w:val="en-US"/>
        </w:rPr>
      </w:pPr>
      <w:bookmarkStart w:id="23" w:name="_Toc403634242"/>
      <w:r w:rsidRPr="00E87DF9">
        <w:rPr>
          <w:noProof/>
          <w:lang w:val="en-US"/>
        </w:rPr>
        <w:t>Council</w:t>
      </w:r>
      <w:r w:rsidRPr="00E87DF9">
        <w:rPr>
          <w:lang w:val="en-US"/>
        </w:rPr>
        <w:t xml:space="preserve"> Decision launching the European Union Advisory Mission for Civilian Security Sector Reform Ukraine (EUAM Ukraine) and amending Decision 2014/486/CFSP</w:t>
      </w:r>
      <w:bookmarkEnd w:id="23"/>
    </w:p>
    <w:p w14:paraId="0E24E178" w14:textId="5802DA45" w:rsidR="006D069E" w:rsidRDefault="006D069E" w:rsidP="006D069E">
      <w:pPr>
        <w:rPr>
          <w:lang w:val="en-US"/>
        </w:rPr>
      </w:pPr>
      <w:r>
        <w:rPr>
          <w:noProof/>
          <w:lang w:val="en-US"/>
        </w:rPr>
        <w:t>15286</w:t>
      </w:r>
      <w:r>
        <w:rPr>
          <w:lang w:val="en-US"/>
        </w:rPr>
        <w:t>/14 CSDP/PSCD 643 PESC 1149 COEST 411 RELEX 905CONUN 176 CSC 246 EUAM UKRAINE 21</w:t>
      </w:r>
      <w:r w:rsidR="000D23B0">
        <w:rPr>
          <w:lang w:val="en-US"/>
        </w:rPr>
        <w:t xml:space="preserve"> </w:t>
      </w:r>
      <w:r>
        <w:rPr>
          <w:lang w:val="en-US"/>
        </w:rPr>
        <w:t>14631/14 CSDP/PSDC 601 PESC 1092 COEST 387 RELEX 856 CONUN 168 CSC 229 EUAM UKRAINE 19</w:t>
      </w:r>
    </w:p>
    <w:p w14:paraId="0E24E179" w14:textId="6CB893E8" w:rsidR="006D069E" w:rsidRDefault="006D069E" w:rsidP="006D069E">
      <w:r>
        <w:rPr>
          <w:b/>
        </w:rPr>
        <w:t>Ansvarigt statsråd</w:t>
      </w:r>
      <w:r w:rsidR="000D23B0">
        <w:rPr>
          <w:b/>
        </w:rPr>
        <w:t xml:space="preserve">: </w:t>
      </w:r>
      <w:r>
        <w:rPr>
          <w:noProof/>
        </w:rPr>
        <w:t>Margot</w:t>
      </w:r>
      <w:r>
        <w:t xml:space="preserve"> Wallström</w:t>
      </w:r>
    </w:p>
    <w:p w14:paraId="0E24E17E" w14:textId="377A3A2C" w:rsidR="001338D9" w:rsidRDefault="006D069E">
      <w:pPr>
        <w:spacing w:after="280" w:afterAutospacing="1"/>
      </w:pPr>
      <w:r>
        <w:rPr>
          <w:b/>
          <w:bCs/>
        </w:rPr>
        <w:t>Avsikt med behandlingen i rådet:</w:t>
      </w:r>
      <w:r w:rsidR="000D23B0">
        <w:rPr>
          <w:b/>
          <w:bCs/>
        </w:rPr>
        <w:t xml:space="preserve"> </w:t>
      </w:r>
      <w:r>
        <w:t>Rådet föreslås anta ett beslut om lansering av Europeiska unionens rådgivande insats för reform av den civila säkerhetssektorn i Ukraina (EUAM Ukraine) samt ändring av beslut 2014/486/GUSP </w:t>
      </w:r>
    </w:p>
    <w:p w14:paraId="0E24E180" w14:textId="2A72B711" w:rsidR="001338D9" w:rsidRDefault="006D069E">
      <w:pPr>
        <w:spacing w:after="280" w:afterAutospacing="1"/>
      </w:pPr>
      <w:r>
        <w:rPr>
          <w:b/>
          <w:bCs/>
        </w:rPr>
        <w:t>Hur regeringen ställer sig till den blivande A-punkten:</w:t>
      </w:r>
      <w:r>
        <w:t xml:space="preserve"> Regeringen avser rösta ja. </w:t>
      </w:r>
    </w:p>
    <w:p w14:paraId="742137E5" w14:textId="7B3D43B5" w:rsidR="000D23B0" w:rsidRDefault="006D069E">
      <w:pPr>
        <w:spacing w:after="280" w:afterAutospacing="1"/>
      </w:pPr>
      <w:r>
        <w:rPr>
          <w:b/>
          <w:bCs/>
        </w:rPr>
        <w:t>Bakgrund:</w:t>
      </w:r>
      <w:r w:rsidR="000D23B0">
        <w:rPr>
          <w:b/>
          <w:bCs/>
        </w:rPr>
        <w:t xml:space="preserve"> </w:t>
      </w:r>
      <w:r>
        <w:t>EU:s rådg</w:t>
      </w:r>
      <w:r w:rsidR="00B3347E">
        <w:t>ivande civila insats i Ukraina ”</w:t>
      </w:r>
      <w:r>
        <w:t>EU Advisory Mission for Civilian Security Secto</w:t>
      </w:r>
      <w:r w:rsidR="00B3347E">
        <w:t>r Reform Ukraine (EUAM Ukraine)”</w:t>
      </w:r>
      <w:r>
        <w:t xml:space="preserve"> upprättades formellt genom rådsbeslut den 22 juli 2014. Insatsen, som inte har något exekutivt mandat, kommer att bestå av rådgivare inom området för säkerhetssektorsreform (SSR) i syfte att stödja reform av civila säkerhetssektorn, inklusive polisen och rättsväsendet. Insatsen ska ge råd till ukrainska myndigheter och bistå dem i att ta fram en strategi för reform av säkerhetssektorn, och att genomföra den. Målsättningen är legitima säkerhetsstrukturer som, under demokratisk kontroll, agerar i enlighet med rättstatens principer, och har allmänhetens förtroende. </w:t>
      </w:r>
    </w:p>
    <w:p w14:paraId="0E24E183" w14:textId="1AEF6039" w:rsidR="006D069E" w:rsidRDefault="006D069E">
      <w:pPr>
        <w:spacing w:after="280" w:afterAutospacing="1"/>
        <w:rPr>
          <w:noProof/>
        </w:rPr>
      </w:pPr>
      <w:r>
        <w:t>Insatsen ska verka i nära samarbete med OSSE och andra internationella partners. Mandatet sträcker sig inledningsvis över 24 månader. En första strategisk översyn är planerad till hösten 2015.</w:t>
      </w:r>
    </w:p>
    <w:p w14:paraId="0E24E184" w14:textId="77777777" w:rsidR="006D069E" w:rsidRPr="00E87DF9" w:rsidRDefault="006D069E" w:rsidP="00594BAA">
      <w:pPr>
        <w:pStyle w:val="Rubrik1"/>
        <w:ind w:left="709"/>
        <w:rPr>
          <w:lang w:val="en-US"/>
        </w:rPr>
      </w:pPr>
      <w:bookmarkStart w:id="24" w:name="_Toc403634243"/>
      <w:r w:rsidRPr="00E87DF9">
        <w:rPr>
          <w:noProof/>
          <w:lang w:val="en-US"/>
        </w:rPr>
        <w:lastRenderedPageBreak/>
        <w:t>Council</w:t>
      </w:r>
      <w:r w:rsidRPr="00E87DF9">
        <w:rPr>
          <w:lang w:val="en-US"/>
        </w:rPr>
        <w:t xml:space="preserve"> Decision amending and extending Decision 2012/173/CFSP on the activation of the EU Operations Centre for the Common Security and Defence Policy missions and operation in the Horn of Africa</w:t>
      </w:r>
      <w:bookmarkEnd w:id="24"/>
    </w:p>
    <w:p w14:paraId="0E24E185" w14:textId="2FD3CB22" w:rsidR="006D069E" w:rsidRDefault="006D069E" w:rsidP="006D069E">
      <w:pPr>
        <w:rPr>
          <w:lang w:val="en-US"/>
        </w:rPr>
      </w:pPr>
      <w:r>
        <w:rPr>
          <w:noProof/>
          <w:lang w:val="en-US"/>
        </w:rPr>
        <w:t>15212</w:t>
      </w:r>
      <w:r>
        <w:rPr>
          <w:lang w:val="en-US"/>
        </w:rPr>
        <w:t>/14 PESC 1140 CSDP/PSDC 635 COAFR 308 EUTRA SOMALIA 13SOMALIA 19 CSC 243</w:t>
      </w:r>
      <w:r w:rsidR="000D23B0">
        <w:rPr>
          <w:lang w:val="en-US"/>
        </w:rPr>
        <w:t xml:space="preserve"> </w:t>
      </w:r>
      <w:r>
        <w:rPr>
          <w:lang w:val="en-US"/>
        </w:rPr>
        <w:t>14291/14 PESC 1059 CSDP/PSDC 585 COAFR 289 EUTRA SOMALIA 12SOMALIA 18 CSC 225</w:t>
      </w:r>
    </w:p>
    <w:p w14:paraId="0E24E186" w14:textId="11F9A40B" w:rsidR="006D069E" w:rsidRDefault="006D069E" w:rsidP="006D069E">
      <w:r>
        <w:rPr>
          <w:b/>
        </w:rPr>
        <w:t>Ansvarigt statsråd</w:t>
      </w:r>
      <w:r w:rsidR="000D23B0">
        <w:rPr>
          <w:b/>
        </w:rPr>
        <w:t xml:space="preserve">: </w:t>
      </w:r>
      <w:r>
        <w:rPr>
          <w:noProof/>
        </w:rPr>
        <w:t>Margot</w:t>
      </w:r>
      <w:r>
        <w:t xml:space="preserve"> Wallström</w:t>
      </w:r>
    </w:p>
    <w:p w14:paraId="0E24E18B" w14:textId="17A21B61" w:rsidR="001338D9" w:rsidRDefault="006D069E">
      <w:pPr>
        <w:spacing w:after="280" w:afterAutospacing="1"/>
      </w:pPr>
      <w:r>
        <w:rPr>
          <w:b/>
          <w:bCs/>
        </w:rPr>
        <w:t>Avsikt med behandlingen i rådet:</w:t>
      </w:r>
      <w:r w:rsidR="000D23B0">
        <w:rPr>
          <w:b/>
          <w:bCs/>
        </w:rPr>
        <w:t xml:space="preserve"> </w:t>
      </w:r>
      <w:r>
        <w:t>Fatta beslut om ändring och förlängning av mandatet till 31 december 2016 för Europeiska unionens operationscenter för GSFP insatser och missioner på Afrikas horn (OPCEN). </w:t>
      </w:r>
    </w:p>
    <w:p w14:paraId="0E24E18D" w14:textId="59C00461" w:rsidR="001338D9" w:rsidRDefault="006D069E">
      <w:pPr>
        <w:spacing w:after="280" w:afterAutospacing="1"/>
      </w:pPr>
      <w:r>
        <w:rPr>
          <w:b/>
          <w:bCs/>
        </w:rPr>
        <w:t>Hur regeringen ställer sig till den blivande A-punkten:</w:t>
      </w:r>
      <w:r>
        <w:t xml:space="preserve"> Regeringen avser rösta ja till att rådet antar beslutet. </w:t>
      </w:r>
    </w:p>
    <w:p w14:paraId="0E24E18F" w14:textId="376D8F1B" w:rsidR="001338D9" w:rsidRDefault="006D069E">
      <w:pPr>
        <w:spacing w:after="280" w:afterAutospacing="1"/>
      </w:pPr>
      <w:r>
        <w:rPr>
          <w:b/>
          <w:bCs/>
        </w:rPr>
        <w:t>Bakgrund:</w:t>
      </w:r>
      <w:r w:rsidR="000D23B0">
        <w:rPr>
          <w:b/>
          <w:bCs/>
        </w:rPr>
        <w:t xml:space="preserve"> </w:t>
      </w:r>
      <w:r>
        <w:t xml:space="preserve">EU:s operationscenter (OPCEN) för Afrikas horn aktiverades den 23 mars 2012 genom rådsbeslutet 2012/173/GUSP. OPCEN ämnar koordinera och samordna EU:s insatser på Afrikas horn (Atalanta, EUCAP Nestor samt EUTM Somalia). Ändring och förlängning av beslutet </w:t>
      </w:r>
      <w:r w:rsidR="00C90B90">
        <w:t>innebär</w:t>
      </w:r>
      <w:r>
        <w:t xml:space="preserve"> en förlängning av mandatet till 2016 och att Sahel inkluderas i OP</w:t>
      </w:r>
      <w:r w:rsidR="000D23B0">
        <w:t xml:space="preserve">CEN:s </w:t>
      </w:r>
      <w:r w:rsidR="00C90B90">
        <w:t>geografiska</w:t>
      </w:r>
      <w:r w:rsidR="000D23B0">
        <w:t xml:space="preserve"> ansvarsområde.</w:t>
      </w:r>
      <w:r>
        <w:t xml:space="preserve"> </w:t>
      </w:r>
    </w:p>
    <w:p w14:paraId="0E24E191" w14:textId="77777777" w:rsidR="006D069E" w:rsidRPr="00E87DF9" w:rsidRDefault="006D069E" w:rsidP="00594BAA">
      <w:pPr>
        <w:pStyle w:val="Rubrik1"/>
        <w:ind w:left="709" w:firstLine="0"/>
        <w:rPr>
          <w:lang w:val="en-US"/>
        </w:rPr>
      </w:pPr>
      <w:bookmarkStart w:id="25" w:name="_Toc403634244"/>
      <w:r w:rsidRPr="00E87DF9">
        <w:rPr>
          <w:noProof/>
          <w:lang w:val="en-US"/>
        </w:rPr>
        <w:t>Council</w:t>
      </w:r>
      <w:r w:rsidRPr="00E87DF9">
        <w:rPr>
          <w:lang w:val="en-US"/>
        </w:rPr>
        <w:t xml:space="preserve"> Decision amending and extending Joint Action 2008/851/CFSP on a European Union military operation to contribute to the deterrence, prevention and repression of acts of piracy and armed robbery off the Somali coast</w:t>
      </w:r>
      <w:bookmarkEnd w:id="25"/>
    </w:p>
    <w:p w14:paraId="0E24E195" w14:textId="18D26D5F" w:rsidR="006D069E" w:rsidRPr="00E87DF9" w:rsidRDefault="006D069E" w:rsidP="000D23B0">
      <w:pPr>
        <w:rPr>
          <w:lang w:val="en-US"/>
        </w:rPr>
      </w:pPr>
      <w:r w:rsidRPr="00E87DF9">
        <w:rPr>
          <w:lang w:val="en-US"/>
        </w:rPr>
        <w:t>13096/14 PESC 923 CSDP/PSDC 501 COAFR 243 CONUN 141</w:t>
      </w:r>
      <w:r w:rsidR="000D23B0" w:rsidRPr="00E87DF9">
        <w:rPr>
          <w:lang w:val="en-US"/>
        </w:rPr>
        <w:t xml:space="preserve"> </w:t>
      </w:r>
      <w:r w:rsidRPr="00E87DF9">
        <w:rPr>
          <w:lang w:val="en-US"/>
        </w:rPr>
        <w:t>SOMALIA 16 CSC 201</w:t>
      </w:r>
      <w:r w:rsidR="000D23B0" w:rsidRPr="00E87DF9">
        <w:rPr>
          <w:lang w:val="en-US"/>
        </w:rPr>
        <w:t xml:space="preserve"> </w:t>
      </w:r>
      <w:r w:rsidRPr="00E87DF9">
        <w:rPr>
          <w:lang w:val="en-US"/>
        </w:rPr>
        <w:t xml:space="preserve">6514/14 PESC 149 CSDP/PSDC 87 COAFR 40 CONUN 33 </w:t>
      </w:r>
      <w:r w:rsidR="000D23B0" w:rsidRPr="00E87DF9">
        <w:rPr>
          <w:lang w:val="en-US"/>
        </w:rPr>
        <w:t xml:space="preserve"> </w:t>
      </w:r>
      <w:r w:rsidRPr="00E87DF9">
        <w:rPr>
          <w:lang w:val="en-US"/>
        </w:rPr>
        <w:t>SOMALIA 3 CSC 27</w:t>
      </w:r>
    </w:p>
    <w:p w14:paraId="0E24E199" w14:textId="3108CCD1" w:rsidR="006D069E" w:rsidRDefault="006D069E" w:rsidP="006D069E">
      <w:r>
        <w:rPr>
          <w:b/>
        </w:rPr>
        <w:t>Ansvarigt statsråd</w:t>
      </w:r>
      <w:r w:rsidR="000D23B0">
        <w:rPr>
          <w:b/>
        </w:rPr>
        <w:t xml:space="preserve">: </w:t>
      </w:r>
      <w:r>
        <w:rPr>
          <w:noProof/>
        </w:rPr>
        <w:t>Margot</w:t>
      </w:r>
      <w:r>
        <w:t xml:space="preserve"> Wallström</w:t>
      </w:r>
    </w:p>
    <w:p w14:paraId="0E24E19B" w14:textId="0CD31BAE" w:rsidR="001338D9" w:rsidRDefault="006D069E">
      <w:pPr>
        <w:spacing w:after="280" w:afterAutospacing="1"/>
      </w:pPr>
      <w:r>
        <w:rPr>
          <w:b/>
          <w:bCs/>
        </w:rPr>
        <w:t>Avsikt med behandlingen i rådet:</w:t>
      </w:r>
      <w:r w:rsidR="000D23B0">
        <w:rPr>
          <w:b/>
          <w:bCs/>
        </w:rPr>
        <w:t xml:space="preserve"> </w:t>
      </w:r>
      <w:r w:rsidR="00C90B90">
        <w:t xml:space="preserve">Rådet föreslås fatta </w:t>
      </w:r>
      <w:r>
        <w:t>beslut om ändring och förlängning av mandatet för Europeiska unionens militära insats EU NAVFOR Operation Atalanta till den 12 december 2016 i enlighet med en strategisk översyn och på rekommendation av kommittén för utrikes- och säkerhetspolitik. </w:t>
      </w:r>
    </w:p>
    <w:p w14:paraId="0E24E19D" w14:textId="49EBE2A5" w:rsidR="001338D9" w:rsidRDefault="006D069E">
      <w:pPr>
        <w:spacing w:after="280" w:afterAutospacing="1"/>
      </w:pPr>
      <w:r>
        <w:rPr>
          <w:b/>
          <w:bCs/>
        </w:rPr>
        <w:t>Hur regeringen ställer sig till den blivande A-punkten:</w:t>
      </w:r>
      <w:r>
        <w:t xml:space="preserve"> Regeringen avser rösta ja</w:t>
      </w:r>
      <w:r w:rsidR="00C90B90">
        <w:t xml:space="preserve">. </w:t>
      </w:r>
    </w:p>
    <w:p w14:paraId="0E24E1A0" w14:textId="3BE029EC" w:rsidR="006D069E" w:rsidRDefault="006D069E">
      <w:pPr>
        <w:spacing w:after="280" w:afterAutospacing="1"/>
        <w:rPr>
          <w:noProof/>
        </w:rPr>
      </w:pPr>
      <w:r>
        <w:rPr>
          <w:b/>
          <w:bCs/>
        </w:rPr>
        <w:t>Bakgrund:</w:t>
      </w:r>
      <w:r w:rsidR="000D23B0">
        <w:rPr>
          <w:b/>
          <w:bCs/>
        </w:rPr>
        <w:t xml:space="preserve"> </w:t>
      </w:r>
      <w:r>
        <w:t>Den 10 november 2008 antog rådet den gemensamma åtgärden 2008/851/GUSP om Europeiska unionens militära insats EU NAVFOR Operation Atalanta i syfte att bidra till avvärjande, förebyggande och bekämpande av piratdåd och väpnade rån utanför Somalias kust. Insatsens mandat sträcker sig till den 12 december. Förlängningen av den gemensamma åtgärden innebär ett justerat och breddat mandat för insatsen och innebär en förlängning till den 12 december 2016.</w:t>
      </w:r>
    </w:p>
    <w:p w14:paraId="361AAF9D" w14:textId="77777777" w:rsidR="009C6D6C" w:rsidRDefault="009C6D6C">
      <w:pPr>
        <w:ind w:left="0"/>
        <w:rPr>
          <w:b/>
          <w:bCs/>
          <w:noProof/>
          <w:szCs w:val="28"/>
        </w:rPr>
      </w:pPr>
      <w:r>
        <w:rPr>
          <w:noProof/>
        </w:rPr>
        <w:br w:type="page"/>
      </w:r>
    </w:p>
    <w:p w14:paraId="0E24E1A1" w14:textId="0C6FBFB8" w:rsidR="006D069E" w:rsidRPr="00E87DF9" w:rsidRDefault="006D069E" w:rsidP="00594BAA">
      <w:pPr>
        <w:pStyle w:val="Rubrik1"/>
        <w:ind w:left="709" w:firstLine="0"/>
        <w:rPr>
          <w:lang w:val="en-US"/>
        </w:rPr>
      </w:pPr>
      <w:bookmarkStart w:id="26" w:name="_Toc403634245"/>
      <w:r w:rsidRPr="00E87DF9">
        <w:rPr>
          <w:noProof/>
          <w:lang w:val="en-US"/>
        </w:rPr>
        <w:lastRenderedPageBreak/>
        <w:t>Draft</w:t>
      </w:r>
      <w:r w:rsidRPr="00E87DF9">
        <w:rPr>
          <w:lang w:val="en-US"/>
        </w:rPr>
        <w:t xml:space="preserve"> Council Conclusions on EU membership of the Principal Donors Group of the Extraordinary Chambers in the Courts of Cambodia</w:t>
      </w:r>
      <w:bookmarkEnd w:id="26"/>
    </w:p>
    <w:p w14:paraId="0E24E1A2" w14:textId="220D245D" w:rsidR="006D069E" w:rsidRDefault="006D069E" w:rsidP="006D069E">
      <w:pPr>
        <w:rPr>
          <w:lang w:val="en-US"/>
        </w:rPr>
      </w:pPr>
      <w:r>
        <w:rPr>
          <w:lang w:val="en-US"/>
        </w:rPr>
        <w:t>15194/14 COASI 131 ASIE 69 PESC 1136 CONUN 175 DEVGEN 236</w:t>
      </w:r>
    </w:p>
    <w:p w14:paraId="0E24E1A3" w14:textId="72BF43D5" w:rsidR="006D069E" w:rsidRDefault="006D069E" w:rsidP="006D069E">
      <w:r>
        <w:rPr>
          <w:b/>
        </w:rPr>
        <w:t>Ansvarigt statsråd</w:t>
      </w:r>
      <w:r w:rsidR="000D23B0">
        <w:rPr>
          <w:b/>
        </w:rPr>
        <w:t xml:space="preserve">: </w:t>
      </w:r>
      <w:r>
        <w:rPr>
          <w:noProof/>
        </w:rPr>
        <w:t>Margot</w:t>
      </w:r>
      <w:r>
        <w:t xml:space="preserve"> Wallström</w:t>
      </w:r>
    </w:p>
    <w:p w14:paraId="0E24E1A7" w14:textId="7962B99E" w:rsidR="001338D9" w:rsidRDefault="006D069E">
      <w:pPr>
        <w:spacing w:after="280" w:afterAutospacing="1"/>
      </w:pPr>
      <w:r w:rsidRPr="000D23B0">
        <w:rPr>
          <w:b/>
        </w:rPr>
        <w:t>Avsikt med behandlingen i rådet:</w:t>
      </w:r>
      <w:r>
        <w:t xml:space="preserve"> Rådet föreslås anta rådsslutsatser om att EU ska bli medlem av Kambodjatribunalens givargrupp (Principal Donors Group)</w:t>
      </w:r>
      <w:r w:rsidR="00C90B90">
        <w:t>.</w:t>
      </w:r>
    </w:p>
    <w:p w14:paraId="0E24E1A8" w14:textId="77777777" w:rsidR="001338D9" w:rsidRDefault="006D069E">
      <w:pPr>
        <w:spacing w:after="280" w:afterAutospacing="1"/>
      </w:pPr>
      <w:r w:rsidRPr="000D23B0">
        <w:rPr>
          <w:b/>
        </w:rPr>
        <w:t>Hur regeringen ställer sig till den blivande A-punkten:</w:t>
      </w:r>
      <w:r>
        <w:t xml:space="preserve"> Regeringen avser rösta ja till att rådet antar slutsatserna.</w:t>
      </w:r>
    </w:p>
    <w:p w14:paraId="0E24E1AA" w14:textId="71D0608A" w:rsidR="006D069E" w:rsidRDefault="006D069E">
      <w:pPr>
        <w:spacing w:after="280" w:afterAutospacing="1"/>
        <w:rPr>
          <w:noProof/>
        </w:rPr>
      </w:pPr>
      <w:r w:rsidRPr="000D23B0">
        <w:rPr>
          <w:b/>
        </w:rPr>
        <w:t>Bakgrund:</w:t>
      </w:r>
      <w:r>
        <w:t xml:space="preserve"> EU är en av de största givarna till Kambodjatribunalen, som lagför de mest seniora gärningspersonerna för MR-övergreppen i Demokratiska Kampuchea 1975-1979. </w:t>
      </w:r>
      <w:r w:rsidR="00C90B90">
        <w:t>Slutsatserna</w:t>
      </w:r>
      <w:r>
        <w:t xml:space="preserve"> innebär att EU ska bli medlem av Kambodjatribunalens givargrupp (Principal Donors Group), vilket bl.a. ger ökad möjlighet att följa upp hur EU:s stöd används. Det föreslås att EU-delegationen till UN i NY representerar EU i gruppen.</w:t>
      </w:r>
    </w:p>
    <w:p w14:paraId="0E24E1AB" w14:textId="77777777" w:rsidR="006D069E" w:rsidRPr="00E87DF9" w:rsidRDefault="006D069E" w:rsidP="00594BAA">
      <w:pPr>
        <w:pStyle w:val="Rubrik1"/>
        <w:ind w:left="709" w:firstLine="0"/>
        <w:rPr>
          <w:lang w:val="en-US"/>
        </w:rPr>
      </w:pPr>
      <w:bookmarkStart w:id="27" w:name="_Toc403634246"/>
      <w:r w:rsidRPr="00E87DF9">
        <w:rPr>
          <w:noProof/>
          <w:lang w:val="en-US"/>
        </w:rPr>
        <w:t>Draft</w:t>
      </w:r>
      <w:r w:rsidRPr="00E87DF9">
        <w:rPr>
          <w:lang w:val="en-US"/>
        </w:rPr>
        <w:t xml:space="preserve"> Council Act extending the term of office of a Deputy Director of Europol</w:t>
      </w:r>
      <w:bookmarkEnd w:id="27"/>
    </w:p>
    <w:p w14:paraId="0E24E1AC" w14:textId="77777777" w:rsidR="006D069E" w:rsidRPr="00E87DF9" w:rsidRDefault="006D069E" w:rsidP="006D069E">
      <w:r w:rsidRPr="00E87DF9">
        <w:rPr>
          <w:noProof/>
        </w:rPr>
        <w:t>14133</w:t>
      </w:r>
      <w:r w:rsidRPr="00E87DF9">
        <w:t>/14 ENFOPOL 309</w:t>
      </w:r>
    </w:p>
    <w:p w14:paraId="0E24E1AD" w14:textId="6BE119D0" w:rsidR="006D069E" w:rsidRDefault="006D069E" w:rsidP="006D069E">
      <w:r>
        <w:rPr>
          <w:b/>
        </w:rPr>
        <w:t>Ansvarigt statsråd</w:t>
      </w:r>
      <w:r w:rsidR="000D23B0">
        <w:rPr>
          <w:b/>
        </w:rPr>
        <w:t xml:space="preserve">: </w:t>
      </w:r>
      <w:r>
        <w:rPr>
          <w:noProof/>
        </w:rPr>
        <w:t>Anders</w:t>
      </w:r>
      <w:r>
        <w:t xml:space="preserve"> Ygeman </w:t>
      </w:r>
    </w:p>
    <w:p w14:paraId="0E24E1B1" w14:textId="1256C5C3" w:rsidR="001338D9" w:rsidRDefault="006D069E" w:rsidP="000D23B0">
      <w:r>
        <w:rPr>
          <w:b/>
          <w:bCs/>
        </w:rPr>
        <w:t xml:space="preserve">Avsikt med behandlingen i rådet: </w:t>
      </w:r>
      <w:r>
        <w:t>Rådet uppmanas att anta rådets akt om förlängning av mandatet för Oldřich MARTINŮ som vicedirektör vid Europol samt j</w:t>
      </w:r>
      <w:r w:rsidR="000D23B0">
        <w:t>ustera lönegraden till nivå 14.</w:t>
      </w:r>
      <w:r>
        <w:t xml:space="preserve">  </w:t>
      </w:r>
    </w:p>
    <w:p w14:paraId="0E24E1B2" w14:textId="77777777" w:rsidR="001338D9" w:rsidRDefault="006D069E">
      <w:pPr>
        <w:spacing w:after="280" w:afterAutospacing="1"/>
      </w:pPr>
      <w:r>
        <w:rPr>
          <w:b/>
          <w:bCs/>
        </w:rPr>
        <w:t>Hur regeringen ställer sig till den blivande A-punkten:</w:t>
      </w:r>
      <w:r>
        <w:t xml:space="preserve"> Punkten kan godkännas. </w:t>
      </w:r>
    </w:p>
    <w:p w14:paraId="0E24E1B4" w14:textId="28F6F30C" w:rsidR="006D069E" w:rsidRDefault="006D069E">
      <w:pPr>
        <w:spacing w:after="280" w:afterAutospacing="1"/>
        <w:rPr>
          <w:noProof/>
        </w:rPr>
      </w:pPr>
      <w:r>
        <w:rPr>
          <w:b/>
          <w:bCs/>
        </w:rPr>
        <w:t>Bakgrund:</w:t>
      </w:r>
      <w:r>
        <w:t>Enligt det rådsbeslut som reglerar Europol utser rådet Europols direktör och vicedirektörer på förslag från Europols styrelse. Rådet beslutar även om förlängning av en befintlig direktörs mandat. Europols styrelse har nu föreslagit att mandatet för vicedirektören Oldřich MARTINŮ förlängs och att en ändring av lönegradsplacering till AD 14 tas under övervägande</w:t>
      </w:r>
      <w:r>
        <w:rPr>
          <w:b/>
          <w:bCs/>
        </w:rPr>
        <w:t xml:space="preserve">. </w:t>
      </w:r>
    </w:p>
    <w:p w14:paraId="0E24E1B5" w14:textId="77777777" w:rsidR="006D069E" w:rsidRPr="00E87DF9" w:rsidRDefault="006D069E" w:rsidP="00594BAA">
      <w:pPr>
        <w:pStyle w:val="Rubrik1"/>
        <w:ind w:left="709" w:firstLine="0"/>
        <w:rPr>
          <w:lang w:val="en-US"/>
        </w:rPr>
      </w:pPr>
      <w:bookmarkStart w:id="28" w:name="_Toc403634247"/>
      <w:r w:rsidRPr="00E87DF9">
        <w:rPr>
          <w:noProof/>
          <w:lang w:val="en-US"/>
        </w:rPr>
        <w:t>Council</w:t>
      </w:r>
      <w:r w:rsidRPr="00E87DF9">
        <w:rPr>
          <w:lang w:val="en-US"/>
        </w:rPr>
        <w:t xml:space="preserve"> Decision on the conclusion of the Agreement of 28 June 2006 between the European Union and the Republic of Iceland and the Kingdom of Norway on the surrender procedure between the Member States of the European Union and Iceland and Norway</w:t>
      </w:r>
      <w:bookmarkEnd w:id="28"/>
      <w:r w:rsidRPr="00E87DF9">
        <w:rPr>
          <w:lang w:val="en-US"/>
        </w:rPr>
        <w:t xml:space="preserve"> </w:t>
      </w:r>
    </w:p>
    <w:p w14:paraId="0E24E1B6" w14:textId="239AC84B" w:rsidR="006D069E" w:rsidRDefault="006D069E" w:rsidP="006D069E">
      <w:pPr>
        <w:rPr>
          <w:lang w:val="en-US"/>
        </w:rPr>
      </w:pPr>
      <w:r>
        <w:rPr>
          <w:noProof/>
          <w:lang w:val="en-US"/>
        </w:rPr>
        <w:t>14766</w:t>
      </w:r>
      <w:r>
        <w:rPr>
          <w:lang w:val="en-US"/>
        </w:rPr>
        <w:t>/1/14 REV 1 JAI 812 COPEN 266</w:t>
      </w:r>
      <w:r w:rsidR="00221DC5">
        <w:rPr>
          <w:lang w:val="en-US"/>
        </w:rPr>
        <w:t xml:space="preserve"> </w:t>
      </w:r>
      <w:r>
        <w:rPr>
          <w:lang w:val="en-US"/>
        </w:rPr>
        <w:t>5307/10 JAI 36 COPEN 8+ COR 1</w:t>
      </w:r>
    </w:p>
    <w:p w14:paraId="0E24E1B7" w14:textId="04C1DD4B" w:rsidR="006D069E" w:rsidRDefault="006D069E" w:rsidP="006D069E">
      <w:r>
        <w:rPr>
          <w:b/>
        </w:rPr>
        <w:t>Ansvarigt statsråd</w:t>
      </w:r>
      <w:r w:rsidR="00221DC5">
        <w:rPr>
          <w:b/>
        </w:rPr>
        <w:t xml:space="preserve">: </w:t>
      </w:r>
      <w:r>
        <w:rPr>
          <w:noProof/>
        </w:rPr>
        <w:t>Anders</w:t>
      </w:r>
      <w:r>
        <w:t xml:space="preserve"> Ygeman </w:t>
      </w:r>
    </w:p>
    <w:p w14:paraId="0E24E1BA" w14:textId="38C3F2AB" w:rsidR="006D069E" w:rsidRDefault="006D069E" w:rsidP="006D069E">
      <w:r>
        <w:rPr>
          <w:b/>
          <w:bCs/>
        </w:rPr>
        <w:t>Avsikt med behandlingen i rådet:</w:t>
      </w:r>
      <w:r>
        <w:t xml:space="preserve"> Rådet föreslås anta beslutet att ingå avtalet enligt ovan. </w:t>
      </w:r>
    </w:p>
    <w:p w14:paraId="0E24E1BB" w14:textId="77777777" w:rsidR="001338D9" w:rsidRDefault="006D069E">
      <w:pPr>
        <w:spacing w:after="280" w:afterAutospacing="1"/>
      </w:pPr>
      <w:r>
        <w:rPr>
          <w:b/>
          <w:bCs/>
        </w:rPr>
        <w:t>Hur regeringen ställer sig till den blivande A-punkten:</w:t>
      </w:r>
      <w:r>
        <w:t xml:space="preserve"> Regeringen avser att rösta ja till att anta rådets beslut. </w:t>
      </w:r>
    </w:p>
    <w:p w14:paraId="0E24E1BC" w14:textId="77777777" w:rsidR="001338D9" w:rsidRDefault="006D069E">
      <w:pPr>
        <w:spacing w:after="280" w:afterAutospacing="1"/>
      </w:pPr>
      <w:r>
        <w:rPr>
          <w:b/>
          <w:bCs/>
        </w:rPr>
        <w:lastRenderedPageBreak/>
        <w:t xml:space="preserve">Bakgrund: </w:t>
      </w:r>
      <w:r>
        <w:t xml:space="preserve">I syfte att förbättra det straffrättsliga samarbetet mellan Europeiska unionens medlemsstater och Island och Norge förhandlades det aktuella avtalet fram i början av 2000-talet. Avtalet skrevs på den 28 juni 2006, med förbehåll för att det skulle ingås. </w:t>
      </w:r>
    </w:p>
    <w:p w14:paraId="0E24E1BD" w14:textId="77777777" w:rsidR="001338D9" w:rsidRDefault="006D069E">
      <w:pPr>
        <w:spacing w:after="280" w:afterAutospacing="1"/>
      </w:pPr>
      <w:r>
        <w:t xml:space="preserve">Den 18 december 2009 översände kommissionen till rådet ett förslag till beslut om ingående av avtalet. </w:t>
      </w:r>
    </w:p>
    <w:p w14:paraId="0E24E1BE" w14:textId="77777777" w:rsidR="001338D9" w:rsidRDefault="006D069E">
      <w:pPr>
        <w:spacing w:after="280" w:afterAutospacing="1"/>
      </w:pPr>
      <w:r>
        <w:t>De förfaranden som ska följas av unionen för att ingå avtalet regleras i artikel 218 i fördraget om Europeiska unionens funktionssätt. Såväl Förenade kungariket som Irland har underrättat rådet om sin avsikt att delta i antagandet av rådets beslut om att ingå avtalet. Europaparlamentet gav sitt samtycke till ingående av avtalet den 13 september 2011.</w:t>
      </w:r>
    </w:p>
    <w:p w14:paraId="0E24E1C0" w14:textId="6189A284" w:rsidR="006D069E" w:rsidRDefault="006D069E">
      <w:pPr>
        <w:spacing w:after="280" w:afterAutospacing="1"/>
        <w:rPr>
          <w:noProof/>
        </w:rPr>
      </w:pPr>
      <w:r>
        <w:t>Avtalet ska nu godkännas från Europeiska unionens sida, vilket sker genom antagande av ovan nämnda beslut.</w:t>
      </w:r>
    </w:p>
    <w:p w14:paraId="0E24E1C1" w14:textId="77777777" w:rsidR="006D069E" w:rsidRPr="00E87DF9" w:rsidRDefault="006D069E" w:rsidP="00594BAA">
      <w:pPr>
        <w:pStyle w:val="Rubrik1"/>
        <w:ind w:left="709" w:firstLine="0"/>
        <w:rPr>
          <w:lang w:val="en-US"/>
        </w:rPr>
      </w:pPr>
      <w:bookmarkStart w:id="29" w:name="_Toc403634248"/>
      <w:r w:rsidRPr="00E87DF9">
        <w:rPr>
          <w:noProof/>
          <w:lang w:val="en-US"/>
        </w:rPr>
        <w:t>Preparation</w:t>
      </w:r>
      <w:r w:rsidRPr="00E87DF9">
        <w:rPr>
          <w:lang w:val="en-US"/>
        </w:rPr>
        <w:t xml:space="preserve"> of the Fourth Euro-African Ministerial Conference on Migration and Development (Rome, 27 November 2014)</w:t>
      </w:r>
      <w:bookmarkEnd w:id="29"/>
    </w:p>
    <w:p w14:paraId="0E24E1C2" w14:textId="77777777" w:rsidR="006D069E" w:rsidRPr="00E87DF9" w:rsidRDefault="006D069E" w:rsidP="006D069E">
      <w:r w:rsidRPr="00E87DF9">
        <w:rPr>
          <w:noProof/>
        </w:rPr>
        <w:t>15156</w:t>
      </w:r>
      <w:r w:rsidRPr="00E87DF9">
        <w:t>/14 ASIM 94 COAFR 306</w:t>
      </w:r>
    </w:p>
    <w:p w14:paraId="0E24E1C3" w14:textId="71DD177E" w:rsidR="006D069E" w:rsidRDefault="006D069E" w:rsidP="006D069E">
      <w:r>
        <w:rPr>
          <w:b/>
        </w:rPr>
        <w:t>Ansvarigt statsråd</w:t>
      </w:r>
      <w:r w:rsidR="00221DC5">
        <w:rPr>
          <w:b/>
        </w:rPr>
        <w:t xml:space="preserve">: </w:t>
      </w:r>
      <w:r>
        <w:rPr>
          <w:noProof/>
        </w:rPr>
        <w:t>Morgan</w:t>
      </w:r>
      <w:r>
        <w:t xml:space="preserve"> Johansson </w:t>
      </w:r>
    </w:p>
    <w:p w14:paraId="0E24E1C6" w14:textId="0E31C42C" w:rsidR="006D069E" w:rsidRDefault="006D069E" w:rsidP="006D069E">
      <w:r>
        <w:rPr>
          <w:b/>
          <w:bCs/>
        </w:rPr>
        <w:t>Avsikt med behandlingen i rådet:</w:t>
      </w:r>
      <w:r>
        <w:t xml:space="preserve"> Coreper inbjuds att föreslå rådet att notera ansatsen i Rom-deklarationen och utkastet till Rom-programmet enligt versionerna i bilaga till rådsdokument 15156/14, samt att bemyndiga ordförandeskapet att fortsätta förhandlingarna baserat på samma ansats inför dokumentens förmodade antagande vid den fjärde EU-Afrika ministerkonferensen om migration och rörlighet den 27 november 2014.  </w:t>
      </w:r>
    </w:p>
    <w:p w14:paraId="0E24E1C7" w14:textId="77777777" w:rsidR="001338D9" w:rsidRDefault="006D069E">
      <w:pPr>
        <w:spacing w:after="280" w:afterAutospacing="1"/>
      </w:pPr>
      <w:r>
        <w:rPr>
          <w:b/>
          <w:bCs/>
        </w:rPr>
        <w:t>Hur regeringen ställer sig till den blivande A-punkten:</w:t>
      </w:r>
      <w:r>
        <w:t xml:space="preserve"> Regeringen ställer sig bakom ansatsen i de aktuella utkasten och avser godkänna I-/A-punkten. </w:t>
      </w:r>
    </w:p>
    <w:p w14:paraId="0E24E1C9" w14:textId="7D027F11" w:rsidR="006D069E" w:rsidRDefault="006D069E">
      <w:pPr>
        <w:spacing w:after="280" w:afterAutospacing="1"/>
        <w:rPr>
          <w:noProof/>
        </w:rPr>
      </w:pPr>
      <w:r>
        <w:rPr>
          <w:b/>
          <w:bCs/>
        </w:rPr>
        <w:t xml:space="preserve">Bakgrund: </w:t>
      </w:r>
      <w:r>
        <w:t xml:space="preserve">Rabatprocessen är ett migrationssamarbete inom ramen för den övergripande strategin för migration och rörlighet (GAMM). Ett 60-tal ursprungs-, transit- och destinationsländer ingår (främst Väst- men även Nordafrika och EU) längs med och med fokus på den västafrikanska migrationsrutten. Den första ministerkonferensen hölls i Rabat i juli 2006 då en deklaration och handlingsplan om migration och utveckling antogs. Tre tidigare ministerkonferenser på tema migration och utveckling har ägt rum i Rabat 2006, i Paris 2008 och i Dakar 2011. Vid den fjärde aktuella ministerkonferensen i Rom den 27 november 2014 förväntas processens nya arbetsprogram för åren 2015-2017 antas. Sverige har närvarat vid samtliga ministerkonferenser men deltar i övrigt mindre aktivt i genomförandet. </w:t>
      </w:r>
    </w:p>
    <w:p w14:paraId="0E24E1CA" w14:textId="77777777" w:rsidR="006D069E" w:rsidRPr="00E87DF9" w:rsidRDefault="006D069E" w:rsidP="00594BAA">
      <w:pPr>
        <w:pStyle w:val="Rubrik1"/>
        <w:ind w:left="709" w:firstLine="0"/>
        <w:rPr>
          <w:lang w:val="en-US"/>
        </w:rPr>
      </w:pPr>
      <w:bookmarkStart w:id="30" w:name="_Toc403634249"/>
      <w:r w:rsidRPr="00E87DF9">
        <w:rPr>
          <w:noProof/>
          <w:lang w:val="en-US"/>
        </w:rPr>
        <w:t>Preparation</w:t>
      </w:r>
      <w:r w:rsidRPr="00E87DF9">
        <w:rPr>
          <w:lang w:val="en-US"/>
        </w:rPr>
        <w:t xml:space="preserve"> of the Ministerial Conference of the Khartoum process (Rome, 28 November 2014)</w:t>
      </w:r>
      <w:bookmarkEnd w:id="30"/>
    </w:p>
    <w:p w14:paraId="0E24E1CB" w14:textId="77777777" w:rsidR="006D069E" w:rsidRPr="00E87DF9" w:rsidRDefault="006D069E" w:rsidP="006D069E">
      <w:r w:rsidRPr="00E87DF9">
        <w:rPr>
          <w:noProof/>
        </w:rPr>
        <w:t>15157</w:t>
      </w:r>
      <w:r w:rsidRPr="00E87DF9">
        <w:t>/14 ASIM 95 COAFR 307</w:t>
      </w:r>
    </w:p>
    <w:p w14:paraId="0E24E1CC" w14:textId="5E13BC8D" w:rsidR="006D069E" w:rsidRDefault="006D069E" w:rsidP="006D069E">
      <w:r>
        <w:rPr>
          <w:b/>
        </w:rPr>
        <w:t>Ansvarigt statsråd</w:t>
      </w:r>
      <w:r w:rsidR="00221DC5">
        <w:rPr>
          <w:b/>
        </w:rPr>
        <w:t xml:space="preserve">: </w:t>
      </w:r>
      <w:r>
        <w:rPr>
          <w:noProof/>
        </w:rPr>
        <w:t>Morgan</w:t>
      </w:r>
      <w:r>
        <w:t xml:space="preserve"> Johansson </w:t>
      </w:r>
    </w:p>
    <w:p w14:paraId="0E24E1CF" w14:textId="3B19C550" w:rsidR="006D069E" w:rsidRDefault="006D069E" w:rsidP="006D069E">
      <w:r>
        <w:rPr>
          <w:b/>
          <w:bCs/>
        </w:rPr>
        <w:t>Avsikt med behandlingen i rådet:</w:t>
      </w:r>
      <w:r>
        <w:t xml:space="preserve"> Coreper inbjuds att föreslå rådet att notera ansatsen i Khartoum-deklarationen enligt versionen i bilaga till rådsdokument 15157/14, samt att </w:t>
      </w:r>
      <w:r>
        <w:lastRenderedPageBreak/>
        <w:t>bemyndiga ordförandeskapet att fortsätta förhandlingarna baserat på samma ansats inför deklarationens förmodade antagande vid Khartoum-processens minister</w:t>
      </w:r>
      <w:r w:rsidR="00221DC5">
        <w:t>konferens den 28 november 2014.</w:t>
      </w:r>
      <w:r>
        <w:t xml:space="preserve"> </w:t>
      </w:r>
    </w:p>
    <w:p w14:paraId="0E24E1D0" w14:textId="77777777" w:rsidR="001338D9" w:rsidRDefault="006D069E">
      <w:pPr>
        <w:spacing w:after="280" w:afterAutospacing="1"/>
      </w:pPr>
      <w:r>
        <w:rPr>
          <w:b/>
          <w:bCs/>
        </w:rPr>
        <w:t>Hur regeringen ställer sig till den blivande A-punkten:</w:t>
      </w:r>
      <w:r>
        <w:t xml:space="preserve"> Regeringen ställer sig bakom ansatsen i det aktuella utkastet och avser godkänna I-/A-punkten. </w:t>
      </w:r>
    </w:p>
    <w:p w14:paraId="0E24E1D2" w14:textId="4360B20B" w:rsidR="006D069E" w:rsidRDefault="006D069E">
      <w:pPr>
        <w:spacing w:after="280" w:afterAutospacing="1"/>
        <w:rPr>
          <w:noProof/>
        </w:rPr>
      </w:pPr>
      <w:r>
        <w:rPr>
          <w:b/>
          <w:bCs/>
        </w:rPr>
        <w:t>Bakgrund:</w:t>
      </w:r>
      <w:r>
        <w:t xml:space="preserve"> Mot bakgrund av de tragiska händelserna kring Lampedusa 2013 och den alltjämt allvarliga situationen i Medelhavet har det italienska ordförandeskapet tillsammans med kommissionen tagit ett nytt initiativ till samarbete med ursprungs- och transitländerna längs med migrationsrutten östafrikanska regionen/Afrikas Horn. Processen som faller inom ramen för den övergripande strategin för migration och rörlighet (GAMM), syftar liksom den nära besläktade Rabat-processen (omfattande EU och Väst- Nordafrika) både till att skapa en struktur för att förstärka nuvarande samarbete kring migrationshantering och att identifiera och genomföra nya konkreta projekt. Tema för den första och inledande fasen av ”Khartoum-processen” är människohandel och smuggling av migranter. </w:t>
      </w:r>
    </w:p>
    <w:p w14:paraId="0E24E1D3" w14:textId="77777777" w:rsidR="006D069E" w:rsidRPr="00E87DF9" w:rsidRDefault="006D069E" w:rsidP="00594BAA">
      <w:pPr>
        <w:pStyle w:val="Rubrik1"/>
        <w:ind w:left="709" w:firstLine="0"/>
        <w:rPr>
          <w:lang w:val="en-US"/>
        </w:rPr>
      </w:pPr>
      <w:bookmarkStart w:id="31" w:name="_Toc403634250"/>
      <w:r w:rsidRPr="00E87DF9">
        <w:rPr>
          <w:noProof/>
          <w:lang w:val="en-US"/>
        </w:rPr>
        <w:t>Schengen</w:t>
      </w:r>
      <w:r w:rsidRPr="00E87DF9">
        <w:rPr>
          <w:lang w:val="en-US"/>
        </w:rPr>
        <w:t xml:space="preserve"> evaluation of CZ/EE/HU/LT/LV/MT/PL/SI/SK - Draft Council conclusions on the follow-up to the Schengen evaluation conducted in 2012-2013-2014</w:t>
      </w:r>
      <w:bookmarkEnd w:id="31"/>
    </w:p>
    <w:p w14:paraId="0E24E1D4" w14:textId="1B9A4328" w:rsidR="006D069E" w:rsidRDefault="006D069E" w:rsidP="006D069E">
      <w:pPr>
        <w:rPr>
          <w:lang w:val="en-US"/>
        </w:rPr>
      </w:pPr>
      <w:r>
        <w:rPr>
          <w:noProof/>
          <w:lang w:val="en-US"/>
        </w:rPr>
        <w:t>15196</w:t>
      </w:r>
      <w:r>
        <w:rPr>
          <w:lang w:val="en-US"/>
        </w:rPr>
        <w:t>/14 SCHEVAL 118 COMIX 593 13995/1/14 REV 1 SCHEVAL 104 COMIX 519 RESTREINT UE</w:t>
      </w:r>
      <w:r w:rsidR="00221DC5">
        <w:rPr>
          <w:lang w:val="en-US"/>
        </w:rPr>
        <w:t xml:space="preserve"> </w:t>
      </w:r>
      <w:r>
        <w:rPr>
          <w:lang w:val="en-US"/>
        </w:rPr>
        <w:t>13996/1/14 REV 1 SCHEVAL 105 COMIX 520 RESTREINT UE</w:t>
      </w:r>
      <w:r w:rsidR="00221DC5">
        <w:rPr>
          <w:lang w:val="en-US"/>
        </w:rPr>
        <w:t xml:space="preserve"> </w:t>
      </w:r>
      <w:r>
        <w:rPr>
          <w:lang w:val="en-US"/>
        </w:rPr>
        <w:t>13997/1/14 REV 1 SCHEVAL 106 COMIX 521 RESTREINT UE</w:t>
      </w:r>
      <w:r w:rsidR="00221DC5">
        <w:rPr>
          <w:lang w:val="en-US"/>
        </w:rPr>
        <w:t xml:space="preserve"> </w:t>
      </w:r>
      <w:r>
        <w:rPr>
          <w:lang w:val="en-US"/>
        </w:rPr>
        <w:t>13998/1/14 REV 1 SCHEVAL 107 COMIX 522 RESTREINT UE</w:t>
      </w:r>
      <w:r w:rsidR="00221DC5">
        <w:rPr>
          <w:lang w:val="en-US"/>
        </w:rPr>
        <w:t xml:space="preserve"> </w:t>
      </w:r>
      <w:r>
        <w:rPr>
          <w:lang w:val="en-US"/>
        </w:rPr>
        <w:t>13999/1/14 REV 1 SCHEVAL 108 COMIX 523RESTREINT UE</w:t>
      </w:r>
      <w:r w:rsidR="00221DC5">
        <w:rPr>
          <w:lang w:val="en-US"/>
        </w:rPr>
        <w:t xml:space="preserve"> </w:t>
      </w:r>
      <w:r>
        <w:rPr>
          <w:lang w:val="en-US"/>
        </w:rPr>
        <w:t>14000/1/14 REV 1 SCHEVAL 109 COMIX 524RESTREINT UE</w:t>
      </w:r>
      <w:r w:rsidR="00221DC5">
        <w:rPr>
          <w:lang w:val="en-US"/>
        </w:rPr>
        <w:t xml:space="preserve"> </w:t>
      </w:r>
      <w:r>
        <w:rPr>
          <w:lang w:val="en-US"/>
        </w:rPr>
        <w:t>14001/1/14 REV 1 SCHEVAL 110 COMIX 525RESTREINT UE</w:t>
      </w:r>
      <w:r w:rsidR="00221DC5">
        <w:rPr>
          <w:lang w:val="en-US"/>
        </w:rPr>
        <w:t xml:space="preserve"> </w:t>
      </w:r>
      <w:r>
        <w:rPr>
          <w:lang w:val="en-US"/>
        </w:rPr>
        <w:t>14002/1/14 REV 1 SCHEVAL 111 COMIX 526RESTREINT UE</w:t>
      </w:r>
      <w:r w:rsidR="00221DC5">
        <w:rPr>
          <w:lang w:val="en-US"/>
        </w:rPr>
        <w:t xml:space="preserve"> </w:t>
      </w:r>
      <w:r>
        <w:rPr>
          <w:lang w:val="en-US"/>
        </w:rPr>
        <w:t>14003/1/14 REV 1 SCHEVAL 112 COMIX 527RESTREINT UE</w:t>
      </w:r>
    </w:p>
    <w:p w14:paraId="0E24E1D5" w14:textId="22420DC4" w:rsidR="006D069E" w:rsidRDefault="006D069E" w:rsidP="006D069E">
      <w:r>
        <w:rPr>
          <w:b/>
        </w:rPr>
        <w:t>Ansvarigt statsråd</w:t>
      </w:r>
      <w:r w:rsidR="00221DC5">
        <w:rPr>
          <w:b/>
        </w:rPr>
        <w:t xml:space="preserve">: </w:t>
      </w:r>
      <w:r>
        <w:rPr>
          <w:noProof/>
        </w:rPr>
        <w:t>Anders</w:t>
      </w:r>
      <w:r>
        <w:t xml:space="preserve"> Ygeman </w:t>
      </w:r>
    </w:p>
    <w:p w14:paraId="0E24E1D8" w14:textId="7DDE4DB6" w:rsidR="006D069E" w:rsidRDefault="006D069E" w:rsidP="006D069E">
      <w:r>
        <w:rPr>
          <w:b/>
          <w:bCs/>
        </w:rPr>
        <w:t>Avsikt med behandlingen i rådet:</w:t>
      </w:r>
      <w:r>
        <w:t xml:space="preserve"> Rådet föreslås anta rådets slutsatser. </w:t>
      </w:r>
    </w:p>
    <w:p w14:paraId="0E24E1D9" w14:textId="77777777" w:rsidR="001338D9" w:rsidRDefault="006D069E">
      <w:pPr>
        <w:spacing w:after="280" w:afterAutospacing="1"/>
      </w:pPr>
      <w:r>
        <w:rPr>
          <w:b/>
          <w:bCs/>
        </w:rPr>
        <w:t>Hur regeringen ställer sig till den blivande A-punkten:</w:t>
      </w:r>
      <w:r>
        <w:t xml:space="preserve"> Regeringen avser ge sitt stöd till antagandet av rådets slutsatser. </w:t>
      </w:r>
    </w:p>
    <w:p w14:paraId="0E24E1DC" w14:textId="53303352" w:rsidR="006D069E" w:rsidRDefault="006D069E">
      <w:pPr>
        <w:spacing w:after="280" w:afterAutospacing="1"/>
        <w:rPr>
          <w:noProof/>
        </w:rPr>
      </w:pPr>
      <w:r>
        <w:rPr>
          <w:b/>
          <w:bCs/>
        </w:rPr>
        <w:t xml:space="preserve">Bakgrund: </w:t>
      </w:r>
      <w:r>
        <w:t xml:space="preserve">Tjeckien, Estland, Ungern, Litauen, Lettland, Malta, Polen, Slovenien, Slovakiens tillämpning av Schengenregelverket utvärderades mellan 2012 och 2014. Därefter antog rådet slutsatser avseende resultatet av utvärderingen. Enligt standardprocedur uppmanades länderna att informera rådet skriftligen inom de närmaste sex månaderna om hur man avsåg följa upp rekommendationerna i rapporterna. Länderna har därefter informerat om åtgärder som länderna har vidtagit för att undanröja de svagheter och brister som upptäcktes. Slutsatserna avseende uppföljningsprocessen ska nu antas av rådet. Därmed anses Schengenutvärderingen av ovanstående länder vara avslutad. </w:t>
      </w:r>
    </w:p>
    <w:p w14:paraId="363F33A4" w14:textId="77777777" w:rsidR="009C6D6C" w:rsidRDefault="009C6D6C">
      <w:pPr>
        <w:ind w:left="0"/>
        <w:rPr>
          <w:b/>
          <w:bCs/>
          <w:noProof/>
          <w:szCs w:val="28"/>
        </w:rPr>
      </w:pPr>
      <w:r>
        <w:rPr>
          <w:noProof/>
        </w:rPr>
        <w:br w:type="page"/>
      </w:r>
    </w:p>
    <w:p w14:paraId="0E24E1DD" w14:textId="349AEB3C" w:rsidR="006D069E" w:rsidRPr="00E87DF9" w:rsidRDefault="006D069E" w:rsidP="00594BAA">
      <w:pPr>
        <w:pStyle w:val="Rubrik1"/>
        <w:ind w:left="709" w:firstLine="0"/>
        <w:rPr>
          <w:lang w:val="en-US"/>
        </w:rPr>
      </w:pPr>
      <w:bookmarkStart w:id="32" w:name="_Toc403634251"/>
      <w:r w:rsidRPr="00E87DF9">
        <w:rPr>
          <w:noProof/>
          <w:lang w:val="en-US"/>
        </w:rPr>
        <w:lastRenderedPageBreak/>
        <w:t>Schengen</w:t>
      </w:r>
      <w:r w:rsidRPr="00E87DF9">
        <w:rPr>
          <w:lang w:val="en-US"/>
        </w:rPr>
        <w:t xml:space="preserve"> evaluation of Switzerland - Draft Council conclusions on the evaluation of the correct application of the Schengen acquis including follow-up</w:t>
      </w:r>
      <w:bookmarkEnd w:id="32"/>
    </w:p>
    <w:p w14:paraId="0E24E1DE" w14:textId="77777777" w:rsidR="006D069E" w:rsidRDefault="006D069E" w:rsidP="006D069E">
      <w:pPr>
        <w:rPr>
          <w:lang w:val="en-US"/>
        </w:rPr>
      </w:pPr>
      <w:r>
        <w:rPr>
          <w:noProof/>
          <w:lang w:val="en-US"/>
        </w:rPr>
        <w:t>15197</w:t>
      </w:r>
      <w:r>
        <w:rPr>
          <w:lang w:val="en-US"/>
        </w:rPr>
        <w:t>/14 SCHEVAL 119 COMIX 594 14011/1/14 REV 1 SCHEVAL 114 COMIX 529 RESTREINT UE</w:t>
      </w:r>
    </w:p>
    <w:p w14:paraId="0E24E1DF" w14:textId="6BB47B56" w:rsidR="006D069E" w:rsidRDefault="006D069E" w:rsidP="006D069E">
      <w:r>
        <w:rPr>
          <w:b/>
        </w:rPr>
        <w:t>Ansvarigt statsråd</w:t>
      </w:r>
      <w:r w:rsidR="00221DC5">
        <w:rPr>
          <w:b/>
        </w:rPr>
        <w:t xml:space="preserve">: </w:t>
      </w:r>
      <w:r>
        <w:rPr>
          <w:noProof/>
        </w:rPr>
        <w:t>Anders</w:t>
      </w:r>
      <w:r>
        <w:t xml:space="preserve"> Ygeman </w:t>
      </w:r>
    </w:p>
    <w:p w14:paraId="0E24E1E2" w14:textId="498CB679" w:rsidR="006D069E" w:rsidRDefault="006D069E" w:rsidP="006D069E">
      <w:r>
        <w:rPr>
          <w:b/>
          <w:bCs/>
        </w:rPr>
        <w:t>Avsikt med behandlingen i rådet:</w:t>
      </w:r>
      <w:r>
        <w:t xml:space="preserve"> Rådet föreslås anta rådets slutsatser </w:t>
      </w:r>
    </w:p>
    <w:p w14:paraId="0E24E1E3" w14:textId="77777777" w:rsidR="001338D9" w:rsidRDefault="006D069E">
      <w:pPr>
        <w:spacing w:after="280" w:afterAutospacing="1"/>
      </w:pPr>
      <w:r>
        <w:rPr>
          <w:b/>
          <w:bCs/>
        </w:rPr>
        <w:t>Hur regeringen ställer sig till den blivande A-punkten:</w:t>
      </w:r>
      <w:r>
        <w:t xml:space="preserve"> Regeringen avser ge sitt stöd till antagandet av rådets slutsatser. </w:t>
      </w:r>
    </w:p>
    <w:p w14:paraId="0E24E1E4" w14:textId="77777777" w:rsidR="001338D9" w:rsidRDefault="006D069E">
      <w:pPr>
        <w:spacing w:after="280" w:afterAutospacing="1"/>
      </w:pPr>
      <w:r>
        <w:rPr>
          <w:b/>
          <w:bCs/>
        </w:rPr>
        <w:t xml:space="preserve">Bakgrund: </w:t>
      </w:r>
      <w:r>
        <w:t xml:space="preserve">Under 2013-2014 genomfördes en utvärdering av Schweiz tillämpning av Schengenregelverket i fråga om gränskontroll vid de yttre gränserna, polisiärt samarbete med grannländer (inom Schengen), viseringar, utnyttjandet av SIS och Sirene samt uppgiftsskydd. </w:t>
      </w:r>
    </w:p>
    <w:p w14:paraId="0E24E1E5" w14:textId="77777777" w:rsidR="001338D9" w:rsidRDefault="006D069E">
      <w:pPr>
        <w:spacing w:after="280" w:afterAutospacing="1"/>
      </w:pPr>
      <w:r>
        <w:t xml:space="preserve">Efter det att utvärderingen framgångsrikt slutförts informerade Schweiz arbetsgruppen för Schengenfrågor (Schengenutvärdering) om vilka åtgärder landet har vidtagit eller håller på att vidta för att komma till rätta med de svagheter och brister som konstaterades. </w:t>
      </w:r>
    </w:p>
    <w:p w14:paraId="0E24E1E7" w14:textId="424BC01E" w:rsidR="006D069E" w:rsidRDefault="006D069E">
      <w:pPr>
        <w:spacing w:after="280" w:afterAutospacing="1"/>
        <w:rPr>
          <w:noProof/>
        </w:rPr>
      </w:pPr>
      <w:r>
        <w:t xml:space="preserve">Rådet är nöjd med de åtgärder som Schweiz hittills har vidtagit och fortsätter att vidta för att genomföra rekommendationerna för en korrekt tillämpning av Schengenregelverket. Därmed anses Schengenutvärderingen av Schweiz vara avslutad. </w:t>
      </w:r>
    </w:p>
    <w:p w14:paraId="0E24E1F6" w14:textId="1532814A" w:rsidR="006D069E" w:rsidRPr="00E87DF9" w:rsidRDefault="006D069E" w:rsidP="007A1534">
      <w:pPr>
        <w:pStyle w:val="Rubrik1"/>
        <w:ind w:left="709" w:firstLine="0"/>
        <w:rPr>
          <w:lang w:val="en-US"/>
        </w:rPr>
      </w:pPr>
      <w:bookmarkStart w:id="33" w:name="_Toc403634252"/>
      <w:r w:rsidRPr="00E87DF9">
        <w:rPr>
          <w:lang w:val="en-US"/>
        </w:rPr>
        <w:t>Report by the Head of the European Defence Agency to the Council</w:t>
      </w:r>
      <w:bookmarkEnd w:id="33"/>
    </w:p>
    <w:p w14:paraId="0E24E1FA" w14:textId="188E61A2" w:rsidR="006D069E" w:rsidRDefault="006D069E" w:rsidP="00221DC5">
      <w:pPr>
        <w:rPr>
          <w:lang w:val="en-US"/>
        </w:rPr>
      </w:pPr>
      <w:r w:rsidRPr="00E87DF9">
        <w:rPr>
          <w:lang w:val="en-US"/>
        </w:rPr>
        <w:t>15388/14 CSDP/PSDC 651 PESC 1159 COPS 295 POLMIL 100</w:t>
      </w:r>
      <w:r w:rsidR="00221DC5" w:rsidRPr="00E87DF9">
        <w:rPr>
          <w:lang w:val="en-US"/>
        </w:rPr>
        <w:t xml:space="preserve"> </w:t>
      </w:r>
      <w:r w:rsidRPr="00E87DF9">
        <w:rPr>
          <w:lang w:val="en-US"/>
        </w:rPr>
        <w:t>15390/14 CSDP/PSDC 652 PESC 1160 COPS 296 POLMIL 101</w:t>
      </w:r>
      <w:r w:rsidR="00221DC5" w:rsidRPr="00E87DF9">
        <w:rPr>
          <w:lang w:val="en-US"/>
        </w:rPr>
        <w:t xml:space="preserve"> </w:t>
      </w:r>
      <w:r>
        <w:rPr>
          <w:noProof/>
          <w:lang w:val="en-US"/>
        </w:rPr>
        <w:t>15388</w:t>
      </w:r>
      <w:r>
        <w:rPr>
          <w:lang w:val="en-US"/>
        </w:rPr>
        <w:t>/14 CSDP/PSDC 651 PESC 1159 COPS 295 POLMIL 100</w:t>
      </w:r>
      <w:r w:rsidR="00221DC5">
        <w:rPr>
          <w:lang w:val="en-US"/>
        </w:rPr>
        <w:t xml:space="preserve"> </w:t>
      </w:r>
      <w:r>
        <w:rPr>
          <w:lang w:val="en-US"/>
        </w:rPr>
        <w:t>15390/14 CSDP/PSDC 652 PESC 1160 COPS 296 POLMIL 101</w:t>
      </w:r>
    </w:p>
    <w:p w14:paraId="0E24E1FB" w14:textId="589FA4BD" w:rsidR="006D069E" w:rsidRDefault="006D069E" w:rsidP="006D069E">
      <w:r>
        <w:rPr>
          <w:b/>
        </w:rPr>
        <w:t>Ansvarigt statsråd</w:t>
      </w:r>
      <w:r w:rsidR="00221DC5">
        <w:rPr>
          <w:b/>
        </w:rPr>
        <w:t xml:space="preserve">: </w:t>
      </w:r>
      <w:r>
        <w:rPr>
          <w:noProof/>
        </w:rPr>
        <w:t>Peter</w:t>
      </w:r>
      <w:r>
        <w:t xml:space="preserve"> Hultqvist</w:t>
      </w:r>
    </w:p>
    <w:p w14:paraId="0E24E200" w14:textId="112750BA" w:rsidR="001338D9" w:rsidRDefault="006D069E">
      <w:pPr>
        <w:spacing w:after="280" w:afterAutospacing="1"/>
      </w:pPr>
      <w:r>
        <w:rPr>
          <w:b/>
          <w:bCs/>
        </w:rPr>
        <w:t>Avsikt med behandlingen i rådet:</w:t>
      </w:r>
      <w:r>
        <w:t xml:space="preserve"> Syftet är att informera rådet om Europeiska försvarsbyråns (EDA:s) verksamhet och framsteg under 2014.</w:t>
      </w:r>
    </w:p>
    <w:p w14:paraId="0E24E202" w14:textId="46F6691D" w:rsidR="001338D9" w:rsidRDefault="006D069E">
      <w:pPr>
        <w:spacing w:after="280" w:afterAutospacing="1"/>
      </w:pPr>
      <w:r>
        <w:rPr>
          <w:b/>
          <w:bCs/>
        </w:rPr>
        <w:t>Hur regeringen ställer sig till den blivande A-punkten:</w:t>
      </w:r>
      <w:r>
        <w:t xml:space="preserve"> Sverige stödjer att A-punkten noteras. </w:t>
      </w:r>
    </w:p>
    <w:p w14:paraId="0E24E204" w14:textId="1E930493" w:rsidR="001338D9" w:rsidRDefault="006D069E">
      <w:pPr>
        <w:spacing w:after="280" w:afterAutospacing="1"/>
      </w:pPr>
      <w:r>
        <w:rPr>
          <w:b/>
          <w:bCs/>
        </w:rPr>
        <w:t>Bakgrund:</w:t>
      </w:r>
      <w:r w:rsidR="00221DC5">
        <w:rPr>
          <w:b/>
          <w:bCs/>
        </w:rPr>
        <w:t xml:space="preserve"> </w:t>
      </w:r>
      <w:r>
        <w:t>HR som även är chef för EDA brukar informera rådet med jämna mellanrum om EDA:s verksamhet. Rapporten som föreslås noteras behandlar EDA:s verksamhet under 2014 vilket till stor del har präglats av uppföljningen av slutsatserna från Europeiska rådet i december 2013 då GSFP stod i fokus.</w:t>
      </w:r>
    </w:p>
    <w:p w14:paraId="0E24E205" w14:textId="77777777" w:rsidR="006D069E" w:rsidRDefault="006D069E">
      <w:pPr>
        <w:spacing w:after="280" w:afterAutospacing="1"/>
        <w:rPr>
          <w:noProof/>
        </w:rPr>
      </w:pPr>
    </w:p>
    <w:bookmarkEnd w:id="1"/>
    <w:p w14:paraId="0E24E206" w14:textId="77777777" w:rsidR="006D069E" w:rsidRPr="00643D86" w:rsidRDefault="006D069E" w:rsidP="006D069E">
      <w:pPr>
        <w:ind w:left="0"/>
        <w:rPr>
          <w:lang w:val="en-US"/>
        </w:rPr>
      </w:pPr>
    </w:p>
    <w:sectPr w:rsidR="006D069E" w:rsidRPr="00643D86" w:rsidSect="006D069E">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73D2C" w14:textId="77777777" w:rsidR="00594BAA" w:rsidRDefault="00594BAA">
      <w:pPr>
        <w:spacing w:after="0" w:line="240" w:lineRule="auto"/>
      </w:pPr>
      <w:r>
        <w:separator/>
      </w:r>
    </w:p>
  </w:endnote>
  <w:endnote w:type="continuationSeparator" w:id="0">
    <w:p w14:paraId="4EE72FAF" w14:textId="77777777" w:rsidR="00594BAA" w:rsidRDefault="0059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044D3" w14:textId="77777777" w:rsidR="00594BAA" w:rsidRDefault="00594BAA">
      <w:pPr>
        <w:spacing w:after="0" w:line="240" w:lineRule="auto"/>
      </w:pPr>
      <w:r>
        <w:separator/>
      </w:r>
    </w:p>
  </w:footnote>
  <w:footnote w:type="continuationSeparator" w:id="0">
    <w:p w14:paraId="6FF824A3" w14:textId="77777777" w:rsidR="00594BAA" w:rsidRDefault="00594B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430029"/>
      <w:docPartObj>
        <w:docPartGallery w:val="Page Numbers (Top of Page)"/>
        <w:docPartUnique/>
      </w:docPartObj>
    </w:sdtPr>
    <w:sdtEndPr/>
    <w:sdtContent>
      <w:p w14:paraId="44CBF855" w14:textId="5FA57528" w:rsidR="00594BAA" w:rsidRDefault="00594BAA">
        <w:pPr>
          <w:pStyle w:val="Sidhuvud"/>
          <w:jc w:val="right"/>
        </w:pPr>
        <w:r>
          <w:fldChar w:fldCharType="begin"/>
        </w:r>
        <w:r>
          <w:instrText>PAGE   \* MERGEFORMAT</w:instrText>
        </w:r>
        <w:r>
          <w:fldChar w:fldCharType="separate"/>
        </w:r>
        <w:r w:rsidR="00E87DF9">
          <w:rPr>
            <w:noProof/>
          </w:rPr>
          <w:t>2</w:t>
        </w:r>
        <w:r>
          <w:fldChar w:fldCharType="end"/>
        </w:r>
      </w:p>
    </w:sdtContent>
  </w:sdt>
  <w:p w14:paraId="0E24E208" w14:textId="77777777" w:rsidR="00594BAA" w:rsidRDefault="00594BAA" w:rsidP="006D069E">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594BAA" w14:paraId="0E24E20E" w14:textId="77777777" w:rsidTr="006D069E">
      <w:tc>
        <w:tcPr>
          <w:tcW w:w="4606" w:type="dxa"/>
        </w:tcPr>
        <w:p w14:paraId="0E24E209" w14:textId="77777777" w:rsidR="00594BAA" w:rsidRDefault="00594BAA" w:rsidP="006D069E">
          <w:pPr>
            <w:pStyle w:val="Sidhuvud"/>
            <w:ind w:left="0"/>
          </w:pPr>
          <w:r>
            <w:rPr>
              <w:noProof/>
              <w:lang w:eastAsia="sv-SE"/>
            </w:rPr>
            <w:drawing>
              <wp:inline distT="0" distB="0" distL="0" distR="0" wp14:anchorId="0E24E214" wp14:editId="0E24E215">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E24E20A" w14:textId="77777777" w:rsidR="00594BAA" w:rsidRDefault="00594BAA" w:rsidP="006D069E">
          <w:pPr>
            <w:ind w:right="916"/>
            <w:rPr>
              <w:rFonts w:ascii="TradeGothic" w:hAnsi="TradeGothic"/>
              <w:b/>
            </w:rPr>
          </w:pPr>
        </w:p>
        <w:p w14:paraId="0E24E20B" w14:textId="77777777" w:rsidR="00594BAA" w:rsidRDefault="00594BAA" w:rsidP="006D069E">
          <w:pPr>
            <w:ind w:right="916"/>
          </w:pPr>
          <w:r>
            <w:rPr>
              <w:rFonts w:ascii="TradeGothic" w:hAnsi="TradeGothic"/>
              <w:b/>
            </w:rPr>
            <w:t>Promemoria</w:t>
          </w:r>
        </w:p>
        <w:p w14:paraId="0E24E20C" w14:textId="77777777" w:rsidR="00594BAA" w:rsidRDefault="00594BAA" w:rsidP="006D069E">
          <w:pPr>
            <w:jc w:val="right"/>
          </w:pPr>
        </w:p>
        <w:p w14:paraId="0E24E20D" w14:textId="35D5F209" w:rsidR="00594BAA" w:rsidRDefault="00594BAA" w:rsidP="006D069E">
          <w:pPr>
            <w:ind w:right="916"/>
          </w:pPr>
          <w:r>
            <w:rPr>
              <w:rFonts w:ascii="TradeGothic" w:hAnsi="TradeGothic"/>
              <w:b/>
              <w:noProof/>
            </w:rPr>
            <w:t>2014-11-13</w:t>
          </w:r>
          <w:r w:rsidRPr="00934953">
            <w:t xml:space="preserve"> </w:t>
          </w:r>
        </w:p>
      </w:tc>
    </w:tr>
  </w:tbl>
  <w:p w14:paraId="0E24E20F" w14:textId="77777777" w:rsidR="00594BAA" w:rsidRDefault="00594BAA" w:rsidP="006D069E">
    <w:pPr>
      <w:pStyle w:val="Avsndare"/>
      <w:framePr w:w="0" w:hRule="auto" w:hSpace="0" w:wrap="auto" w:vAnchor="margin" w:hAnchor="text" w:xAlign="left" w:yAlign="inline"/>
      <w:rPr>
        <w:b/>
        <w:i w:val="0"/>
        <w:sz w:val="22"/>
      </w:rPr>
    </w:pPr>
  </w:p>
  <w:p w14:paraId="0E24E210" w14:textId="77777777" w:rsidR="00594BAA" w:rsidRDefault="00594BAA" w:rsidP="006D069E">
    <w:pPr>
      <w:pStyle w:val="Avsndare"/>
      <w:framePr w:w="0" w:hRule="auto" w:hSpace="0" w:wrap="auto" w:vAnchor="margin" w:hAnchor="text" w:xAlign="left" w:yAlign="inline"/>
      <w:rPr>
        <w:b/>
        <w:i w:val="0"/>
        <w:sz w:val="22"/>
      </w:rPr>
    </w:pPr>
    <w:r>
      <w:rPr>
        <w:b/>
        <w:i w:val="0"/>
        <w:sz w:val="22"/>
      </w:rPr>
      <w:t>Statsrådsberedningen</w:t>
    </w:r>
  </w:p>
  <w:p w14:paraId="0E24E211" w14:textId="77777777" w:rsidR="00594BAA" w:rsidRDefault="00594BAA" w:rsidP="006D069E">
    <w:pPr>
      <w:pStyle w:val="Avsndare"/>
      <w:framePr w:w="0" w:hRule="auto" w:hSpace="0" w:wrap="auto" w:vAnchor="margin" w:hAnchor="text" w:xAlign="left" w:yAlign="inline"/>
    </w:pPr>
  </w:p>
  <w:p w14:paraId="0E24E212" w14:textId="77777777" w:rsidR="00594BAA" w:rsidRDefault="00594BAA" w:rsidP="006D069E">
    <w:pPr>
      <w:pStyle w:val="Avsndare"/>
      <w:framePr w:w="0" w:hRule="auto" w:hSpace="0" w:wrap="auto" w:vAnchor="margin" w:hAnchor="text" w:xAlign="left" w:yAlign="inline"/>
    </w:pPr>
    <w:r>
      <w:t>EU-kansliet</w:t>
    </w:r>
  </w:p>
  <w:p w14:paraId="0E24E213" w14:textId="77777777" w:rsidR="00594BAA" w:rsidRDefault="00594BA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56A44658">
      <w:start w:val="1"/>
      <w:numFmt w:val="decimal"/>
      <w:pStyle w:val="Rubrik1"/>
      <w:lvlText w:val="%1."/>
      <w:lvlJc w:val="left"/>
      <w:pPr>
        <w:ind w:left="6314" w:hanging="360"/>
      </w:pPr>
    </w:lvl>
    <w:lvl w:ilvl="1" w:tplc="FAC29042" w:tentative="1">
      <w:start w:val="1"/>
      <w:numFmt w:val="lowerLetter"/>
      <w:lvlText w:val="%2."/>
      <w:lvlJc w:val="left"/>
      <w:pPr>
        <w:ind w:left="1440" w:hanging="360"/>
      </w:pPr>
    </w:lvl>
    <w:lvl w:ilvl="2" w:tplc="DA36D9B6" w:tentative="1">
      <w:start w:val="1"/>
      <w:numFmt w:val="lowerRoman"/>
      <w:lvlText w:val="%3."/>
      <w:lvlJc w:val="right"/>
      <w:pPr>
        <w:ind w:left="2160" w:hanging="180"/>
      </w:pPr>
    </w:lvl>
    <w:lvl w:ilvl="3" w:tplc="CE145366" w:tentative="1">
      <w:start w:val="1"/>
      <w:numFmt w:val="decimal"/>
      <w:lvlText w:val="%4."/>
      <w:lvlJc w:val="left"/>
      <w:pPr>
        <w:ind w:left="2880" w:hanging="360"/>
      </w:pPr>
    </w:lvl>
    <w:lvl w:ilvl="4" w:tplc="FD44C110" w:tentative="1">
      <w:start w:val="1"/>
      <w:numFmt w:val="lowerLetter"/>
      <w:lvlText w:val="%5."/>
      <w:lvlJc w:val="left"/>
      <w:pPr>
        <w:ind w:left="3600" w:hanging="360"/>
      </w:pPr>
    </w:lvl>
    <w:lvl w:ilvl="5" w:tplc="1FE29402" w:tentative="1">
      <w:start w:val="1"/>
      <w:numFmt w:val="lowerRoman"/>
      <w:lvlText w:val="%6."/>
      <w:lvlJc w:val="right"/>
      <w:pPr>
        <w:ind w:left="4320" w:hanging="180"/>
      </w:pPr>
    </w:lvl>
    <w:lvl w:ilvl="6" w:tplc="B0704A1E" w:tentative="1">
      <w:start w:val="1"/>
      <w:numFmt w:val="decimal"/>
      <w:lvlText w:val="%7."/>
      <w:lvlJc w:val="left"/>
      <w:pPr>
        <w:ind w:left="5040" w:hanging="360"/>
      </w:pPr>
    </w:lvl>
    <w:lvl w:ilvl="7" w:tplc="E7D43576" w:tentative="1">
      <w:start w:val="1"/>
      <w:numFmt w:val="lowerLetter"/>
      <w:lvlText w:val="%8."/>
      <w:lvlJc w:val="left"/>
      <w:pPr>
        <w:ind w:left="5760" w:hanging="360"/>
      </w:pPr>
    </w:lvl>
    <w:lvl w:ilvl="8" w:tplc="6D5832C2" w:tentative="1">
      <w:start w:val="1"/>
      <w:numFmt w:val="lowerRoman"/>
      <w:lvlText w:val="%9."/>
      <w:lvlJc w:val="right"/>
      <w:pPr>
        <w:ind w:left="6480" w:hanging="180"/>
      </w:pPr>
    </w:lvl>
  </w:abstractNum>
  <w:abstractNum w:abstractNumId="1">
    <w:nsid w:val="73990993"/>
    <w:multiLevelType w:val="hybridMultilevel"/>
    <w:tmpl w:val="3BD822EE"/>
    <w:lvl w:ilvl="0" w:tplc="FE103B70">
      <w:start w:val="1"/>
      <w:numFmt w:val="decimal"/>
      <w:lvlText w:val="%1."/>
      <w:lvlJc w:val="left"/>
      <w:pPr>
        <w:ind w:left="360" w:hanging="360"/>
      </w:pPr>
      <w:rPr>
        <w:b w:val="0"/>
      </w:rPr>
    </w:lvl>
    <w:lvl w:ilvl="1" w:tplc="96FA5B52" w:tentative="1">
      <w:start w:val="1"/>
      <w:numFmt w:val="lowerLetter"/>
      <w:lvlText w:val="%2."/>
      <w:lvlJc w:val="left"/>
      <w:pPr>
        <w:ind w:left="1080" w:hanging="360"/>
      </w:pPr>
    </w:lvl>
    <w:lvl w:ilvl="2" w:tplc="F4AAD300" w:tentative="1">
      <w:start w:val="1"/>
      <w:numFmt w:val="lowerRoman"/>
      <w:lvlText w:val="%3."/>
      <w:lvlJc w:val="right"/>
      <w:pPr>
        <w:ind w:left="1800" w:hanging="180"/>
      </w:pPr>
    </w:lvl>
    <w:lvl w:ilvl="3" w:tplc="3A10C4D6" w:tentative="1">
      <w:start w:val="1"/>
      <w:numFmt w:val="decimal"/>
      <w:lvlText w:val="%4."/>
      <w:lvlJc w:val="left"/>
      <w:pPr>
        <w:ind w:left="2520" w:hanging="360"/>
      </w:pPr>
    </w:lvl>
    <w:lvl w:ilvl="4" w:tplc="DA1C2422" w:tentative="1">
      <w:start w:val="1"/>
      <w:numFmt w:val="lowerLetter"/>
      <w:lvlText w:val="%5."/>
      <w:lvlJc w:val="left"/>
      <w:pPr>
        <w:ind w:left="3240" w:hanging="360"/>
      </w:pPr>
    </w:lvl>
    <w:lvl w:ilvl="5" w:tplc="6E2022D6" w:tentative="1">
      <w:start w:val="1"/>
      <w:numFmt w:val="lowerRoman"/>
      <w:lvlText w:val="%6."/>
      <w:lvlJc w:val="right"/>
      <w:pPr>
        <w:ind w:left="3960" w:hanging="180"/>
      </w:pPr>
    </w:lvl>
    <w:lvl w:ilvl="6" w:tplc="B57CD926" w:tentative="1">
      <w:start w:val="1"/>
      <w:numFmt w:val="decimal"/>
      <w:lvlText w:val="%7."/>
      <w:lvlJc w:val="left"/>
      <w:pPr>
        <w:ind w:left="4680" w:hanging="360"/>
      </w:pPr>
    </w:lvl>
    <w:lvl w:ilvl="7" w:tplc="41804272" w:tentative="1">
      <w:start w:val="1"/>
      <w:numFmt w:val="lowerLetter"/>
      <w:lvlText w:val="%8."/>
      <w:lvlJc w:val="left"/>
      <w:pPr>
        <w:ind w:left="5400" w:hanging="360"/>
      </w:pPr>
    </w:lvl>
    <w:lvl w:ilvl="8" w:tplc="5D723FBC"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8D9"/>
    <w:rsid w:val="00054AD9"/>
    <w:rsid w:val="00092A8A"/>
    <w:rsid w:val="000D23B0"/>
    <w:rsid w:val="000E407D"/>
    <w:rsid w:val="00112B2C"/>
    <w:rsid w:val="00123E44"/>
    <w:rsid w:val="001338D9"/>
    <w:rsid w:val="00221DC5"/>
    <w:rsid w:val="002B43C0"/>
    <w:rsid w:val="002F0B51"/>
    <w:rsid w:val="003605E4"/>
    <w:rsid w:val="004D15F8"/>
    <w:rsid w:val="004F23E8"/>
    <w:rsid w:val="00594BAA"/>
    <w:rsid w:val="005E3E7A"/>
    <w:rsid w:val="006D069E"/>
    <w:rsid w:val="007A1534"/>
    <w:rsid w:val="007F1AA2"/>
    <w:rsid w:val="00877322"/>
    <w:rsid w:val="00907881"/>
    <w:rsid w:val="009C6D6C"/>
    <w:rsid w:val="00AE1FC1"/>
    <w:rsid w:val="00B3347E"/>
    <w:rsid w:val="00C7785A"/>
    <w:rsid w:val="00C90B90"/>
    <w:rsid w:val="00E37056"/>
    <w:rsid w:val="00E87DF9"/>
    <w:rsid w:val="00FF37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E05D"/>
  <w15:docId w15:val="{06E73A01-0645-4D40-987E-E1726B0D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ind w:left="2204"/>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customStyle="1" w:styleId="st">
    <w:name w:val="st"/>
    <w:basedOn w:val="Standardstycketeckensnitt"/>
    <w:rsid w:val="00123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96472">
      <w:bodyDiv w:val="1"/>
      <w:marLeft w:val="0"/>
      <w:marRight w:val="0"/>
      <w:marTop w:val="0"/>
      <w:marBottom w:val="0"/>
      <w:divBdr>
        <w:top w:val="none" w:sz="0" w:space="0" w:color="auto"/>
        <w:left w:val="none" w:sz="0" w:space="0" w:color="auto"/>
        <w:bottom w:val="none" w:sz="0" w:space="0" w:color="auto"/>
        <w:right w:val="none" w:sz="0" w:space="0" w:color="auto"/>
      </w:divBdr>
      <w:divsChild>
        <w:div w:id="1157303997">
          <w:marLeft w:val="0"/>
          <w:marRight w:val="0"/>
          <w:marTop w:val="0"/>
          <w:marBottom w:val="0"/>
          <w:divBdr>
            <w:top w:val="none" w:sz="0" w:space="0" w:color="auto"/>
            <w:left w:val="none" w:sz="0" w:space="0" w:color="auto"/>
            <w:bottom w:val="none" w:sz="0" w:space="0" w:color="auto"/>
            <w:right w:val="none" w:sz="0" w:space="0" w:color="auto"/>
          </w:divBdr>
          <w:divsChild>
            <w:div w:id="815798045">
              <w:marLeft w:val="0"/>
              <w:marRight w:val="0"/>
              <w:marTop w:val="0"/>
              <w:marBottom w:val="0"/>
              <w:divBdr>
                <w:top w:val="none" w:sz="0" w:space="0" w:color="auto"/>
                <w:left w:val="none" w:sz="0" w:space="0" w:color="auto"/>
                <w:bottom w:val="none" w:sz="0" w:space="0" w:color="auto"/>
                <w:right w:val="none" w:sz="0" w:space="0" w:color="auto"/>
              </w:divBdr>
              <w:divsChild>
                <w:div w:id="1112238706">
                  <w:marLeft w:val="0"/>
                  <w:marRight w:val="0"/>
                  <w:marTop w:val="0"/>
                  <w:marBottom w:val="0"/>
                  <w:divBdr>
                    <w:top w:val="none" w:sz="0" w:space="0" w:color="auto"/>
                    <w:left w:val="none" w:sz="0" w:space="0" w:color="auto"/>
                    <w:bottom w:val="none" w:sz="0" w:space="0" w:color="auto"/>
                    <w:right w:val="none" w:sz="0" w:space="0" w:color="auto"/>
                  </w:divBdr>
                  <w:divsChild>
                    <w:div w:id="870068409">
                      <w:marLeft w:val="0"/>
                      <w:marRight w:val="0"/>
                      <w:marTop w:val="0"/>
                      <w:marBottom w:val="0"/>
                      <w:divBdr>
                        <w:top w:val="none" w:sz="0" w:space="0" w:color="auto"/>
                        <w:left w:val="none" w:sz="0" w:space="0" w:color="auto"/>
                        <w:bottom w:val="none" w:sz="0" w:space="0" w:color="auto"/>
                        <w:right w:val="none" w:sz="0" w:space="0" w:color="auto"/>
                      </w:divBdr>
                      <w:divsChild>
                        <w:div w:id="1419063037">
                          <w:marLeft w:val="2325"/>
                          <w:marRight w:val="0"/>
                          <w:marTop w:val="0"/>
                          <w:marBottom w:val="0"/>
                          <w:divBdr>
                            <w:top w:val="none" w:sz="0" w:space="0" w:color="auto"/>
                            <w:left w:val="none" w:sz="0" w:space="0" w:color="auto"/>
                            <w:bottom w:val="none" w:sz="0" w:space="0" w:color="auto"/>
                            <w:right w:val="none" w:sz="0" w:space="0" w:color="auto"/>
                          </w:divBdr>
                          <w:divsChild>
                            <w:div w:id="1835603294">
                              <w:marLeft w:val="0"/>
                              <w:marRight w:val="0"/>
                              <w:marTop w:val="0"/>
                              <w:marBottom w:val="0"/>
                              <w:divBdr>
                                <w:top w:val="none" w:sz="0" w:space="0" w:color="auto"/>
                                <w:left w:val="none" w:sz="0" w:space="0" w:color="auto"/>
                                <w:bottom w:val="none" w:sz="0" w:space="0" w:color="auto"/>
                                <w:right w:val="none" w:sz="0" w:space="0" w:color="auto"/>
                              </w:divBdr>
                              <w:divsChild>
                                <w:div w:id="795756128">
                                  <w:marLeft w:val="0"/>
                                  <w:marRight w:val="0"/>
                                  <w:marTop w:val="0"/>
                                  <w:marBottom w:val="0"/>
                                  <w:divBdr>
                                    <w:top w:val="none" w:sz="0" w:space="0" w:color="auto"/>
                                    <w:left w:val="none" w:sz="0" w:space="0" w:color="auto"/>
                                    <w:bottom w:val="none" w:sz="0" w:space="0" w:color="auto"/>
                                    <w:right w:val="none" w:sz="0" w:space="0" w:color="auto"/>
                                  </w:divBdr>
                                  <w:divsChild>
                                    <w:div w:id="1095439763">
                                      <w:marLeft w:val="0"/>
                                      <w:marRight w:val="0"/>
                                      <w:marTop w:val="0"/>
                                      <w:marBottom w:val="0"/>
                                      <w:divBdr>
                                        <w:top w:val="none" w:sz="0" w:space="0" w:color="auto"/>
                                        <w:left w:val="none" w:sz="0" w:space="0" w:color="auto"/>
                                        <w:bottom w:val="none" w:sz="0" w:space="0" w:color="auto"/>
                                        <w:right w:val="none" w:sz="0" w:space="0" w:color="auto"/>
                                      </w:divBdr>
                                      <w:divsChild>
                                        <w:div w:id="895700295">
                                          <w:marLeft w:val="480"/>
                                          <w:marRight w:val="0"/>
                                          <w:marTop w:val="0"/>
                                          <w:marBottom w:val="0"/>
                                          <w:divBdr>
                                            <w:top w:val="none" w:sz="0" w:space="0" w:color="auto"/>
                                            <w:left w:val="none" w:sz="0" w:space="0" w:color="auto"/>
                                            <w:bottom w:val="none" w:sz="0" w:space="0" w:color="auto"/>
                                            <w:right w:val="none" w:sz="0" w:space="0" w:color="auto"/>
                                          </w:divBdr>
                                          <w:divsChild>
                                            <w:div w:id="233711770">
                                              <w:marLeft w:val="0"/>
                                              <w:marRight w:val="0"/>
                                              <w:marTop w:val="0"/>
                                              <w:marBottom w:val="0"/>
                                              <w:divBdr>
                                                <w:top w:val="none" w:sz="0" w:space="0" w:color="auto"/>
                                                <w:left w:val="none" w:sz="0" w:space="0" w:color="auto"/>
                                                <w:bottom w:val="none" w:sz="0" w:space="0" w:color="auto"/>
                                                <w:right w:val="none" w:sz="0" w:space="0" w:color="auto"/>
                                              </w:divBdr>
                                              <w:divsChild>
                                                <w:div w:id="1884707400">
                                                  <w:marLeft w:val="0"/>
                                                  <w:marRight w:val="0"/>
                                                  <w:marTop w:val="0"/>
                                                  <w:marBottom w:val="0"/>
                                                  <w:divBdr>
                                                    <w:top w:val="none" w:sz="0" w:space="0" w:color="auto"/>
                                                    <w:left w:val="none" w:sz="0" w:space="0" w:color="auto"/>
                                                    <w:bottom w:val="none" w:sz="0" w:space="0" w:color="auto"/>
                                                    <w:right w:val="none" w:sz="0" w:space="0" w:color="auto"/>
                                                  </w:divBdr>
                                                  <w:divsChild>
                                                    <w:div w:id="458768822">
                                                      <w:marLeft w:val="0"/>
                                                      <w:marRight w:val="0"/>
                                                      <w:marTop w:val="0"/>
                                                      <w:marBottom w:val="0"/>
                                                      <w:divBdr>
                                                        <w:top w:val="none" w:sz="0" w:space="0" w:color="auto"/>
                                                        <w:left w:val="none" w:sz="0" w:space="0" w:color="auto"/>
                                                        <w:bottom w:val="none" w:sz="0" w:space="0" w:color="auto"/>
                                                        <w:right w:val="none" w:sz="0" w:space="0" w:color="auto"/>
                                                      </w:divBdr>
                                                      <w:divsChild>
                                                        <w:div w:id="997463703">
                                                          <w:marLeft w:val="0"/>
                                                          <w:marRight w:val="0"/>
                                                          <w:marTop w:val="0"/>
                                                          <w:marBottom w:val="0"/>
                                                          <w:divBdr>
                                                            <w:top w:val="none" w:sz="0" w:space="0" w:color="auto"/>
                                                            <w:left w:val="none" w:sz="0" w:space="0" w:color="auto"/>
                                                            <w:bottom w:val="none" w:sz="0" w:space="0" w:color="auto"/>
                                                            <w:right w:val="none" w:sz="0" w:space="0" w:color="auto"/>
                                                          </w:divBdr>
                                                          <w:divsChild>
                                                            <w:div w:id="1946385208">
                                                              <w:marLeft w:val="0"/>
                                                              <w:marRight w:val="0"/>
                                                              <w:marTop w:val="0"/>
                                                              <w:marBottom w:val="0"/>
                                                              <w:divBdr>
                                                                <w:top w:val="none" w:sz="0" w:space="0" w:color="auto"/>
                                                                <w:left w:val="none" w:sz="0" w:space="0" w:color="auto"/>
                                                                <w:bottom w:val="none" w:sz="0" w:space="0" w:color="auto"/>
                                                                <w:right w:val="none" w:sz="0" w:space="0" w:color="auto"/>
                                                              </w:divBdr>
                                                              <w:divsChild>
                                                                <w:div w:id="451174239">
                                                                  <w:marLeft w:val="0"/>
                                                                  <w:marRight w:val="0"/>
                                                                  <w:marTop w:val="0"/>
                                                                  <w:marBottom w:val="0"/>
                                                                  <w:divBdr>
                                                                    <w:top w:val="none" w:sz="0" w:space="0" w:color="auto"/>
                                                                    <w:left w:val="none" w:sz="0" w:space="0" w:color="auto"/>
                                                                    <w:bottom w:val="none" w:sz="0" w:space="0" w:color="auto"/>
                                                                    <w:right w:val="none" w:sz="0" w:space="0" w:color="auto"/>
                                                                  </w:divBdr>
                                                                  <w:divsChild>
                                                                    <w:div w:id="345786747">
                                                                      <w:marLeft w:val="0"/>
                                                                      <w:marRight w:val="0"/>
                                                                      <w:marTop w:val="96"/>
                                                                      <w:marBottom w:val="0"/>
                                                                      <w:divBdr>
                                                                        <w:top w:val="none" w:sz="0" w:space="0" w:color="auto"/>
                                                                        <w:left w:val="none" w:sz="0" w:space="0" w:color="auto"/>
                                                                        <w:bottom w:val="none" w:sz="0" w:space="0" w:color="auto"/>
                                                                        <w:right w:val="none" w:sz="0" w:space="0" w:color="auto"/>
                                                                      </w:divBdr>
                                                                      <w:divsChild>
                                                                        <w:div w:id="1166899592">
                                                                          <w:marLeft w:val="0"/>
                                                                          <w:marRight w:val="0"/>
                                                                          <w:marTop w:val="72"/>
                                                                          <w:marBottom w:val="0"/>
                                                                          <w:divBdr>
                                                                            <w:top w:val="none" w:sz="0" w:space="0" w:color="auto"/>
                                                                            <w:left w:val="none" w:sz="0" w:space="0" w:color="auto"/>
                                                                            <w:bottom w:val="none" w:sz="0" w:space="0" w:color="auto"/>
                                                                            <w:right w:val="none" w:sz="0" w:space="0" w:color="auto"/>
                                                                          </w:divBdr>
                                                                          <w:divsChild>
                                                                            <w:div w:id="1157722969">
                                                                              <w:marLeft w:val="0"/>
                                                                              <w:marRight w:val="0"/>
                                                                              <w:marTop w:val="0"/>
                                                                              <w:marBottom w:val="0"/>
                                                                              <w:divBdr>
                                                                                <w:top w:val="none" w:sz="0" w:space="0" w:color="auto"/>
                                                                                <w:left w:val="none" w:sz="0" w:space="0" w:color="auto"/>
                                                                                <w:bottom w:val="none" w:sz="0" w:space="0" w:color="auto"/>
                                                                                <w:right w:val="none" w:sz="0" w:space="0" w:color="auto"/>
                                                                              </w:divBdr>
                                                                              <w:divsChild>
                                                                                <w:div w:id="106059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JE6N4JFJXNNF-9-65065</_dlc_DocId>
    <_dlc_DocIdUrl xmlns="8b66ae41-1ec6-402e-b662-35d1932ca064">
      <Url>http://rkdhs-sb/enhet/EUKansli/_layouts/DocIdRedir.aspx?ID=JE6N4JFJXNNF-9-65065</Url>
      <Description>JE6N4JFJXNNF-9-65065</Description>
    </_dlc_DocIdUrl>
  </documentManagement>
</p:properti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760E4-935E-4BDC-84E1-B9069EE212AB}">
  <ds:schemaRefs>
    <ds:schemaRef ds:uri="http://schemas.microsoft.com/sharepoint/v3/contenttype/forms"/>
  </ds:schemaRefs>
</ds:datastoreItem>
</file>

<file path=customXml/itemProps2.xml><?xml version="1.0" encoding="utf-8"?>
<ds:datastoreItem xmlns:ds="http://schemas.openxmlformats.org/officeDocument/2006/customXml" ds:itemID="{DD811409-46A2-474E-BB58-D6653D08B130}">
  <ds:schemaRefs>
    <ds:schemaRef ds:uri="8b66ae41-1ec6-402e-b662-35d1932ca064"/>
    <ds:schemaRef ds:uri="http://purl.org/dc/dcmitype/"/>
    <ds:schemaRef ds:uri="http://purl.org/dc/elements/1.1/"/>
    <ds:schemaRef ds:uri="e4c0beb7-0294-4d25-9600-346807c0961e"/>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F129F7E-E6CC-4928-B2E9-800B99AFAA69}">
  <ds:schemaRefs>
    <ds:schemaRef ds:uri="http://schemas.microsoft.com/sharepoint/v3/contenttype/forms/url"/>
  </ds:schemaRefs>
</ds:datastoreItem>
</file>

<file path=customXml/itemProps4.xml><?xml version="1.0" encoding="utf-8"?>
<ds:datastoreItem xmlns:ds="http://schemas.openxmlformats.org/officeDocument/2006/customXml" ds:itemID="{6D896169-C63A-49C7-9921-783B5D60DDE7}">
  <ds:schemaRefs>
    <ds:schemaRef ds:uri="http://schemas.microsoft.com/office/2006/metadata/customXsn"/>
  </ds:schemaRefs>
</ds:datastoreItem>
</file>

<file path=customXml/itemProps5.xml><?xml version="1.0" encoding="utf-8"?>
<ds:datastoreItem xmlns:ds="http://schemas.openxmlformats.org/officeDocument/2006/customXml" ds:itemID="{1D4CBCBC-A7CE-4769-90FB-43AD060B90D7}">
  <ds:schemaRefs>
    <ds:schemaRef ds:uri="http://schemas.microsoft.com/sharepoint/events"/>
  </ds:schemaRefs>
</ds:datastoreItem>
</file>

<file path=customXml/itemProps6.xml><?xml version="1.0" encoding="utf-8"?>
<ds:datastoreItem xmlns:ds="http://schemas.openxmlformats.org/officeDocument/2006/customXml" ds:itemID="{075E3CE6-65F3-44C6-A4D6-86382BDCE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CFA3245-4A71-40B7-AFDA-FC74B603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6949</Words>
  <Characters>36835</Characters>
  <Application>Microsoft Office Word</Application>
  <DocSecurity>4</DocSecurity>
  <Lines>306</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2014-11-13T09:06:00Z</dcterms:created>
  <dcterms:modified xsi:type="dcterms:W3CDTF">2014-11-13T09:06:00Z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4f7a4c78-dbf5-4432-8171-a347d5c3c5e8</vt:lpwstr>
  </property>
</Properties>
</file>