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6030F" w:rsidRPr="00531A37">
        <w:tblPrEx>
          <w:tblCellMar>
            <w:top w:w="0" w:type="dxa"/>
            <w:bottom w:w="0" w:type="dxa"/>
          </w:tblCellMar>
        </w:tblPrEx>
        <w:tc>
          <w:tcPr>
            <w:tcW w:w="2268" w:type="dxa"/>
          </w:tcPr>
          <w:p w:rsidR="0006030F" w:rsidRPr="00531A37" w:rsidRDefault="0006030F">
            <w:pPr>
              <w:framePr w:w="4400" w:h="1644" w:wrap="notBeside" w:vAnchor="page" w:hAnchor="page" w:x="6573" w:y="721"/>
              <w:rPr>
                <w:rFonts w:ascii="TradeGothic" w:hAnsi="TradeGothic"/>
                <w:i/>
                <w:sz w:val="18"/>
              </w:rPr>
            </w:pPr>
          </w:p>
        </w:tc>
        <w:tc>
          <w:tcPr>
            <w:tcW w:w="2347" w:type="dxa"/>
            <w:gridSpan w:val="2"/>
          </w:tcPr>
          <w:p w:rsidR="0006030F" w:rsidRPr="00531A37" w:rsidRDefault="0006030F">
            <w:pPr>
              <w:framePr w:w="4400" w:h="1644" w:wrap="notBeside" w:vAnchor="page" w:hAnchor="page" w:x="6573" w:y="721"/>
              <w:rPr>
                <w:rFonts w:ascii="TradeGothic" w:hAnsi="TradeGothic"/>
                <w:i/>
                <w:sz w:val="18"/>
              </w:rPr>
            </w:pPr>
          </w:p>
        </w:tc>
      </w:tr>
      <w:tr w:rsidR="0006030F" w:rsidRPr="00531A37">
        <w:tblPrEx>
          <w:tblCellMar>
            <w:top w:w="0" w:type="dxa"/>
            <w:bottom w:w="0" w:type="dxa"/>
          </w:tblCellMar>
        </w:tblPrEx>
        <w:trPr>
          <w:cantSplit/>
        </w:trPr>
        <w:tc>
          <w:tcPr>
            <w:tcW w:w="4615" w:type="dxa"/>
            <w:gridSpan w:val="3"/>
          </w:tcPr>
          <w:p w:rsidR="0006030F" w:rsidRPr="00531A37" w:rsidRDefault="0006030F">
            <w:pPr>
              <w:framePr w:w="4400" w:h="1644" w:wrap="notBeside" w:vAnchor="page" w:hAnchor="page" w:x="6573" w:y="721"/>
              <w:rPr>
                <w:rFonts w:ascii="TradeGothic" w:hAnsi="TradeGothic"/>
                <w:b/>
                <w:sz w:val="22"/>
              </w:rPr>
            </w:pPr>
            <w:r w:rsidRPr="00531A37">
              <w:rPr>
                <w:rFonts w:ascii="TradeGothic" w:hAnsi="TradeGothic"/>
                <w:b/>
                <w:sz w:val="22"/>
              </w:rPr>
              <w:t>Rådspromemoria</w:t>
            </w:r>
          </w:p>
        </w:tc>
      </w:tr>
      <w:tr w:rsidR="0006030F" w:rsidRPr="00531A37">
        <w:tblPrEx>
          <w:tblCellMar>
            <w:top w:w="0" w:type="dxa"/>
            <w:bottom w:w="0" w:type="dxa"/>
          </w:tblCellMar>
        </w:tblPrEx>
        <w:tc>
          <w:tcPr>
            <w:tcW w:w="3402" w:type="dxa"/>
            <w:gridSpan w:val="2"/>
          </w:tcPr>
          <w:p w:rsidR="0006030F" w:rsidRPr="00531A37" w:rsidRDefault="0006030F">
            <w:pPr>
              <w:framePr w:w="4400" w:h="1644" w:wrap="notBeside" w:vAnchor="page" w:hAnchor="page" w:x="6573" w:y="721"/>
            </w:pPr>
          </w:p>
        </w:tc>
        <w:tc>
          <w:tcPr>
            <w:tcW w:w="1213" w:type="dxa"/>
          </w:tcPr>
          <w:p w:rsidR="0006030F" w:rsidRPr="00531A37" w:rsidRDefault="0006030F">
            <w:pPr>
              <w:framePr w:w="4400" w:h="1644" w:wrap="notBeside" w:vAnchor="page" w:hAnchor="page" w:x="6573" w:y="721"/>
            </w:pPr>
          </w:p>
        </w:tc>
      </w:tr>
      <w:tr w:rsidR="0006030F" w:rsidRPr="00531A37">
        <w:tblPrEx>
          <w:tblCellMar>
            <w:top w:w="0" w:type="dxa"/>
            <w:bottom w:w="0" w:type="dxa"/>
          </w:tblCellMar>
        </w:tblPrEx>
        <w:tc>
          <w:tcPr>
            <w:tcW w:w="2268" w:type="dxa"/>
          </w:tcPr>
          <w:p w:rsidR="0006030F" w:rsidRPr="00531A37" w:rsidRDefault="0006030F">
            <w:pPr>
              <w:framePr w:w="4400" w:h="1644" w:wrap="notBeside" w:vAnchor="page" w:hAnchor="page" w:x="6573" w:y="721"/>
            </w:pPr>
            <w:r w:rsidRPr="00531A37">
              <w:t>200</w:t>
            </w:r>
            <w:r w:rsidR="006C590F" w:rsidRPr="00531A37">
              <w:t>8</w:t>
            </w:r>
            <w:r w:rsidRPr="00531A37">
              <w:t>-0</w:t>
            </w:r>
            <w:r w:rsidR="00D35DAB" w:rsidRPr="00531A37">
              <w:t>4</w:t>
            </w:r>
            <w:r w:rsidRPr="00531A37">
              <w:t>-</w:t>
            </w:r>
            <w:r w:rsidR="00D35DAB" w:rsidRPr="00531A37">
              <w:t>0</w:t>
            </w:r>
            <w:r w:rsidR="00A43B20" w:rsidRPr="00531A37">
              <w:t>7</w:t>
            </w:r>
          </w:p>
        </w:tc>
        <w:tc>
          <w:tcPr>
            <w:tcW w:w="2347" w:type="dxa"/>
            <w:gridSpan w:val="2"/>
          </w:tcPr>
          <w:p w:rsidR="0006030F" w:rsidRPr="00531A37" w:rsidRDefault="0006030F">
            <w:pPr>
              <w:framePr w:w="4400" w:h="1644" w:wrap="notBeside" w:vAnchor="page" w:hAnchor="page" w:x="6573" w:y="721"/>
            </w:pPr>
          </w:p>
        </w:tc>
      </w:tr>
      <w:tr w:rsidR="0006030F" w:rsidRPr="00531A37">
        <w:tblPrEx>
          <w:tblCellMar>
            <w:top w:w="0" w:type="dxa"/>
            <w:bottom w:w="0" w:type="dxa"/>
          </w:tblCellMar>
        </w:tblPrEx>
        <w:tc>
          <w:tcPr>
            <w:tcW w:w="2268" w:type="dxa"/>
          </w:tcPr>
          <w:p w:rsidR="0006030F" w:rsidRPr="00531A37" w:rsidRDefault="0006030F">
            <w:pPr>
              <w:framePr w:w="4400" w:h="1644" w:wrap="notBeside" w:vAnchor="page" w:hAnchor="page" w:x="6573" w:y="721"/>
            </w:pPr>
          </w:p>
        </w:tc>
        <w:tc>
          <w:tcPr>
            <w:tcW w:w="2347" w:type="dxa"/>
            <w:gridSpan w:val="2"/>
          </w:tcPr>
          <w:p w:rsidR="0006030F" w:rsidRPr="00531A37" w:rsidRDefault="0006030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6030F" w:rsidRPr="00531A37">
        <w:tblPrEx>
          <w:tblCellMar>
            <w:top w:w="0" w:type="dxa"/>
            <w:bottom w:w="0" w:type="dxa"/>
          </w:tblCellMar>
        </w:tblPrEx>
        <w:trPr>
          <w:trHeight w:val="284"/>
        </w:trPr>
        <w:tc>
          <w:tcPr>
            <w:tcW w:w="4911" w:type="dxa"/>
          </w:tcPr>
          <w:p w:rsidR="0006030F" w:rsidRPr="00531A37" w:rsidRDefault="0006030F">
            <w:pPr>
              <w:pStyle w:val="Avsndare"/>
              <w:framePr w:h="2483" w:wrap="notBeside" w:x="1504"/>
              <w:rPr>
                <w:b/>
                <w:i w:val="0"/>
                <w:sz w:val="22"/>
              </w:rPr>
            </w:pPr>
            <w:r w:rsidRPr="00531A37">
              <w:rPr>
                <w:b/>
                <w:i w:val="0"/>
                <w:sz w:val="22"/>
              </w:rPr>
              <w:t>Justitiedepartementet</w:t>
            </w:r>
          </w:p>
        </w:tc>
      </w:tr>
      <w:tr w:rsidR="0006030F" w:rsidRPr="00531A37">
        <w:tblPrEx>
          <w:tblCellMar>
            <w:top w:w="0" w:type="dxa"/>
            <w:bottom w:w="0" w:type="dxa"/>
          </w:tblCellMar>
        </w:tblPrEx>
        <w:trPr>
          <w:trHeight w:val="284"/>
        </w:trPr>
        <w:tc>
          <w:tcPr>
            <w:tcW w:w="4911" w:type="dxa"/>
          </w:tcPr>
          <w:p w:rsidR="0006030F" w:rsidRPr="00531A37" w:rsidRDefault="0006030F">
            <w:pPr>
              <w:pStyle w:val="Avsndare"/>
              <w:framePr w:h="2483" w:wrap="notBeside" w:x="1504"/>
              <w:rPr>
                <w:bCs/>
                <w:iCs/>
              </w:rPr>
            </w:pPr>
          </w:p>
        </w:tc>
      </w:tr>
      <w:tr w:rsidR="0006030F" w:rsidRPr="00531A37">
        <w:tblPrEx>
          <w:tblCellMar>
            <w:top w:w="0" w:type="dxa"/>
            <w:bottom w:w="0" w:type="dxa"/>
          </w:tblCellMar>
        </w:tblPrEx>
        <w:trPr>
          <w:trHeight w:val="284"/>
        </w:trPr>
        <w:tc>
          <w:tcPr>
            <w:tcW w:w="4911" w:type="dxa"/>
          </w:tcPr>
          <w:p w:rsidR="0006030F" w:rsidRPr="00531A37" w:rsidRDefault="00B45BC4">
            <w:pPr>
              <w:pStyle w:val="Avsndare"/>
              <w:framePr w:h="2483" w:wrap="notBeside" w:x="1504"/>
              <w:rPr>
                <w:bCs/>
                <w:iCs/>
              </w:rPr>
            </w:pPr>
            <w:r w:rsidRPr="00531A37">
              <w:rPr>
                <w:bCs/>
                <w:iCs/>
              </w:rPr>
              <w:t>Enheten för polisfrågor samt allmän ordning och säkerhet</w:t>
            </w:r>
          </w:p>
        </w:tc>
      </w:tr>
      <w:tr w:rsidR="0006030F" w:rsidRPr="00531A37">
        <w:tblPrEx>
          <w:tblCellMar>
            <w:top w:w="0" w:type="dxa"/>
            <w:bottom w:w="0" w:type="dxa"/>
          </w:tblCellMar>
        </w:tblPrEx>
        <w:trPr>
          <w:trHeight w:val="284"/>
        </w:trPr>
        <w:tc>
          <w:tcPr>
            <w:tcW w:w="4911" w:type="dxa"/>
          </w:tcPr>
          <w:p w:rsidR="0006030F" w:rsidRPr="00531A37" w:rsidRDefault="0006030F">
            <w:pPr>
              <w:pStyle w:val="Avsndare"/>
              <w:framePr w:h="2483" w:wrap="notBeside" w:x="1504"/>
              <w:rPr>
                <w:bCs/>
                <w:iCs/>
              </w:rPr>
            </w:pPr>
          </w:p>
        </w:tc>
      </w:tr>
      <w:tr w:rsidR="0006030F" w:rsidRPr="00531A37">
        <w:tblPrEx>
          <w:tblCellMar>
            <w:top w:w="0" w:type="dxa"/>
            <w:bottom w:w="0" w:type="dxa"/>
          </w:tblCellMar>
        </w:tblPrEx>
        <w:trPr>
          <w:trHeight w:val="284"/>
        </w:trPr>
        <w:tc>
          <w:tcPr>
            <w:tcW w:w="4911" w:type="dxa"/>
          </w:tcPr>
          <w:p w:rsidR="0006030F" w:rsidRPr="00531A37" w:rsidRDefault="0006030F">
            <w:pPr>
              <w:pStyle w:val="Avsndare"/>
              <w:framePr w:h="2483" w:wrap="notBeside" w:x="1504"/>
              <w:rPr>
                <w:bCs/>
                <w:iCs/>
              </w:rPr>
            </w:pPr>
          </w:p>
        </w:tc>
      </w:tr>
      <w:tr w:rsidR="0006030F" w:rsidRPr="00531A37">
        <w:tblPrEx>
          <w:tblCellMar>
            <w:top w:w="0" w:type="dxa"/>
            <w:bottom w:w="0" w:type="dxa"/>
          </w:tblCellMar>
        </w:tblPrEx>
        <w:trPr>
          <w:trHeight w:val="284"/>
        </w:trPr>
        <w:tc>
          <w:tcPr>
            <w:tcW w:w="4911" w:type="dxa"/>
          </w:tcPr>
          <w:p w:rsidR="0006030F" w:rsidRPr="00531A37" w:rsidRDefault="0006030F">
            <w:pPr>
              <w:pStyle w:val="Avsndare"/>
              <w:framePr w:h="2483" w:wrap="notBeside" w:x="1504"/>
              <w:rPr>
                <w:bCs/>
                <w:iCs/>
              </w:rPr>
            </w:pPr>
          </w:p>
        </w:tc>
      </w:tr>
      <w:tr w:rsidR="0006030F" w:rsidRPr="00531A37">
        <w:tblPrEx>
          <w:tblCellMar>
            <w:top w:w="0" w:type="dxa"/>
            <w:bottom w:w="0" w:type="dxa"/>
          </w:tblCellMar>
        </w:tblPrEx>
        <w:trPr>
          <w:trHeight w:val="284"/>
        </w:trPr>
        <w:tc>
          <w:tcPr>
            <w:tcW w:w="4911" w:type="dxa"/>
          </w:tcPr>
          <w:p w:rsidR="0006030F" w:rsidRPr="00531A37" w:rsidRDefault="0006030F">
            <w:pPr>
              <w:pStyle w:val="Avsndare"/>
              <w:framePr w:h="2483" w:wrap="notBeside" w:x="1504"/>
              <w:rPr>
                <w:bCs/>
                <w:iCs/>
              </w:rPr>
            </w:pPr>
          </w:p>
        </w:tc>
      </w:tr>
      <w:tr w:rsidR="0006030F" w:rsidRPr="00531A37">
        <w:tblPrEx>
          <w:tblCellMar>
            <w:top w:w="0" w:type="dxa"/>
            <w:bottom w:w="0" w:type="dxa"/>
          </w:tblCellMar>
        </w:tblPrEx>
        <w:trPr>
          <w:trHeight w:val="284"/>
        </w:trPr>
        <w:tc>
          <w:tcPr>
            <w:tcW w:w="4911" w:type="dxa"/>
          </w:tcPr>
          <w:p w:rsidR="0006030F" w:rsidRPr="00531A37" w:rsidRDefault="0006030F">
            <w:pPr>
              <w:pStyle w:val="Avsndare"/>
              <w:framePr w:h="2483" w:wrap="notBeside" w:x="1504"/>
              <w:rPr>
                <w:bCs/>
                <w:iCs/>
              </w:rPr>
            </w:pPr>
          </w:p>
        </w:tc>
      </w:tr>
      <w:tr w:rsidR="0006030F" w:rsidRPr="00531A37">
        <w:tblPrEx>
          <w:tblCellMar>
            <w:top w:w="0" w:type="dxa"/>
            <w:bottom w:w="0" w:type="dxa"/>
          </w:tblCellMar>
        </w:tblPrEx>
        <w:trPr>
          <w:trHeight w:val="284"/>
        </w:trPr>
        <w:tc>
          <w:tcPr>
            <w:tcW w:w="4911" w:type="dxa"/>
          </w:tcPr>
          <w:p w:rsidR="0006030F" w:rsidRPr="00531A37" w:rsidRDefault="0006030F">
            <w:pPr>
              <w:pStyle w:val="Avsndare"/>
              <w:framePr w:h="2483" w:wrap="notBeside" w:x="1504"/>
              <w:rPr>
                <w:bCs/>
                <w:iCs/>
              </w:rPr>
            </w:pPr>
          </w:p>
        </w:tc>
      </w:tr>
    </w:tbl>
    <w:p w:rsidR="0006030F" w:rsidRPr="00531A37" w:rsidRDefault="0006030F">
      <w:pPr>
        <w:framePr w:w="4400" w:h="2523" w:wrap="notBeside" w:vAnchor="page" w:hAnchor="page" w:x="6453" w:y="2445"/>
        <w:ind w:left="142"/>
        <w:rPr>
          <w:b/>
        </w:rPr>
      </w:pPr>
    </w:p>
    <w:p w:rsidR="0006030F" w:rsidRPr="00531A37" w:rsidRDefault="0006030F">
      <w:pPr>
        <w:pStyle w:val="RKrubrik"/>
        <w:pBdr>
          <w:bottom w:val="single" w:sz="6" w:space="1" w:color="auto"/>
        </w:pBdr>
      </w:pPr>
      <w:bookmarkStart w:id="0" w:name="bRubrik"/>
      <w:bookmarkEnd w:id="0"/>
      <w:r w:rsidRPr="00531A37">
        <w:t>Rådets möte (</w:t>
      </w:r>
      <w:r w:rsidR="00ED08A1" w:rsidRPr="00531A37">
        <w:t>rättsliga och inrikes frågor</w:t>
      </w:r>
      <w:r w:rsidRPr="00531A37">
        <w:t xml:space="preserve">) den </w:t>
      </w:r>
      <w:r w:rsidR="00D35DAB" w:rsidRPr="00531A37">
        <w:t>18 april</w:t>
      </w:r>
      <w:r w:rsidR="00B45BC4" w:rsidRPr="00531A37">
        <w:t xml:space="preserve"> 200</w:t>
      </w:r>
      <w:r w:rsidR="006C590F" w:rsidRPr="00531A37">
        <w:t>8</w:t>
      </w:r>
    </w:p>
    <w:p w:rsidR="0006030F" w:rsidRPr="00531A37" w:rsidRDefault="0006030F">
      <w:pPr>
        <w:pStyle w:val="RKnormal"/>
      </w:pPr>
    </w:p>
    <w:p w:rsidR="0006030F" w:rsidRPr="00531A37" w:rsidRDefault="00D35DAB">
      <w:pPr>
        <w:pStyle w:val="RKnormal"/>
        <w:rPr>
          <w:b/>
        </w:rPr>
      </w:pPr>
      <w:r w:rsidRPr="00531A37">
        <w:rPr>
          <w:b/>
        </w:rPr>
        <w:t xml:space="preserve">Dagordningspunkt </w:t>
      </w:r>
      <w:r w:rsidR="00C44962" w:rsidRPr="00531A37">
        <w:rPr>
          <w:b/>
        </w:rPr>
        <w:t>8</w:t>
      </w:r>
    </w:p>
    <w:p w:rsidR="0006030F" w:rsidRPr="00531A37" w:rsidRDefault="0006030F">
      <w:pPr>
        <w:pStyle w:val="RKnormal"/>
      </w:pPr>
    </w:p>
    <w:p w:rsidR="0006030F" w:rsidRPr="00531A37" w:rsidRDefault="00D35DAB">
      <w:pPr>
        <w:pStyle w:val="RKnormal"/>
        <w:rPr>
          <w:b/>
        </w:rPr>
      </w:pPr>
      <w:r w:rsidRPr="00531A37">
        <w:rPr>
          <w:b/>
        </w:rPr>
        <w:t xml:space="preserve">Europol </w:t>
      </w:r>
      <w:r w:rsidR="00DC6BB4" w:rsidRPr="00531A37">
        <w:rPr>
          <w:b/>
        </w:rPr>
        <w:t>–</w:t>
      </w:r>
      <w:r w:rsidR="00A61571" w:rsidRPr="00531A37">
        <w:rPr>
          <w:b/>
        </w:rPr>
        <w:t xml:space="preserve"> </w:t>
      </w:r>
      <w:r w:rsidRPr="00531A37">
        <w:rPr>
          <w:b/>
        </w:rPr>
        <w:t>Politisk överenskommelse om förslaget till rådsbeslut om inrättande av en europeisk polisbyrå</w:t>
      </w:r>
    </w:p>
    <w:p w:rsidR="005858B1" w:rsidRPr="00531A37" w:rsidRDefault="005858B1">
      <w:pPr>
        <w:pStyle w:val="RKnormal"/>
      </w:pPr>
    </w:p>
    <w:p w:rsidR="0006030F" w:rsidRPr="00531A37" w:rsidRDefault="0006030F">
      <w:pPr>
        <w:pStyle w:val="RKnormal"/>
        <w:rPr>
          <w:i/>
        </w:rPr>
      </w:pPr>
      <w:r w:rsidRPr="00531A37">
        <w:t>Dokument:</w:t>
      </w:r>
      <w:r w:rsidR="00F24F39" w:rsidRPr="00531A37">
        <w:t xml:space="preserve"> </w:t>
      </w:r>
      <w:r w:rsidR="00F24F39" w:rsidRPr="00531A37">
        <w:rPr>
          <w:i/>
        </w:rPr>
        <w:t>Ännu inte tillgängligt</w:t>
      </w:r>
    </w:p>
    <w:p w:rsidR="00F21AF8" w:rsidRPr="00531A37" w:rsidRDefault="00F21AF8" w:rsidP="00F21AF8">
      <w:pPr>
        <w:tabs>
          <w:tab w:val="left" w:pos="851"/>
        </w:tabs>
      </w:pPr>
    </w:p>
    <w:p w:rsidR="00420857" w:rsidRPr="00531A37" w:rsidRDefault="00B45BC4" w:rsidP="00420857">
      <w:pPr>
        <w:pStyle w:val="RKnormal"/>
      </w:pPr>
      <w:r w:rsidRPr="00531A37">
        <w:t>Tidigare dokument:</w:t>
      </w:r>
    </w:p>
    <w:p w:rsidR="00D35DAB" w:rsidRPr="00531A37" w:rsidRDefault="00D35DAB" w:rsidP="00D35DAB">
      <w:pPr>
        <w:pStyle w:val="RKnormal"/>
        <w:numPr>
          <w:ilvl w:val="0"/>
          <w:numId w:val="35"/>
        </w:numPr>
        <w:rPr>
          <w:i/>
        </w:rPr>
      </w:pPr>
      <w:r w:rsidRPr="00531A37">
        <w:rPr>
          <w:i/>
        </w:rPr>
        <w:t xml:space="preserve">Konsoliderad version av textförslaget inför </w:t>
      </w:r>
      <w:r w:rsidR="00DD25F9" w:rsidRPr="00531A37">
        <w:rPr>
          <w:i/>
        </w:rPr>
        <w:t>möte i Artikel 36-kommittén</w:t>
      </w:r>
      <w:r w:rsidRPr="00531A37">
        <w:rPr>
          <w:i/>
        </w:rPr>
        <w:t xml:space="preserve"> den 2-3 april</w:t>
      </w:r>
    </w:p>
    <w:p w:rsidR="00D35DAB" w:rsidRPr="00531A37" w:rsidRDefault="00D35DAB" w:rsidP="00D35DAB">
      <w:pPr>
        <w:pStyle w:val="RKnormal"/>
        <w:rPr>
          <w:i/>
        </w:rPr>
      </w:pPr>
      <w:r w:rsidRPr="00531A37">
        <w:rPr>
          <w:i/>
        </w:rPr>
        <w:t>(7866/08 EUROPOL 37)</w:t>
      </w:r>
    </w:p>
    <w:p w:rsidR="00DC6BB4" w:rsidRPr="00531A37" w:rsidRDefault="00DC6BB4">
      <w:pPr>
        <w:pStyle w:val="RKnormal"/>
      </w:pPr>
    </w:p>
    <w:p w:rsidR="0006030F" w:rsidRPr="00531A37" w:rsidRDefault="0006030F">
      <w:pPr>
        <w:pStyle w:val="RKnormal"/>
      </w:pPr>
      <w:r w:rsidRPr="00531A37">
        <w:t xml:space="preserve">Fakta-PM </w:t>
      </w:r>
      <w:r w:rsidR="00B45BC4" w:rsidRPr="00531A37">
        <w:t>2006/07:FPM63 Justitie</w:t>
      </w:r>
      <w:r w:rsidRPr="00531A37">
        <w:t>dep</w:t>
      </w:r>
      <w:r w:rsidR="00B45BC4" w:rsidRPr="00531A37">
        <w:t>artementet</w:t>
      </w:r>
      <w:r w:rsidRPr="00531A37">
        <w:t xml:space="preserve"> </w:t>
      </w:r>
    </w:p>
    <w:p w:rsidR="00B45BC4" w:rsidRPr="00531A37" w:rsidRDefault="00B45BC4">
      <w:pPr>
        <w:pStyle w:val="RKnormal"/>
      </w:pPr>
    </w:p>
    <w:p w:rsidR="00DC6BB4" w:rsidRPr="00531A37" w:rsidRDefault="0006030F" w:rsidP="00DC6BB4">
      <w:pPr>
        <w:pStyle w:val="RKnormal"/>
      </w:pPr>
      <w:r w:rsidRPr="00531A37">
        <w:t>Tidigare behandlad vid samråd med EU-nämnden</w:t>
      </w:r>
      <w:r w:rsidR="00B45BC4" w:rsidRPr="00531A37">
        <w:t xml:space="preserve"> </w:t>
      </w:r>
      <w:r w:rsidR="00DC6BB4" w:rsidRPr="00531A37">
        <w:t>13 april, den 8 juni,</w:t>
      </w:r>
      <w:r w:rsidR="00D35DAB" w:rsidRPr="00531A37">
        <w:t xml:space="preserve"> den 6 och den 30 november 2007</w:t>
      </w:r>
      <w:r w:rsidR="00F24F39" w:rsidRPr="00531A37">
        <w:t xml:space="preserve"> </w:t>
      </w:r>
      <w:r w:rsidR="00D35DAB" w:rsidRPr="00531A37">
        <w:t>samt den 22 februari 2008.</w:t>
      </w:r>
    </w:p>
    <w:p w:rsidR="00CC39A9" w:rsidRPr="00531A37" w:rsidRDefault="00CC39A9" w:rsidP="00DC6BB4">
      <w:pPr>
        <w:pStyle w:val="RKnormal"/>
      </w:pPr>
    </w:p>
    <w:p w:rsidR="00B45BC4" w:rsidRPr="00531A37" w:rsidRDefault="00B45BC4" w:rsidP="00B45BC4">
      <w:pPr>
        <w:pStyle w:val="RKnormal"/>
      </w:pPr>
      <w:r w:rsidRPr="00531A37">
        <w:t xml:space="preserve">Justitieutskottet har informerats om rådsbeslutet </w:t>
      </w:r>
      <w:r w:rsidR="00DC6BB4" w:rsidRPr="00531A37">
        <w:t>1 mars, den 7 juni</w:t>
      </w:r>
      <w:r w:rsidR="00F24F39" w:rsidRPr="00531A37">
        <w:t>,</w:t>
      </w:r>
      <w:r w:rsidR="00DC6BB4" w:rsidRPr="00531A37">
        <w:t xml:space="preserve"> den 1 och den 29 n</w:t>
      </w:r>
      <w:r w:rsidR="00DC6BB4" w:rsidRPr="00531A37">
        <w:t>o</w:t>
      </w:r>
      <w:r w:rsidR="00D35DAB" w:rsidRPr="00531A37">
        <w:t>vember 2007</w:t>
      </w:r>
      <w:r w:rsidR="00F24F39" w:rsidRPr="00531A37">
        <w:t xml:space="preserve"> </w:t>
      </w:r>
      <w:r w:rsidR="00D35DAB" w:rsidRPr="00531A37">
        <w:t>samt den 21 februari 2008.</w:t>
      </w:r>
    </w:p>
    <w:p w:rsidR="0006030F" w:rsidRPr="00531A37" w:rsidRDefault="0006030F" w:rsidP="001D2818">
      <w:pPr>
        <w:pStyle w:val="Rubrik2"/>
      </w:pPr>
      <w:r w:rsidRPr="00531A37">
        <w:t>Bakgrund</w:t>
      </w:r>
    </w:p>
    <w:p w:rsidR="00CC39A9" w:rsidRPr="00531A37" w:rsidRDefault="00CC39A9" w:rsidP="00CC39A9">
      <w:pPr>
        <w:tabs>
          <w:tab w:val="left" w:pos="567"/>
          <w:tab w:val="left" w:pos="1134"/>
          <w:tab w:val="left" w:pos="1701"/>
        </w:tabs>
        <w:rPr>
          <w:szCs w:val="24"/>
        </w:rPr>
      </w:pPr>
      <w:r w:rsidRPr="00531A37">
        <w:rPr>
          <w:szCs w:val="24"/>
        </w:rPr>
        <w:t xml:space="preserve">I december 2006 </w:t>
      </w:r>
      <w:r w:rsidR="008874C3" w:rsidRPr="00531A37">
        <w:rPr>
          <w:szCs w:val="24"/>
        </w:rPr>
        <w:t>beslutade</w:t>
      </w:r>
      <w:r w:rsidRPr="00531A37">
        <w:rPr>
          <w:szCs w:val="24"/>
        </w:rPr>
        <w:t xml:space="preserve"> rådet att Europolkonventi</w:t>
      </w:r>
      <w:r w:rsidRPr="00531A37">
        <w:rPr>
          <w:szCs w:val="24"/>
        </w:rPr>
        <w:t>o</w:t>
      </w:r>
      <w:r w:rsidRPr="00531A37">
        <w:rPr>
          <w:szCs w:val="24"/>
        </w:rPr>
        <w:t xml:space="preserve">nen skall ersättas av ett rådsbeslut. Syftet är att </w:t>
      </w:r>
      <w:r w:rsidRPr="00531A37">
        <w:t>underlätta en snabbare anpassning av E</w:t>
      </w:r>
      <w:r w:rsidRPr="00531A37">
        <w:t>u</w:t>
      </w:r>
      <w:r w:rsidRPr="00531A37">
        <w:t>ropols regelverk och verksamhet</w:t>
      </w:r>
      <w:r w:rsidRPr="00531A37">
        <w:rPr>
          <w:szCs w:val="24"/>
        </w:rPr>
        <w:t xml:space="preserve"> för att möta nya krav från medlemsst</w:t>
      </w:r>
      <w:r w:rsidRPr="00531A37">
        <w:rPr>
          <w:szCs w:val="24"/>
        </w:rPr>
        <w:t>a</w:t>
      </w:r>
      <w:r w:rsidRPr="00531A37">
        <w:rPr>
          <w:szCs w:val="24"/>
        </w:rPr>
        <w:t>terna och förändringar i omvärlden. Som förutsättning angav</w:t>
      </w:r>
      <w:r w:rsidR="008874C3" w:rsidRPr="00531A37">
        <w:rPr>
          <w:szCs w:val="24"/>
        </w:rPr>
        <w:t>s</w:t>
      </w:r>
      <w:r w:rsidRPr="00531A37">
        <w:rPr>
          <w:szCs w:val="24"/>
        </w:rPr>
        <w:t xml:space="preserve"> en ful</w:t>
      </w:r>
      <w:r w:rsidRPr="00531A37">
        <w:rPr>
          <w:szCs w:val="24"/>
        </w:rPr>
        <w:t>l</w:t>
      </w:r>
      <w:r w:rsidRPr="00531A37">
        <w:rPr>
          <w:szCs w:val="24"/>
        </w:rPr>
        <w:t xml:space="preserve">ständig analys av konsekvenserna för Europol av </w:t>
      </w:r>
      <w:r w:rsidR="008874C3" w:rsidRPr="00531A37">
        <w:rPr>
          <w:szCs w:val="24"/>
        </w:rPr>
        <w:t xml:space="preserve">en övergång till </w:t>
      </w:r>
      <w:r w:rsidRPr="00531A37">
        <w:rPr>
          <w:szCs w:val="24"/>
        </w:rPr>
        <w:t>geme</w:t>
      </w:r>
      <w:r w:rsidRPr="00531A37">
        <w:rPr>
          <w:szCs w:val="24"/>
        </w:rPr>
        <w:t>n</w:t>
      </w:r>
      <w:r w:rsidRPr="00531A37">
        <w:rPr>
          <w:szCs w:val="24"/>
        </w:rPr>
        <w:t>skapsfinansiering</w:t>
      </w:r>
      <w:r w:rsidR="008874C3" w:rsidRPr="00531A37">
        <w:rPr>
          <w:szCs w:val="24"/>
        </w:rPr>
        <w:t xml:space="preserve"> och </w:t>
      </w:r>
      <w:r w:rsidRPr="00531A37">
        <w:rPr>
          <w:szCs w:val="24"/>
        </w:rPr>
        <w:t xml:space="preserve">tillämpning av EU:s </w:t>
      </w:r>
      <w:r w:rsidR="008874C3" w:rsidRPr="00531A37">
        <w:rPr>
          <w:szCs w:val="24"/>
        </w:rPr>
        <w:t>personal- och im</w:t>
      </w:r>
      <w:r w:rsidRPr="00531A37">
        <w:rPr>
          <w:szCs w:val="24"/>
        </w:rPr>
        <w:t>munitet</w:t>
      </w:r>
      <w:r w:rsidR="008874C3" w:rsidRPr="00531A37">
        <w:rPr>
          <w:szCs w:val="24"/>
        </w:rPr>
        <w:t>sre</w:t>
      </w:r>
      <w:r w:rsidR="008874C3" w:rsidRPr="00531A37">
        <w:rPr>
          <w:szCs w:val="24"/>
        </w:rPr>
        <w:t>g</w:t>
      </w:r>
      <w:r w:rsidR="008874C3" w:rsidRPr="00531A37">
        <w:rPr>
          <w:szCs w:val="24"/>
        </w:rPr>
        <w:t>ler</w:t>
      </w:r>
      <w:r w:rsidRPr="00531A37">
        <w:rPr>
          <w:szCs w:val="24"/>
        </w:rPr>
        <w:t xml:space="preserve">. </w:t>
      </w:r>
      <w:r w:rsidR="008874C3" w:rsidRPr="00531A37">
        <w:rPr>
          <w:szCs w:val="24"/>
        </w:rPr>
        <w:t xml:space="preserve">Analysen skulle göras </w:t>
      </w:r>
      <w:r w:rsidRPr="00531A37">
        <w:rPr>
          <w:szCs w:val="24"/>
        </w:rPr>
        <w:t>mot bakgrund av principen om budgetneutr</w:t>
      </w:r>
      <w:r w:rsidRPr="00531A37">
        <w:rPr>
          <w:szCs w:val="24"/>
        </w:rPr>
        <w:t>a</w:t>
      </w:r>
      <w:r w:rsidRPr="00531A37">
        <w:rPr>
          <w:szCs w:val="24"/>
        </w:rPr>
        <w:t xml:space="preserve">litet och med hänsyn till de speciella krav som följer av Europols mandat och uppgifter. </w:t>
      </w:r>
    </w:p>
    <w:p w:rsidR="00CC39A9" w:rsidRPr="00531A37" w:rsidRDefault="00CC39A9" w:rsidP="00CC39A9">
      <w:pPr>
        <w:tabs>
          <w:tab w:val="left" w:pos="567"/>
          <w:tab w:val="left" w:pos="1134"/>
          <w:tab w:val="left" w:pos="1701"/>
        </w:tabs>
        <w:rPr>
          <w:szCs w:val="24"/>
        </w:rPr>
      </w:pPr>
    </w:p>
    <w:p w:rsidR="00F22F11" w:rsidRPr="00531A37" w:rsidRDefault="00CC39A9" w:rsidP="008874C3">
      <w:pPr>
        <w:tabs>
          <w:tab w:val="left" w:pos="567"/>
          <w:tab w:val="left" w:pos="1134"/>
          <w:tab w:val="left" w:pos="1701"/>
        </w:tabs>
      </w:pPr>
      <w:r w:rsidRPr="00531A37">
        <w:lastRenderedPageBreak/>
        <w:t xml:space="preserve">Kommissionens förslag till rådsbeslut (5055/07 EUROPOL 2, KOM (2006) 817 slutlig) </w:t>
      </w:r>
      <w:r w:rsidR="001D5ACF" w:rsidRPr="00531A37">
        <w:t xml:space="preserve">lades fram i </w:t>
      </w:r>
      <w:r w:rsidRPr="00531A37">
        <w:t>januari</w:t>
      </w:r>
      <w:r w:rsidR="001D5ACF" w:rsidRPr="00531A37">
        <w:t xml:space="preserve"> 2007</w:t>
      </w:r>
      <w:r w:rsidR="008874C3" w:rsidRPr="00531A37">
        <w:t>. Under förhandlingarnas gång har k</w:t>
      </w:r>
      <w:r w:rsidR="008874C3" w:rsidRPr="00531A37">
        <w:t>a</w:t>
      </w:r>
      <w:r w:rsidR="008874C3" w:rsidRPr="00531A37">
        <w:t xml:space="preserve">pitlen I, II, III, VI, VII och IX efter hand förts upp till rådet för politisk överenskommelse eller </w:t>
      </w:r>
      <w:r w:rsidR="00DD25F9" w:rsidRPr="00531A37">
        <w:t xml:space="preserve">överenskommelse om allmän </w:t>
      </w:r>
      <w:r w:rsidR="008874C3" w:rsidRPr="00531A37">
        <w:t>inrik</w:t>
      </w:r>
      <w:r w:rsidR="008874C3" w:rsidRPr="00531A37">
        <w:t>t</w:t>
      </w:r>
      <w:r w:rsidR="008874C3" w:rsidRPr="00531A37">
        <w:t xml:space="preserve">ning. Förhandlingarna om </w:t>
      </w:r>
      <w:r w:rsidR="001D5ACF" w:rsidRPr="00531A37">
        <w:t>samtliga kapitel</w:t>
      </w:r>
      <w:r w:rsidR="008874C3" w:rsidRPr="00531A37">
        <w:t xml:space="preserve"> har nu slutförts i Europola</w:t>
      </w:r>
      <w:r w:rsidR="008874C3" w:rsidRPr="00531A37">
        <w:t>r</w:t>
      </w:r>
      <w:r w:rsidR="008874C3" w:rsidRPr="00531A37">
        <w:t xml:space="preserve">betsgruppen. </w:t>
      </w:r>
      <w:r w:rsidR="00F22F11" w:rsidRPr="00531A37">
        <w:t xml:space="preserve">Vid RIF-rådet den </w:t>
      </w:r>
      <w:r w:rsidR="008874C3" w:rsidRPr="00531A37">
        <w:t>1</w:t>
      </w:r>
      <w:r w:rsidR="00DD25F9" w:rsidRPr="00531A37">
        <w:t>8</w:t>
      </w:r>
      <w:r w:rsidR="008874C3" w:rsidRPr="00531A37">
        <w:t xml:space="preserve"> april</w:t>
      </w:r>
      <w:r w:rsidR="00F22F11" w:rsidRPr="00531A37">
        <w:t xml:space="preserve"> 2008 förväntas rådet </w:t>
      </w:r>
      <w:r w:rsidR="001D797D" w:rsidRPr="00531A37">
        <w:t>diskut</w:t>
      </w:r>
      <w:r w:rsidR="001D797D" w:rsidRPr="00531A37">
        <w:t>e</w:t>
      </w:r>
      <w:r w:rsidR="001D797D" w:rsidRPr="00531A37">
        <w:t>ra/</w:t>
      </w:r>
      <w:r w:rsidR="00F22F11" w:rsidRPr="00531A37">
        <w:t>nå politisk överenskommelse</w:t>
      </w:r>
      <w:r w:rsidR="00453EB7" w:rsidRPr="00531A37">
        <w:t>/</w:t>
      </w:r>
      <w:r w:rsidR="00DD25F9" w:rsidRPr="00531A37">
        <w:t>allmän</w:t>
      </w:r>
      <w:r w:rsidR="00453EB7" w:rsidRPr="00531A37">
        <w:t xml:space="preserve"> inriktning</w:t>
      </w:r>
      <w:r w:rsidR="00F22F11" w:rsidRPr="00531A37">
        <w:t xml:space="preserve"> om </w:t>
      </w:r>
      <w:r w:rsidR="008874C3" w:rsidRPr="00531A37">
        <w:t>förslaget i sin he</w:t>
      </w:r>
      <w:r w:rsidR="008874C3" w:rsidRPr="00531A37">
        <w:t>l</w:t>
      </w:r>
      <w:r w:rsidR="008874C3" w:rsidRPr="00531A37">
        <w:t xml:space="preserve">het. </w:t>
      </w:r>
    </w:p>
    <w:p w:rsidR="00BF18AC" w:rsidRPr="00531A37" w:rsidRDefault="00BF18AC" w:rsidP="008874C3">
      <w:pPr>
        <w:tabs>
          <w:tab w:val="left" w:pos="567"/>
          <w:tab w:val="left" w:pos="1134"/>
          <w:tab w:val="left" w:pos="1701"/>
        </w:tabs>
      </w:pPr>
    </w:p>
    <w:p w:rsidR="001D5ACF" w:rsidRPr="00531A37" w:rsidRDefault="00BF18AC" w:rsidP="008728F0">
      <w:pPr>
        <w:tabs>
          <w:tab w:val="left" w:pos="567"/>
          <w:tab w:val="left" w:pos="1134"/>
          <w:tab w:val="left" w:pos="1701"/>
        </w:tabs>
        <w:rPr>
          <w:szCs w:val="24"/>
        </w:rPr>
      </w:pPr>
      <w:r w:rsidRPr="00531A37">
        <w:rPr>
          <w:szCs w:val="24"/>
        </w:rPr>
        <w:t xml:space="preserve">De svårlösta </w:t>
      </w:r>
      <w:r w:rsidR="001D2818" w:rsidRPr="00531A37">
        <w:rPr>
          <w:szCs w:val="24"/>
        </w:rPr>
        <w:t xml:space="preserve">frågorna </w:t>
      </w:r>
      <w:r w:rsidR="00D62F8B" w:rsidRPr="00531A37">
        <w:rPr>
          <w:szCs w:val="24"/>
        </w:rPr>
        <w:t xml:space="preserve">kring EU:s </w:t>
      </w:r>
      <w:r w:rsidR="00626EF8" w:rsidRPr="00531A37">
        <w:rPr>
          <w:szCs w:val="24"/>
        </w:rPr>
        <w:t>immunitetsregler och personalför</w:t>
      </w:r>
      <w:r w:rsidR="00626EF8" w:rsidRPr="00531A37">
        <w:rPr>
          <w:szCs w:val="24"/>
        </w:rPr>
        <w:t>e</w:t>
      </w:r>
      <w:r w:rsidR="00626EF8" w:rsidRPr="00531A37">
        <w:rPr>
          <w:szCs w:val="24"/>
        </w:rPr>
        <w:t>skrifter</w:t>
      </w:r>
      <w:r w:rsidR="00D62F8B" w:rsidRPr="00531A37">
        <w:rPr>
          <w:szCs w:val="24"/>
        </w:rPr>
        <w:t xml:space="preserve"> </w:t>
      </w:r>
      <w:r w:rsidRPr="00531A37">
        <w:rPr>
          <w:szCs w:val="24"/>
        </w:rPr>
        <w:t>har</w:t>
      </w:r>
      <w:r w:rsidR="00660A8B" w:rsidRPr="00531A37">
        <w:rPr>
          <w:szCs w:val="24"/>
        </w:rPr>
        <w:t xml:space="preserve"> </w:t>
      </w:r>
      <w:r w:rsidRPr="00531A37">
        <w:rPr>
          <w:szCs w:val="24"/>
        </w:rPr>
        <w:t>kunnat lösas u</w:t>
      </w:r>
      <w:r w:rsidRPr="00531A37">
        <w:rPr>
          <w:szCs w:val="24"/>
        </w:rPr>
        <w:t>n</w:t>
      </w:r>
      <w:r w:rsidRPr="00531A37">
        <w:rPr>
          <w:szCs w:val="24"/>
        </w:rPr>
        <w:t xml:space="preserve">der februari och mars. </w:t>
      </w:r>
      <w:r w:rsidR="00453EB7" w:rsidRPr="00531A37">
        <w:rPr>
          <w:szCs w:val="24"/>
        </w:rPr>
        <w:t>M</w:t>
      </w:r>
      <w:r w:rsidRPr="00531A37">
        <w:rPr>
          <w:szCs w:val="24"/>
        </w:rPr>
        <w:t xml:space="preserve">edlemsstaterna </w:t>
      </w:r>
      <w:r w:rsidR="00453EB7" w:rsidRPr="00531A37">
        <w:rPr>
          <w:szCs w:val="24"/>
        </w:rPr>
        <w:t xml:space="preserve">har </w:t>
      </w:r>
      <w:r w:rsidR="00ED6C69" w:rsidRPr="00531A37">
        <w:rPr>
          <w:szCs w:val="24"/>
        </w:rPr>
        <w:t>fått gehör för</w:t>
      </w:r>
      <w:r w:rsidRPr="00531A37">
        <w:rPr>
          <w:szCs w:val="24"/>
        </w:rPr>
        <w:t xml:space="preserve"> </w:t>
      </w:r>
      <w:r w:rsidR="00453EB7" w:rsidRPr="00531A37">
        <w:rPr>
          <w:szCs w:val="24"/>
        </w:rPr>
        <w:t xml:space="preserve">sådana </w:t>
      </w:r>
      <w:r w:rsidRPr="00531A37">
        <w:rPr>
          <w:szCs w:val="24"/>
        </w:rPr>
        <w:t xml:space="preserve">ändringar </w:t>
      </w:r>
      <w:r w:rsidR="00453EB7" w:rsidRPr="00531A37">
        <w:rPr>
          <w:szCs w:val="24"/>
        </w:rPr>
        <w:t>som krävs fö</w:t>
      </w:r>
      <w:r w:rsidR="001D5ACF" w:rsidRPr="00531A37">
        <w:rPr>
          <w:szCs w:val="24"/>
        </w:rPr>
        <w:t xml:space="preserve">r att </w:t>
      </w:r>
      <w:r w:rsidR="00453EB7" w:rsidRPr="00531A37">
        <w:rPr>
          <w:szCs w:val="24"/>
        </w:rPr>
        <w:t xml:space="preserve">inte regler </w:t>
      </w:r>
      <w:r w:rsidR="001454BE" w:rsidRPr="00531A37">
        <w:rPr>
          <w:szCs w:val="24"/>
        </w:rPr>
        <w:t>om immun</w:t>
      </w:r>
      <w:r w:rsidR="001454BE" w:rsidRPr="00531A37">
        <w:rPr>
          <w:szCs w:val="24"/>
        </w:rPr>
        <w:t>i</w:t>
      </w:r>
      <w:r w:rsidR="001454BE" w:rsidRPr="00531A37">
        <w:rPr>
          <w:szCs w:val="24"/>
        </w:rPr>
        <w:t xml:space="preserve">tet och </w:t>
      </w:r>
      <w:r w:rsidR="00453EB7" w:rsidRPr="00531A37">
        <w:rPr>
          <w:szCs w:val="24"/>
        </w:rPr>
        <w:t>förbud mot instrukti</w:t>
      </w:r>
      <w:r w:rsidR="00453EB7" w:rsidRPr="00531A37">
        <w:rPr>
          <w:szCs w:val="24"/>
        </w:rPr>
        <w:t>o</w:t>
      </w:r>
      <w:r w:rsidR="00453EB7" w:rsidRPr="00531A37">
        <w:rPr>
          <w:szCs w:val="24"/>
        </w:rPr>
        <w:t xml:space="preserve">ner </w:t>
      </w:r>
      <w:r w:rsidR="00865E45" w:rsidRPr="00531A37">
        <w:rPr>
          <w:szCs w:val="24"/>
        </w:rPr>
        <w:t xml:space="preserve">ska </w:t>
      </w:r>
      <w:r w:rsidR="00453EB7" w:rsidRPr="00531A37">
        <w:rPr>
          <w:szCs w:val="24"/>
        </w:rPr>
        <w:t xml:space="preserve">hindra </w:t>
      </w:r>
      <w:r w:rsidR="001D5ACF" w:rsidRPr="00531A37">
        <w:rPr>
          <w:szCs w:val="24"/>
        </w:rPr>
        <w:t xml:space="preserve">Europolpersonal </w:t>
      </w:r>
      <w:r w:rsidR="00453EB7" w:rsidRPr="00531A37">
        <w:rPr>
          <w:szCs w:val="24"/>
        </w:rPr>
        <w:t xml:space="preserve">från att </w:t>
      </w:r>
      <w:r w:rsidR="001D5ACF" w:rsidRPr="00531A37">
        <w:rPr>
          <w:szCs w:val="24"/>
        </w:rPr>
        <w:t>delta i gemensamma utredningsgrupper. Man har också säkerställt rot</w:t>
      </w:r>
      <w:r w:rsidR="001D5ACF" w:rsidRPr="00531A37">
        <w:rPr>
          <w:szCs w:val="24"/>
        </w:rPr>
        <w:t>a</w:t>
      </w:r>
      <w:r w:rsidR="001D5ACF" w:rsidRPr="00531A37">
        <w:rPr>
          <w:szCs w:val="24"/>
        </w:rPr>
        <w:t xml:space="preserve">tionsprincipen för personal </w:t>
      </w:r>
      <w:r w:rsidR="00453EB7" w:rsidRPr="00531A37">
        <w:rPr>
          <w:szCs w:val="24"/>
        </w:rPr>
        <w:t>samt</w:t>
      </w:r>
      <w:r w:rsidR="001D5ACF" w:rsidRPr="00531A37">
        <w:rPr>
          <w:szCs w:val="24"/>
        </w:rPr>
        <w:t xml:space="preserve"> att tjänster kan öronmärkas för pers</w:t>
      </w:r>
      <w:r w:rsidR="001D5ACF" w:rsidRPr="00531A37">
        <w:rPr>
          <w:szCs w:val="24"/>
        </w:rPr>
        <w:t>o</w:t>
      </w:r>
      <w:r w:rsidR="001D5ACF" w:rsidRPr="00531A37">
        <w:rPr>
          <w:szCs w:val="24"/>
        </w:rPr>
        <w:t>nal från medlemsstaternas brottsbekämpande myndi</w:t>
      </w:r>
      <w:r w:rsidR="001D5ACF" w:rsidRPr="00531A37">
        <w:rPr>
          <w:szCs w:val="24"/>
        </w:rPr>
        <w:t>g</w:t>
      </w:r>
      <w:r w:rsidR="001D5ACF" w:rsidRPr="00531A37">
        <w:rPr>
          <w:szCs w:val="24"/>
        </w:rPr>
        <w:t>heter.</w:t>
      </w:r>
      <w:r w:rsidR="001454BE" w:rsidRPr="00531A37">
        <w:rPr>
          <w:szCs w:val="24"/>
        </w:rPr>
        <w:t xml:space="preserve"> </w:t>
      </w:r>
    </w:p>
    <w:p w:rsidR="001D5ACF" w:rsidRPr="00531A37" w:rsidRDefault="001D5ACF" w:rsidP="008728F0">
      <w:pPr>
        <w:tabs>
          <w:tab w:val="left" w:pos="567"/>
          <w:tab w:val="left" w:pos="1134"/>
          <w:tab w:val="left" w:pos="1701"/>
        </w:tabs>
        <w:rPr>
          <w:szCs w:val="24"/>
        </w:rPr>
      </w:pPr>
    </w:p>
    <w:p w:rsidR="008728F0" w:rsidRPr="00531A37" w:rsidRDefault="001454BE" w:rsidP="008728F0">
      <w:pPr>
        <w:tabs>
          <w:tab w:val="left" w:pos="567"/>
          <w:tab w:val="left" w:pos="1134"/>
          <w:tab w:val="left" w:pos="1701"/>
        </w:tabs>
      </w:pPr>
      <w:r w:rsidRPr="00531A37">
        <w:rPr>
          <w:szCs w:val="24"/>
        </w:rPr>
        <w:t xml:space="preserve">När det gäller </w:t>
      </w:r>
      <w:r w:rsidR="001D5ACF" w:rsidRPr="00531A37">
        <w:rPr>
          <w:szCs w:val="24"/>
        </w:rPr>
        <w:t xml:space="preserve">effekterna av </w:t>
      </w:r>
      <w:r w:rsidRPr="00531A37">
        <w:rPr>
          <w:szCs w:val="24"/>
        </w:rPr>
        <w:t>övergången till gemenskapsfinansiering har man kunnat enas om beräkningar som ger en</w:t>
      </w:r>
      <w:r w:rsidR="00453EB7" w:rsidRPr="00531A37">
        <w:rPr>
          <w:szCs w:val="24"/>
        </w:rPr>
        <w:t>,</w:t>
      </w:r>
      <w:r w:rsidRPr="00531A37">
        <w:rPr>
          <w:szCs w:val="24"/>
        </w:rPr>
        <w:t xml:space="preserve"> så långt möjligt</w:t>
      </w:r>
      <w:r w:rsidR="00453EB7" w:rsidRPr="00531A37">
        <w:rPr>
          <w:szCs w:val="24"/>
        </w:rPr>
        <w:t>,</w:t>
      </w:r>
      <w:r w:rsidRPr="00531A37">
        <w:rPr>
          <w:szCs w:val="24"/>
        </w:rPr>
        <w:t xml:space="preserve"> rättvisa</w:t>
      </w:r>
      <w:r w:rsidRPr="00531A37">
        <w:rPr>
          <w:szCs w:val="24"/>
        </w:rPr>
        <w:t>n</w:t>
      </w:r>
      <w:r w:rsidRPr="00531A37">
        <w:rPr>
          <w:szCs w:val="24"/>
        </w:rPr>
        <w:t>de jämförelse</w:t>
      </w:r>
      <w:r w:rsidR="00ED6C69" w:rsidRPr="00531A37">
        <w:rPr>
          <w:szCs w:val="24"/>
        </w:rPr>
        <w:t xml:space="preserve"> med nuvarande finansieringsform (medlemsstatsfinansi</w:t>
      </w:r>
      <w:r w:rsidR="00ED6C69" w:rsidRPr="00531A37">
        <w:rPr>
          <w:szCs w:val="24"/>
        </w:rPr>
        <w:t>e</w:t>
      </w:r>
      <w:r w:rsidR="00ED6C69" w:rsidRPr="00531A37">
        <w:rPr>
          <w:szCs w:val="24"/>
        </w:rPr>
        <w:t>ring)</w:t>
      </w:r>
      <w:r w:rsidR="00FA3E2C" w:rsidRPr="00531A37">
        <w:rPr>
          <w:szCs w:val="24"/>
        </w:rPr>
        <w:t>.</w:t>
      </w:r>
      <w:r w:rsidR="00D62F8B" w:rsidRPr="00531A37">
        <w:rPr>
          <w:szCs w:val="24"/>
        </w:rPr>
        <w:t xml:space="preserve"> Av jämförelsen framgår att lönekostnaderna kommer att öka n</w:t>
      </w:r>
      <w:r w:rsidR="00D62F8B" w:rsidRPr="00531A37">
        <w:rPr>
          <w:szCs w:val="24"/>
        </w:rPr>
        <w:t>å</w:t>
      </w:r>
      <w:r w:rsidR="00D62F8B" w:rsidRPr="00531A37">
        <w:rPr>
          <w:szCs w:val="24"/>
        </w:rPr>
        <w:t>got</w:t>
      </w:r>
      <w:r w:rsidR="00B94FF5" w:rsidRPr="00531A37">
        <w:rPr>
          <w:szCs w:val="24"/>
        </w:rPr>
        <w:t xml:space="preserve">. </w:t>
      </w:r>
      <w:r w:rsidR="00D62F8B" w:rsidRPr="00531A37">
        <w:rPr>
          <w:szCs w:val="24"/>
        </w:rPr>
        <w:t>När det gäller kostnader</w:t>
      </w:r>
      <w:r w:rsidR="00626EF8" w:rsidRPr="00531A37">
        <w:rPr>
          <w:szCs w:val="24"/>
        </w:rPr>
        <w:t>na</w:t>
      </w:r>
      <w:r w:rsidR="00D62F8B" w:rsidRPr="00531A37">
        <w:rPr>
          <w:szCs w:val="24"/>
        </w:rPr>
        <w:t xml:space="preserve"> för pensioner </w:t>
      </w:r>
      <w:r w:rsidR="00626EF8" w:rsidRPr="00531A37">
        <w:rPr>
          <w:szCs w:val="24"/>
        </w:rPr>
        <w:t>är det enligt</w:t>
      </w:r>
      <w:r w:rsidR="005C0257" w:rsidRPr="00531A37">
        <w:rPr>
          <w:szCs w:val="24"/>
        </w:rPr>
        <w:t xml:space="preserve"> </w:t>
      </w:r>
      <w:r w:rsidR="00D62F8B" w:rsidRPr="00531A37">
        <w:rPr>
          <w:szCs w:val="24"/>
        </w:rPr>
        <w:t>kommissi</w:t>
      </w:r>
      <w:r w:rsidR="00D62F8B" w:rsidRPr="00531A37">
        <w:rPr>
          <w:szCs w:val="24"/>
        </w:rPr>
        <w:t>o</w:t>
      </w:r>
      <w:r w:rsidR="00D62F8B" w:rsidRPr="00531A37">
        <w:rPr>
          <w:szCs w:val="24"/>
        </w:rPr>
        <w:t>nen</w:t>
      </w:r>
      <w:r w:rsidR="00660A8B" w:rsidRPr="00531A37">
        <w:rPr>
          <w:szCs w:val="24"/>
        </w:rPr>
        <w:t xml:space="preserve"> inte </w:t>
      </w:r>
      <w:r w:rsidR="00626EF8" w:rsidRPr="00531A37">
        <w:rPr>
          <w:szCs w:val="24"/>
        </w:rPr>
        <w:t xml:space="preserve">möjligt att ge en tydlig bild. </w:t>
      </w:r>
      <w:r w:rsidRPr="00531A37">
        <w:rPr>
          <w:szCs w:val="24"/>
        </w:rPr>
        <w:t xml:space="preserve"> </w:t>
      </w:r>
      <w:r w:rsidR="00942F8B" w:rsidRPr="00531A37">
        <w:rPr>
          <w:szCs w:val="24"/>
        </w:rPr>
        <w:t xml:space="preserve">Mycket tyder </w:t>
      </w:r>
      <w:r w:rsidR="005C0257" w:rsidRPr="00531A37">
        <w:rPr>
          <w:szCs w:val="24"/>
        </w:rPr>
        <w:t xml:space="preserve">dock </w:t>
      </w:r>
      <w:r w:rsidR="00942F8B" w:rsidRPr="00531A37">
        <w:rPr>
          <w:szCs w:val="24"/>
        </w:rPr>
        <w:t xml:space="preserve">på att </w:t>
      </w:r>
      <w:r w:rsidR="005C0257" w:rsidRPr="00531A37">
        <w:rPr>
          <w:szCs w:val="24"/>
        </w:rPr>
        <w:t xml:space="preserve">även </w:t>
      </w:r>
      <w:r w:rsidR="00942F8B" w:rsidRPr="00531A37">
        <w:rPr>
          <w:szCs w:val="24"/>
        </w:rPr>
        <w:t xml:space="preserve">pensionskostnaderna kommer att öka </w:t>
      </w:r>
      <w:r w:rsidR="005C0257" w:rsidRPr="00531A37">
        <w:rPr>
          <w:szCs w:val="24"/>
        </w:rPr>
        <w:t>något</w:t>
      </w:r>
      <w:r w:rsidR="00942F8B" w:rsidRPr="00531A37">
        <w:rPr>
          <w:szCs w:val="24"/>
        </w:rPr>
        <w:t xml:space="preserve">. </w:t>
      </w:r>
      <w:r w:rsidR="00027ADF" w:rsidRPr="00531A37">
        <w:rPr>
          <w:szCs w:val="24"/>
        </w:rPr>
        <w:t xml:space="preserve">Även om </w:t>
      </w:r>
      <w:r w:rsidRPr="00531A37">
        <w:rPr>
          <w:szCs w:val="24"/>
        </w:rPr>
        <w:t xml:space="preserve"> </w:t>
      </w:r>
      <w:r w:rsidR="00027ADF" w:rsidRPr="00531A37">
        <w:rPr>
          <w:szCs w:val="24"/>
        </w:rPr>
        <w:t>kostnads</w:t>
      </w:r>
      <w:r w:rsidRPr="00531A37">
        <w:rPr>
          <w:szCs w:val="24"/>
        </w:rPr>
        <w:t>öknin</w:t>
      </w:r>
      <w:r w:rsidRPr="00531A37">
        <w:rPr>
          <w:szCs w:val="24"/>
        </w:rPr>
        <w:t>g</w:t>
      </w:r>
      <w:r w:rsidRPr="00531A37">
        <w:rPr>
          <w:szCs w:val="24"/>
        </w:rPr>
        <w:t xml:space="preserve">en </w:t>
      </w:r>
      <w:r w:rsidR="00027ADF" w:rsidRPr="00531A37">
        <w:rPr>
          <w:szCs w:val="24"/>
        </w:rPr>
        <w:t xml:space="preserve">delvis </w:t>
      </w:r>
      <w:r w:rsidRPr="00531A37">
        <w:rPr>
          <w:szCs w:val="24"/>
        </w:rPr>
        <w:t>uppvägs av andra faktorer</w:t>
      </w:r>
      <w:r w:rsidR="002912AC" w:rsidRPr="00531A37">
        <w:rPr>
          <w:szCs w:val="24"/>
        </w:rPr>
        <w:t xml:space="preserve"> </w:t>
      </w:r>
      <w:r w:rsidR="00027ADF" w:rsidRPr="00531A37">
        <w:t xml:space="preserve">har </w:t>
      </w:r>
      <w:r w:rsidR="00942F8B" w:rsidRPr="00531A37">
        <w:t xml:space="preserve">Sverige och andra medlemsstater markerat sitt missnöje med </w:t>
      </w:r>
      <w:r w:rsidR="00626EF8" w:rsidRPr="00531A37">
        <w:t xml:space="preserve">att vi inte fått tydliga svar </w:t>
      </w:r>
      <w:r w:rsidR="00942F8B" w:rsidRPr="00531A37">
        <w:t xml:space="preserve">och poängterat att övergången </w:t>
      </w:r>
      <w:r w:rsidR="00626EF8" w:rsidRPr="00531A37">
        <w:t xml:space="preserve">därmed </w:t>
      </w:r>
      <w:r w:rsidR="00942F8B" w:rsidRPr="00531A37">
        <w:t xml:space="preserve">inte kan </w:t>
      </w:r>
      <w:r w:rsidR="00626EF8" w:rsidRPr="00531A37">
        <w:t xml:space="preserve">konstateras vara </w:t>
      </w:r>
      <w:r w:rsidR="00942F8B" w:rsidRPr="00531A37">
        <w:t>budgetne</w:t>
      </w:r>
      <w:r w:rsidR="00942F8B" w:rsidRPr="00531A37">
        <w:t>u</w:t>
      </w:r>
      <w:r w:rsidR="00942F8B" w:rsidRPr="00531A37">
        <w:t xml:space="preserve">tral. </w:t>
      </w:r>
    </w:p>
    <w:p w:rsidR="00144EC5" w:rsidRPr="00531A37" w:rsidRDefault="00144EC5" w:rsidP="00144EC5">
      <w:pPr>
        <w:tabs>
          <w:tab w:val="left" w:pos="567"/>
          <w:tab w:val="left" w:pos="1134"/>
          <w:tab w:val="left" w:pos="1701"/>
        </w:tabs>
        <w:rPr>
          <w:szCs w:val="24"/>
        </w:rPr>
      </w:pPr>
    </w:p>
    <w:p w:rsidR="006F32AE" w:rsidRPr="00531A37" w:rsidRDefault="00F97017" w:rsidP="00F97017">
      <w:pPr>
        <w:tabs>
          <w:tab w:val="left" w:pos="567"/>
          <w:tab w:val="left" w:pos="1134"/>
          <w:tab w:val="left" w:pos="1701"/>
        </w:tabs>
        <w:rPr>
          <w:szCs w:val="24"/>
        </w:rPr>
      </w:pPr>
      <w:r w:rsidRPr="00531A37">
        <w:rPr>
          <w:szCs w:val="24"/>
        </w:rPr>
        <w:t>O</w:t>
      </w:r>
      <w:r w:rsidR="00C53030" w:rsidRPr="00531A37">
        <w:rPr>
          <w:szCs w:val="24"/>
        </w:rPr>
        <w:t>rdförandeskapen</w:t>
      </w:r>
      <w:r w:rsidRPr="00531A37">
        <w:rPr>
          <w:szCs w:val="24"/>
        </w:rPr>
        <w:t xml:space="preserve"> </w:t>
      </w:r>
      <w:r w:rsidR="006F32AE" w:rsidRPr="00531A37">
        <w:rPr>
          <w:szCs w:val="24"/>
        </w:rPr>
        <w:t xml:space="preserve">har bedrivit förhandlingsarbetet i ett högt tempo </w:t>
      </w:r>
      <w:r w:rsidR="008728F0" w:rsidRPr="00531A37">
        <w:rPr>
          <w:szCs w:val="24"/>
        </w:rPr>
        <w:t xml:space="preserve">och förhandlingarna avslutas nu två månader tidigare än </w:t>
      </w:r>
      <w:r w:rsidR="00B743B5" w:rsidRPr="00531A37">
        <w:rPr>
          <w:szCs w:val="24"/>
        </w:rPr>
        <w:t>planerat</w:t>
      </w:r>
      <w:r w:rsidR="008728F0" w:rsidRPr="00531A37">
        <w:rPr>
          <w:szCs w:val="24"/>
        </w:rPr>
        <w:t xml:space="preserve">. Det gör att en godkännandeproposition kan läggas </w:t>
      </w:r>
      <w:r w:rsidR="00FA3E2C" w:rsidRPr="00531A37">
        <w:rPr>
          <w:szCs w:val="24"/>
        </w:rPr>
        <w:t xml:space="preserve">fram </w:t>
      </w:r>
      <w:r w:rsidR="008728F0" w:rsidRPr="00531A37">
        <w:rPr>
          <w:szCs w:val="24"/>
        </w:rPr>
        <w:t xml:space="preserve">för riksdagen </w:t>
      </w:r>
      <w:r w:rsidR="00471243" w:rsidRPr="00531A37">
        <w:rPr>
          <w:szCs w:val="24"/>
        </w:rPr>
        <w:t>om</w:t>
      </w:r>
      <w:r w:rsidR="00471243" w:rsidRPr="00531A37">
        <w:rPr>
          <w:szCs w:val="24"/>
        </w:rPr>
        <w:t>e</w:t>
      </w:r>
      <w:r w:rsidR="00471243" w:rsidRPr="00531A37">
        <w:rPr>
          <w:szCs w:val="24"/>
        </w:rPr>
        <w:t>delbart efter</w:t>
      </w:r>
      <w:r w:rsidR="008728F0" w:rsidRPr="00531A37">
        <w:rPr>
          <w:szCs w:val="24"/>
        </w:rPr>
        <w:t xml:space="preserve"> sommaren</w:t>
      </w:r>
      <w:r w:rsidR="00471243" w:rsidRPr="00531A37">
        <w:rPr>
          <w:szCs w:val="24"/>
        </w:rPr>
        <w:t>. Rådsbeslutet behöver antas formellt senast i november 2008 för att kunna</w:t>
      </w:r>
      <w:r w:rsidR="008728F0" w:rsidRPr="00531A37">
        <w:rPr>
          <w:szCs w:val="24"/>
        </w:rPr>
        <w:t xml:space="preserve"> träda i kraft till årsskiftet. Efter en öve</w:t>
      </w:r>
      <w:r w:rsidR="008728F0" w:rsidRPr="00531A37">
        <w:rPr>
          <w:szCs w:val="24"/>
        </w:rPr>
        <w:t>r</w:t>
      </w:r>
      <w:r w:rsidR="008728F0" w:rsidRPr="00531A37">
        <w:rPr>
          <w:szCs w:val="24"/>
        </w:rPr>
        <w:t xml:space="preserve">gångsperiod </w:t>
      </w:r>
      <w:r w:rsidR="00471243" w:rsidRPr="00531A37">
        <w:rPr>
          <w:szCs w:val="24"/>
        </w:rPr>
        <w:t xml:space="preserve">med omfattande omställningsarbete </w:t>
      </w:r>
      <w:r w:rsidR="008728F0" w:rsidRPr="00531A37">
        <w:rPr>
          <w:szCs w:val="24"/>
        </w:rPr>
        <w:t xml:space="preserve">under </w:t>
      </w:r>
      <w:r w:rsidR="00471243" w:rsidRPr="00531A37">
        <w:rPr>
          <w:szCs w:val="24"/>
        </w:rPr>
        <w:t xml:space="preserve">hela </w:t>
      </w:r>
      <w:r w:rsidR="008728F0" w:rsidRPr="00531A37">
        <w:rPr>
          <w:szCs w:val="24"/>
        </w:rPr>
        <w:t xml:space="preserve">2009 skall beslutet </w:t>
      </w:r>
      <w:r w:rsidR="00471243" w:rsidRPr="00531A37">
        <w:rPr>
          <w:szCs w:val="24"/>
        </w:rPr>
        <w:t xml:space="preserve">börja </w:t>
      </w:r>
      <w:r w:rsidR="008728F0" w:rsidRPr="00531A37">
        <w:rPr>
          <w:szCs w:val="24"/>
        </w:rPr>
        <w:t>tillämpas fullt ut från den 1 j</w:t>
      </w:r>
      <w:r w:rsidR="008728F0" w:rsidRPr="00531A37">
        <w:rPr>
          <w:szCs w:val="24"/>
        </w:rPr>
        <w:t>a</w:t>
      </w:r>
      <w:r w:rsidR="008728F0" w:rsidRPr="00531A37">
        <w:rPr>
          <w:szCs w:val="24"/>
        </w:rPr>
        <w:t>nuari 2010.</w:t>
      </w:r>
    </w:p>
    <w:p w:rsidR="005E2742" w:rsidRPr="00531A37" w:rsidRDefault="005E2742" w:rsidP="00F97017">
      <w:pPr>
        <w:tabs>
          <w:tab w:val="left" w:pos="567"/>
          <w:tab w:val="left" w:pos="1134"/>
          <w:tab w:val="left" w:pos="1701"/>
        </w:tabs>
        <w:rPr>
          <w:szCs w:val="24"/>
        </w:rPr>
      </w:pPr>
    </w:p>
    <w:p w:rsidR="005E2742" w:rsidRPr="00531A37" w:rsidRDefault="005E2742" w:rsidP="00F97017">
      <w:pPr>
        <w:tabs>
          <w:tab w:val="left" w:pos="567"/>
          <w:tab w:val="left" w:pos="1134"/>
          <w:tab w:val="left" w:pos="1701"/>
        </w:tabs>
        <w:rPr>
          <w:szCs w:val="24"/>
        </w:rPr>
      </w:pPr>
      <w:r w:rsidRPr="00531A37">
        <w:rPr>
          <w:szCs w:val="24"/>
        </w:rPr>
        <w:t>Syftet med behandlingen i rådet är att nå politisk överenskommelse om rådsbeslutet.</w:t>
      </w:r>
    </w:p>
    <w:p w:rsidR="0006030F" w:rsidRPr="00531A37" w:rsidRDefault="0006030F" w:rsidP="00F41D88">
      <w:pPr>
        <w:pStyle w:val="Rubrik2"/>
      </w:pPr>
      <w:r w:rsidRPr="00531A37">
        <w:t>Rättslig grund och beslutsförfarande</w:t>
      </w:r>
    </w:p>
    <w:p w:rsidR="00B45BC4" w:rsidRPr="00531A37" w:rsidRDefault="00B45BC4" w:rsidP="00B45BC4">
      <w:r w:rsidRPr="00531A37">
        <w:t>Artikel 30.1 b, artikel 30.2 samt artikel 34.2 c i EU-fördraget. Beslut fa</w:t>
      </w:r>
      <w:r w:rsidRPr="00531A37">
        <w:t>t</w:t>
      </w:r>
      <w:r w:rsidRPr="00531A37">
        <w:t>tas med enhällighet.</w:t>
      </w:r>
    </w:p>
    <w:p w:rsidR="00702B45" w:rsidRPr="00531A37" w:rsidRDefault="0006030F" w:rsidP="00702B45">
      <w:pPr>
        <w:pStyle w:val="RKrubrik"/>
        <w:rPr>
          <w:i/>
          <w:iCs/>
        </w:rPr>
      </w:pPr>
      <w:r w:rsidRPr="00531A37">
        <w:rPr>
          <w:i/>
          <w:iCs/>
        </w:rPr>
        <w:t>Svensk ståndpunkt</w:t>
      </w:r>
    </w:p>
    <w:p w:rsidR="006F32AE" w:rsidRPr="00531A37" w:rsidRDefault="003A1855" w:rsidP="00F21AF8">
      <w:pPr>
        <w:pStyle w:val="RKnormal"/>
      </w:pPr>
      <w:r w:rsidRPr="00531A37">
        <w:t>Sverige</w:t>
      </w:r>
      <w:r w:rsidR="00F21AF8" w:rsidRPr="00531A37">
        <w:t xml:space="preserve"> står bakom förslaget att överföra Europolko</w:t>
      </w:r>
      <w:r w:rsidR="00F21AF8" w:rsidRPr="00531A37">
        <w:t>n</w:t>
      </w:r>
      <w:r w:rsidR="00F21AF8" w:rsidRPr="00531A37">
        <w:t>ventionen till ett rådsbeslut</w:t>
      </w:r>
      <w:r w:rsidR="00471243" w:rsidRPr="00531A37">
        <w:t xml:space="preserve"> och </w:t>
      </w:r>
      <w:r w:rsidR="008728F0" w:rsidRPr="00531A37">
        <w:t>kan god</w:t>
      </w:r>
      <w:r w:rsidR="007075D7" w:rsidRPr="00531A37">
        <w:t xml:space="preserve">känna </w:t>
      </w:r>
      <w:r w:rsidR="00471243" w:rsidRPr="00531A37">
        <w:t xml:space="preserve">den föreslagna </w:t>
      </w:r>
      <w:r w:rsidR="008728F0" w:rsidRPr="00531A37">
        <w:t>texten som den ser ut efter a</w:t>
      </w:r>
      <w:r w:rsidR="008728F0" w:rsidRPr="00531A37">
        <w:t>v</w:t>
      </w:r>
      <w:r w:rsidR="008728F0" w:rsidRPr="00531A37">
        <w:t>slutade förhandlingar</w:t>
      </w:r>
      <w:r w:rsidR="00471243" w:rsidRPr="00531A37">
        <w:t xml:space="preserve">. </w:t>
      </w:r>
      <w:r w:rsidR="00626EF8" w:rsidRPr="00531A37">
        <w:t xml:space="preserve">Svaren på frågorna om budgetneutraliteten är inte helt </w:t>
      </w:r>
      <w:r w:rsidR="00ED6C69" w:rsidRPr="00531A37">
        <w:t>til</w:t>
      </w:r>
      <w:r w:rsidR="00ED6C69" w:rsidRPr="00531A37">
        <w:t>l</w:t>
      </w:r>
      <w:r w:rsidR="00ED6C69" w:rsidRPr="00531A37">
        <w:t>fredsställ</w:t>
      </w:r>
      <w:r w:rsidR="008E2491" w:rsidRPr="00531A37">
        <w:t>ande</w:t>
      </w:r>
      <w:r w:rsidR="00ED6C69" w:rsidRPr="00531A37">
        <w:t xml:space="preserve">. </w:t>
      </w:r>
      <w:r w:rsidR="008E2491" w:rsidRPr="00531A37">
        <w:t xml:space="preserve"> Sverige kommer </w:t>
      </w:r>
      <w:r w:rsidR="003F2B8F" w:rsidRPr="00531A37">
        <w:t xml:space="preserve">att </w:t>
      </w:r>
      <w:r w:rsidR="00626EF8" w:rsidRPr="00531A37">
        <w:t>upprepa</w:t>
      </w:r>
      <w:r w:rsidR="003F2B8F" w:rsidRPr="00531A37">
        <w:t xml:space="preserve"> detta </w:t>
      </w:r>
      <w:r w:rsidR="008E2491" w:rsidRPr="00531A37">
        <w:t>vid RIF-rådet</w:t>
      </w:r>
      <w:r w:rsidR="003F2B8F" w:rsidRPr="00531A37">
        <w:t xml:space="preserve"> och</w:t>
      </w:r>
      <w:r w:rsidR="008E2491" w:rsidRPr="00531A37">
        <w:t xml:space="preserve"> verka för att </w:t>
      </w:r>
      <w:r w:rsidR="003F2B8F" w:rsidRPr="00531A37">
        <w:t xml:space="preserve">det ska framgå av beslutet att </w:t>
      </w:r>
      <w:r w:rsidR="00B43A86" w:rsidRPr="00531A37">
        <w:t xml:space="preserve">ett godkännande av </w:t>
      </w:r>
      <w:r w:rsidR="00EF2C62" w:rsidRPr="00531A37">
        <w:t>fö</w:t>
      </w:r>
      <w:r w:rsidR="00EF2C62" w:rsidRPr="00531A37">
        <w:t>r</w:t>
      </w:r>
      <w:r w:rsidR="00EF2C62" w:rsidRPr="00531A37">
        <w:t xml:space="preserve">slaget </w:t>
      </w:r>
      <w:r w:rsidR="00B43A86" w:rsidRPr="00531A37">
        <w:t xml:space="preserve">inte kan tas </w:t>
      </w:r>
      <w:r w:rsidR="00472729" w:rsidRPr="00531A37">
        <w:t>till</w:t>
      </w:r>
      <w:r w:rsidR="00B43A86" w:rsidRPr="00531A37">
        <w:t xml:space="preserve"> intäkt för att budgetneutralitet kunnat påvisas</w:t>
      </w:r>
      <w:r w:rsidR="00727322" w:rsidRPr="00531A37">
        <w:t xml:space="preserve"> </w:t>
      </w:r>
      <w:r w:rsidR="00EF2C62" w:rsidRPr="00531A37">
        <w:t>samt</w:t>
      </w:r>
      <w:r w:rsidR="00727322" w:rsidRPr="00531A37">
        <w:t xml:space="preserve"> att budgetmyndigheten uppmanas balansera eventuella kostnad</w:t>
      </w:r>
      <w:r w:rsidR="00727322" w:rsidRPr="00531A37">
        <w:t>s</w:t>
      </w:r>
      <w:r w:rsidR="00727322" w:rsidRPr="00531A37">
        <w:t xml:space="preserve">ökningar med neddragningar inom området </w:t>
      </w:r>
      <w:r w:rsidR="00EF2C62" w:rsidRPr="00531A37">
        <w:t>f</w:t>
      </w:r>
      <w:r w:rsidR="00727322" w:rsidRPr="00531A37">
        <w:t xml:space="preserve">rihet, säkerhet och </w:t>
      </w:r>
      <w:r w:rsidR="00EF2C62" w:rsidRPr="00531A37">
        <w:t>r</w:t>
      </w:r>
      <w:r w:rsidR="00727322" w:rsidRPr="00531A37">
        <w:t>ättv</w:t>
      </w:r>
      <w:r w:rsidR="00727322" w:rsidRPr="00531A37">
        <w:t>i</w:t>
      </w:r>
      <w:r w:rsidR="00727322" w:rsidRPr="00531A37">
        <w:t>sa</w:t>
      </w:r>
      <w:r w:rsidR="00B43A86" w:rsidRPr="00531A37">
        <w:t xml:space="preserve">. </w:t>
      </w:r>
    </w:p>
    <w:p w:rsidR="0006030F" w:rsidRPr="00531A37" w:rsidRDefault="003A1855" w:rsidP="00F41D88">
      <w:pPr>
        <w:pStyle w:val="Rubrik2"/>
      </w:pPr>
      <w:r w:rsidRPr="00531A37">
        <w:t>E</w:t>
      </w:r>
      <w:r w:rsidR="0006030F" w:rsidRPr="00531A37">
        <w:t>uropaparlamentets inställning</w:t>
      </w:r>
      <w:r w:rsidR="003F2B8F" w:rsidRPr="00531A37">
        <w:t xml:space="preserve"> </w:t>
      </w:r>
    </w:p>
    <w:p w:rsidR="00DC3914" w:rsidRPr="00531A37" w:rsidRDefault="0011229A" w:rsidP="00F03D07">
      <w:pPr>
        <w:pStyle w:val="RKnormal"/>
      </w:pPr>
      <w:r w:rsidRPr="00531A37">
        <w:t>Europaparlamentet har yttrat sig om förslaget</w:t>
      </w:r>
      <w:r w:rsidR="00F97017" w:rsidRPr="00531A37">
        <w:t xml:space="preserve"> den </w:t>
      </w:r>
      <w:r w:rsidR="00F41D88" w:rsidRPr="00531A37">
        <w:t>15 n</w:t>
      </w:r>
      <w:r w:rsidR="00F41D88" w:rsidRPr="00531A37">
        <w:t>o</w:t>
      </w:r>
      <w:r w:rsidR="00F41D88" w:rsidRPr="00531A37">
        <w:t>vember 2007</w:t>
      </w:r>
      <w:r w:rsidR="001D797D" w:rsidRPr="00531A37">
        <w:t xml:space="preserve"> (A6-0447/2007)</w:t>
      </w:r>
      <w:r w:rsidRPr="00531A37">
        <w:t>.</w:t>
      </w:r>
      <w:r w:rsidR="001D797D" w:rsidRPr="00531A37">
        <w:t xml:space="preserve"> I yttrandet föreslår Europaparlamentet drygt 80 tillägg eller ändringar i förslaget. </w:t>
      </w:r>
      <w:r w:rsidR="00865E45" w:rsidRPr="00531A37">
        <w:t>En stor del</w:t>
      </w:r>
      <w:r w:rsidR="001D797D" w:rsidRPr="00531A37">
        <w:t xml:space="preserve"> av dessa (huvudsakligen rörande dataskyddet) har </w:t>
      </w:r>
      <w:r w:rsidR="00B743B5" w:rsidRPr="00531A37">
        <w:t xml:space="preserve">inarbetats i texten under </w:t>
      </w:r>
      <w:r w:rsidR="001D797D" w:rsidRPr="00531A37">
        <w:t>förhandlingarna</w:t>
      </w:r>
      <w:r w:rsidR="00B743B5" w:rsidRPr="00531A37">
        <w:t>s gång</w:t>
      </w:r>
      <w:r w:rsidR="00865E45" w:rsidRPr="00531A37">
        <w:t>, andra har blivit inaktuella på grund av att förslaget förändrats</w:t>
      </w:r>
      <w:r w:rsidR="001D797D" w:rsidRPr="00531A37">
        <w:t xml:space="preserve">. </w:t>
      </w:r>
      <w:r w:rsidR="00865E45" w:rsidRPr="00531A37">
        <w:t xml:space="preserve">Av de övriga förslagen </w:t>
      </w:r>
      <w:r w:rsidR="00807905" w:rsidRPr="00531A37">
        <w:t>handlar</w:t>
      </w:r>
      <w:r w:rsidR="001D797D" w:rsidRPr="00531A37">
        <w:t xml:space="preserve"> </w:t>
      </w:r>
      <w:r w:rsidR="00865E45" w:rsidRPr="00531A37">
        <w:t xml:space="preserve">många frågor om </w:t>
      </w:r>
      <w:r w:rsidR="001D797D" w:rsidRPr="00531A37">
        <w:t>ökad information till och ökat infl</w:t>
      </w:r>
      <w:r w:rsidR="001D797D" w:rsidRPr="00531A37">
        <w:t>y</w:t>
      </w:r>
      <w:r w:rsidR="001D797D" w:rsidRPr="00531A37">
        <w:t xml:space="preserve">tande för Europaparlamentet </w:t>
      </w:r>
      <w:r w:rsidR="00B743B5" w:rsidRPr="00531A37">
        <w:t xml:space="preserve">och kommissionen </w:t>
      </w:r>
      <w:r w:rsidR="001D797D" w:rsidRPr="00531A37">
        <w:t>i styrningen av Eur</w:t>
      </w:r>
      <w:r w:rsidR="001D797D" w:rsidRPr="00531A37">
        <w:t>o</w:t>
      </w:r>
      <w:r w:rsidR="001D797D" w:rsidRPr="00531A37">
        <w:t>pol.</w:t>
      </w:r>
      <w:r w:rsidR="00471243" w:rsidRPr="00531A37">
        <w:t xml:space="preserve"> </w:t>
      </w:r>
    </w:p>
    <w:p w:rsidR="0006030F" w:rsidRPr="00531A37" w:rsidRDefault="0006030F">
      <w:pPr>
        <w:pStyle w:val="RKrubrik"/>
        <w:rPr>
          <w:i/>
          <w:iCs/>
        </w:rPr>
      </w:pPr>
      <w:r w:rsidRPr="00531A37">
        <w:rPr>
          <w:i/>
          <w:iCs/>
        </w:rPr>
        <w:t>Förslaget</w:t>
      </w:r>
    </w:p>
    <w:p w:rsidR="0006217D" w:rsidRPr="00531A37" w:rsidRDefault="0006217D" w:rsidP="0006217D">
      <w:pPr>
        <w:pStyle w:val="RKnormal"/>
      </w:pPr>
      <w:r w:rsidRPr="00531A37">
        <w:t xml:space="preserve">Nedan beskrivs kort innehållet i de delar av förslaget till rådsbeslut som </w:t>
      </w:r>
      <w:r w:rsidR="00ED6C69" w:rsidRPr="00531A37">
        <w:t xml:space="preserve">ännu inte behandlats i utskottet/nämnden eller </w:t>
      </w:r>
      <w:r w:rsidR="005C2967" w:rsidRPr="00531A37">
        <w:t xml:space="preserve">där viktigare </w:t>
      </w:r>
      <w:r w:rsidR="00ED6C69" w:rsidRPr="00531A37">
        <w:t>ändr</w:t>
      </w:r>
      <w:r w:rsidR="005C2967" w:rsidRPr="00531A37">
        <w:t xml:space="preserve">ingar gjorts </w:t>
      </w:r>
      <w:r w:rsidR="00ED6C69" w:rsidRPr="00531A37">
        <w:t>s</w:t>
      </w:r>
      <w:r w:rsidR="00ED6C69" w:rsidRPr="00531A37">
        <w:t>e</w:t>
      </w:r>
      <w:r w:rsidR="00ED6C69" w:rsidRPr="00531A37">
        <w:t>dan dess.</w:t>
      </w:r>
    </w:p>
    <w:p w:rsidR="0006217D" w:rsidRPr="00531A37" w:rsidRDefault="0006217D" w:rsidP="0006217D">
      <w:pPr>
        <w:pStyle w:val="RKnormal"/>
      </w:pPr>
    </w:p>
    <w:p w:rsidR="00F24F39" w:rsidRPr="00531A37" w:rsidRDefault="00437FAA" w:rsidP="0011229A">
      <w:pPr>
        <w:pStyle w:val="RKnormal"/>
        <w:rPr>
          <w:b/>
        </w:rPr>
      </w:pPr>
      <w:r w:rsidRPr="00531A37">
        <w:rPr>
          <w:b/>
        </w:rPr>
        <w:t xml:space="preserve">IV – </w:t>
      </w:r>
      <w:r w:rsidR="00F24F39" w:rsidRPr="00531A37">
        <w:rPr>
          <w:b/>
        </w:rPr>
        <w:t>Förbindelser med partner</w:t>
      </w:r>
    </w:p>
    <w:p w:rsidR="00A3615F" w:rsidRPr="00531A37" w:rsidRDefault="005D7486" w:rsidP="0011229A">
      <w:pPr>
        <w:pStyle w:val="RKnormal"/>
      </w:pPr>
      <w:r w:rsidRPr="00531A37">
        <w:t xml:space="preserve">Europol får som tidigare rätt att ingå avtal om samarbete med både EU-organ, medlemsstater, tredje länder och </w:t>
      </w:r>
      <w:r w:rsidR="002269BF" w:rsidRPr="00531A37">
        <w:t>internationella organisationer. Reglerna om detta har blivit mer samlade och överskådliga och anpassats till den utveckling som  skett de senaste tio åren, bl.a. tillkom</w:t>
      </w:r>
      <w:r w:rsidR="002269BF" w:rsidRPr="00531A37">
        <w:t>s</w:t>
      </w:r>
      <w:r w:rsidR="002269BF" w:rsidRPr="00531A37">
        <w:t xml:space="preserve">ten av fler organ. </w:t>
      </w:r>
    </w:p>
    <w:p w:rsidR="00A3615F" w:rsidRPr="00531A37" w:rsidRDefault="00A3615F" w:rsidP="0011229A">
      <w:pPr>
        <w:pStyle w:val="RKnormal"/>
      </w:pPr>
    </w:p>
    <w:p w:rsidR="00F24F39" w:rsidRPr="00531A37" w:rsidRDefault="002269BF" w:rsidP="0011229A">
      <w:pPr>
        <w:pStyle w:val="RKnormal"/>
      </w:pPr>
      <w:r w:rsidRPr="00531A37">
        <w:t>En nyhet är att det blir obligatoriskt att ingå särskilda informationsutb</w:t>
      </w:r>
      <w:r w:rsidRPr="00531A37">
        <w:t>y</w:t>
      </w:r>
      <w:r w:rsidRPr="00531A37">
        <w:t>tesavtal som reglerar förhållandet till varje partner. Avtalen skall go</w:t>
      </w:r>
      <w:r w:rsidRPr="00531A37">
        <w:t>d</w:t>
      </w:r>
      <w:r w:rsidRPr="00531A37">
        <w:t>kännas av styrelsen efter hörande av den gemensamma tillsynsmyndigh</w:t>
      </w:r>
      <w:r w:rsidRPr="00531A37">
        <w:t>e</w:t>
      </w:r>
      <w:r w:rsidRPr="00531A37">
        <w:t>ten. Som tidigare krävs att tredje länder och internationella organisati</w:t>
      </w:r>
      <w:r w:rsidRPr="00531A37">
        <w:t>o</w:t>
      </w:r>
      <w:r w:rsidRPr="00531A37">
        <w:t xml:space="preserve">ner finns upptagna på en </w:t>
      </w:r>
      <w:r w:rsidR="00A3615F" w:rsidRPr="00531A37">
        <w:t xml:space="preserve">särskild </w:t>
      </w:r>
      <w:r w:rsidRPr="00531A37">
        <w:t>lista, beslutad av rådet, för att Eur</w:t>
      </w:r>
      <w:r w:rsidRPr="00531A37">
        <w:t>o</w:t>
      </w:r>
      <w:r w:rsidRPr="00531A37">
        <w:t xml:space="preserve">pol ska få samarbeta med dem. </w:t>
      </w:r>
    </w:p>
    <w:p w:rsidR="00A3615F" w:rsidRPr="00531A37" w:rsidRDefault="00A3615F" w:rsidP="0011229A">
      <w:pPr>
        <w:pStyle w:val="RKnormal"/>
      </w:pPr>
    </w:p>
    <w:p w:rsidR="00A3615F" w:rsidRPr="00531A37" w:rsidRDefault="00A3615F" w:rsidP="0011229A">
      <w:pPr>
        <w:pStyle w:val="RKnormal"/>
      </w:pPr>
      <w:r w:rsidRPr="00531A37">
        <w:t>En annan nyhet är att Europol får rätt att behandla uppgifter från priv</w:t>
      </w:r>
      <w:r w:rsidRPr="00531A37">
        <w:t>a</w:t>
      </w:r>
      <w:r w:rsidRPr="00531A37">
        <w:t>ta personer och företag. En förutsättning är att uppgifterna kommer via den nationella enheten eller kontaktpunkten, som alltså avgör vad som skall skickas till Europol. Europol får inte självt kontakta enskilda parter för att inhämta information, om det inte sker med stöd av avtal upprä</w:t>
      </w:r>
      <w:r w:rsidRPr="00531A37">
        <w:t>t</w:t>
      </w:r>
      <w:r w:rsidRPr="00531A37">
        <w:t>tade på samma sätt som med tredje land eller internationella organisati</w:t>
      </w:r>
      <w:r w:rsidRPr="00531A37">
        <w:t>o</w:t>
      </w:r>
      <w:r w:rsidRPr="00531A37">
        <w:t xml:space="preserve">ner. </w:t>
      </w:r>
    </w:p>
    <w:p w:rsidR="00A3615F" w:rsidRPr="00531A37" w:rsidRDefault="00A3615F" w:rsidP="0011229A">
      <w:pPr>
        <w:pStyle w:val="RKnormal"/>
      </w:pPr>
    </w:p>
    <w:p w:rsidR="00A3615F" w:rsidRPr="00531A37" w:rsidRDefault="00A3615F" w:rsidP="0011229A">
      <w:pPr>
        <w:pStyle w:val="RKnormal"/>
      </w:pPr>
      <w:r w:rsidRPr="00531A37">
        <w:t>Det finns också bestämmelser om tillämpningsföreskrifter, hantering av personuppgifter och sekretessbelagd information samt begränsningar för vilka data som får lagras i informationssystemen. Slutligen finns unda</w:t>
      </w:r>
      <w:r w:rsidRPr="00531A37">
        <w:t>n</w:t>
      </w:r>
      <w:r w:rsidRPr="00531A37">
        <w:t>tagsregler för i vilka fall information får utbytas innan avtal har sl</w:t>
      </w:r>
      <w:r w:rsidRPr="00531A37">
        <w:t>u</w:t>
      </w:r>
      <w:r w:rsidRPr="00531A37">
        <w:t>tits.</w:t>
      </w:r>
    </w:p>
    <w:p w:rsidR="002269BF" w:rsidRPr="00531A37" w:rsidRDefault="002269BF" w:rsidP="0011229A">
      <w:pPr>
        <w:pStyle w:val="RKnormal"/>
      </w:pPr>
    </w:p>
    <w:p w:rsidR="00F24F39" w:rsidRPr="00531A37" w:rsidRDefault="00437FAA" w:rsidP="0011229A">
      <w:pPr>
        <w:pStyle w:val="RKnormal"/>
        <w:rPr>
          <w:b/>
        </w:rPr>
      </w:pPr>
      <w:r w:rsidRPr="00531A37">
        <w:rPr>
          <w:b/>
        </w:rPr>
        <w:t xml:space="preserve">V – </w:t>
      </w:r>
      <w:r w:rsidR="00F24F39" w:rsidRPr="00531A37">
        <w:rPr>
          <w:b/>
        </w:rPr>
        <w:t>Dataskydd</w:t>
      </w:r>
      <w:r w:rsidRPr="00531A37">
        <w:rPr>
          <w:b/>
        </w:rPr>
        <w:t xml:space="preserve"> och datasäkerhet</w:t>
      </w:r>
    </w:p>
    <w:p w:rsidR="00F24F39" w:rsidRPr="00531A37" w:rsidRDefault="003770EC" w:rsidP="0011229A">
      <w:pPr>
        <w:pStyle w:val="RKnormal"/>
      </w:pPr>
      <w:r w:rsidRPr="00531A37">
        <w:t>Reglerna har till stor del övertagits från Europolkonventionen men a</w:t>
      </w:r>
      <w:r w:rsidRPr="00531A37">
        <w:t>n</w:t>
      </w:r>
      <w:r w:rsidRPr="00531A37">
        <w:t>passats till det kommande dataskyddsrambeslutet. Samtidigt har man s</w:t>
      </w:r>
      <w:r w:rsidRPr="00531A37">
        <w:t>ä</w:t>
      </w:r>
      <w:r w:rsidRPr="00531A37">
        <w:t>kerställt att Europols egna, mer detaljerade, regler kan fortsätta att gälla. Sverige har fått in särskilda regler både i dataskyddskapitlet och i bea</w:t>
      </w:r>
      <w:r w:rsidRPr="00531A37">
        <w:t>k</w:t>
      </w:r>
      <w:r w:rsidRPr="00531A37">
        <w:t>tandesatserna som säkerställer vår offentlighetsprincip och vår arkivla</w:t>
      </w:r>
      <w:r w:rsidRPr="00531A37">
        <w:t>g</w:t>
      </w:r>
      <w:r w:rsidRPr="00531A37">
        <w:t xml:space="preserve">stiftning. </w:t>
      </w:r>
    </w:p>
    <w:p w:rsidR="003770EC" w:rsidRPr="00531A37" w:rsidRDefault="003770EC" w:rsidP="0011229A">
      <w:pPr>
        <w:pStyle w:val="RKnormal"/>
      </w:pPr>
    </w:p>
    <w:p w:rsidR="00A3615F" w:rsidRPr="00531A37" w:rsidRDefault="003770EC" w:rsidP="0011229A">
      <w:pPr>
        <w:pStyle w:val="RKnormal"/>
      </w:pPr>
      <w:r w:rsidRPr="00531A37">
        <w:t>Dataskyddet förstärks genom inrättandet av ett oberoende uppgift</w:t>
      </w:r>
      <w:r w:rsidRPr="00531A37">
        <w:t>s</w:t>
      </w:r>
      <w:r w:rsidRPr="00531A37">
        <w:t>skyddsombud, vars oberoende och arbetssätt i relation till direktören, st</w:t>
      </w:r>
      <w:r w:rsidRPr="00531A37">
        <w:t>y</w:t>
      </w:r>
      <w:r w:rsidRPr="00531A37">
        <w:t xml:space="preserve">relsen och tillsynsmyndigheten regleras särskilt. </w:t>
      </w:r>
    </w:p>
    <w:p w:rsidR="003770EC" w:rsidRPr="00531A37" w:rsidRDefault="003770EC" w:rsidP="0011229A">
      <w:pPr>
        <w:pStyle w:val="RKnormal"/>
      </w:pPr>
    </w:p>
    <w:p w:rsidR="0011229A" w:rsidRPr="00531A37" w:rsidRDefault="00437FAA" w:rsidP="0011229A">
      <w:pPr>
        <w:pStyle w:val="RKnormal"/>
        <w:rPr>
          <w:b/>
        </w:rPr>
      </w:pPr>
      <w:r w:rsidRPr="00531A37">
        <w:rPr>
          <w:b/>
        </w:rPr>
        <w:t xml:space="preserve">VI – </w:t>
      </w:r>
      <w:r w:rsidR="0011229A" w:rsidRPr="00531A37">
        <w:rPr>
          <w:b/>
        </w:rPr>
        <w:t>Organisation</w:t>
      </w:r>
    </w:p>
    <w:p w:rsidR="0011229A" w:rsidRPr="00531A37" w:rsidRDefault="005C2967" w:rsidP="0011229A">
      <w:pPr>
        <w:pStyle w:val="RKnormal"/>
      </w:pPr>
      <w:r w:rsidRPr="00531A37">
        <w:t>I detta, redan antagna kapitel har kraven för tillsättning och förlängning av direktörens mandat förtydligts samt regler om utvärdering av Eur</w:t>
      </w:r>
      <w:r w:rsidRPr="00531A37">
        <w:t>o</w:t>
      </w:r>
      <w:r w:rsidRPr="00531A37">
        <w:t>pol och dess arbete tillförts (följdändring till kapitel VIII). I artikel 38 säke</w:t>
      </w:r>
      <w:r w:rsidRPr="00531A37">
        <w:t>r</w:t>
      </w:r>
      <w:r w:rsidRPr="00531A37">
        <w:t>ställs rotationsprincipen och möjligheten att öronmärka tjänster för medlemsstaternas myndigheter.</w:t>
      </w:r>
    </w:p>
    <w:p w:rsidR="0011229A" w:rsidRPr="00531A37" w:rsidRDefault="0011229A" w:rsidP="0011229A">
      <w:pPr>
        <w:pStyle w:val="RKnormal"/>
        <w:rPr>
          <w:b/>
        </w:rPr>
      </w:pPr>
    </w:p>
    <w:p w:rsidR="0011229A" w:rsidRPr="00531A37" w:rsidRDefault="00437FAA" w:rsidP="0011229A">
      <w:pPr>
        <w:pStyle w:val="RKnormal"/>
        <w:rPr>
          <w:b/>
        </w:rPr>
      </w:pPr>
      <w:r w:rsidRPr="00531A37">
        <w:rPr>
          <w:b/>
        </w:rPr>
        <w:t xml:space="preserve">VIII – </w:t>
      </w:r>
      <w:r w:rsidR="0011229A" w:rsidRPr="00531A37">
        <w:rPr>
          <w:b/>
        </w:rPr>
        <w:t xml:space="preserve">Budgetbestämmelser </w:t>
      </w:r>
    </w:p>
    <w:p w:rsidR="0011229A" w:rsidRPr="00531A37" w:rsidRDefault="0011229A" w:rsidP="0011229A">
      <w:pPr>
        <w:pStyle w:val="RKnormal"/>
      </w:pPr>
      <w:r w:rsidRPr="00531A37">
        <w:t>Europol inordnas under gemenskapsbudgeten och dess budgetprocess. Finansiella bestämmelser skall antas av styrelsen efter samråd med ko</w:t>
      </w:r>
      <w:r w:rsidRPr="00531A37">
        <w:t>m</w:t>
      </w:r>
      <w:r w:rsidRPr="00531A37">
        <w:t>missionen. Endast om det är nödvändigt för Europols verksamhet och efter föregående samtycke från kommissionen får reglerna avvika från rambudgetförordningen (EG, Euratom nr 2343/2002). Budgetmyndi</w:t>
      </w:r>
      <w:r w:rsidRPr="00531A37">
        <w:t>g</w:t>
      </w:r>
      <w:r w:rsidRPr="00531A37">
        <w:t>heten skall underrättas om dessa avvikelser (artikel 41-44).</w:t>
      </w:r>
    </w:p>
    <w:p w:rsidR="0011229A" w:rsidRPr="00531A37" w:rsidRDefault="0011229A" w:rsidP="0011229A">
      <w:pPr>
        <w:pStyle w:val="RKnormal"/>
        <w:rPr>
          <w:b/>
        </w:rPr>
      </w:pPr>
    </w:p>
    <w:p w:rsidR="00856CC6" w:rsidRPr="00531A37" w:rsidRDefault="00856CC6" w:rsidP="0011229A">
      <w:pPr>
        <w:pStyle w:val="RKnormal"/>
        <w:rPr>
          <w:b/>
        </w:rPr>
      </w:pPr>
      <w:r w:rsidRPr="00531A37">
        <w:rPr>
          <w:b/>
        </w:rPr>
        <w:t>I</w:t>
      </w:r>
      <w:r w:rsidR="00437FAA" w:rsidRPr="00531A37">
        <w:rPr>
          <w:b/>
        </w:rPr>
        <w:t xml:space="preserve">X – </w:t>
      </w:r>
      <w:r w:rsidRPr="00531A37">
        <w:rPr>
          <w:b/>
        </w:rPr>
        <w:t>Övriga bestämmelser</w:t>
      </w:r>
    </w:p>
    <w:p w:rsidR="00856CC6" w:rsidRPr="00531A37" w:rsidRDefault="00856CC6" w:rsidP="0011229A">
      <w:pPr>
        <w:pStyle w:val="RKnormal"/>
      </w:pPr>
      <w:r w:rsidRPr="00531A37">
        <w:t>I detta, redan antagna kapitel har artikeln om immunitet och privilegier (artikel 50) kompletterats med en hänvisning till de ändringar som ska göras i EU-regelverket för att lösa immunitetsfrågan (se nedan kapitel XI).</w:t>
      </w:r>
      <w:r w:rsidR="006832BB" w:rsidRPr="00531A37">
        <w:t xml:space="preserve"> Detta återspeglas också i beaktandesats 8a.</w:t>
      </w:r>
    </w:p>
    <w:p w:rsidR="00856CC6" w:rsidRPr="00531A37" w:rsidRDefault="00856CC6" w:rsidP="0011229A">
      <w:pPr>
        <w:pStyle w:val="RKnormal"/>
      </w:pPr>
    </w:p>
    <w:p w:rsidR="0011229A" w:rsidRPr="00531A37" w:rsidRDefault="00856CC6" w:rsidP="0011229A">
      <w:pPr>
        <w:pStyle w:val="RKnormal"/>
        <w:rPr>
          <w:b/>
        </w:rPr>
      </w:pPr>
      <w:r w:rsidRPr="00531A37">
        <w:rPr>
          <w:b/>
        </w:rPr>
        <w:t xml:space="preserve">X – </w:t>
      </w:r>
      <w:r w:rsidR="0011229A" w:rsidRPr="00531A37">
        <w:rPr>
          <w:b/>
        </w:rPr>
        <w:t>Övergångsbestämmelser</w:t>
      </w:r>
    </w:p>
    <w:p w:rsidR="00853E52" w:rsidRPr="00531A37" w:rsidRDefault="00853E52" w:rsidP="0011229A">
      <w:pPr>
        <w:pStyle w:val="RKnormal"/>
      </w:pPr>
      <w:r w:rsidRPr="00531A37">
        <w:t>Kapitlet innehåller detaljerade regler för övergångsperioden fram till dess rådsbeslutet fått fullt genomslag. Bland annat regleras enligt vilka regler olika budget- och personalbeslut skall fattas och vilka övergångsåtgärder och tillämpningsbestämmelser som skall förberedas och genomföras av den nuvarande styrelsen.</w:t>
      </w:r>
    </w:p>
    <w:p w:rsidR="0011229A" w:rsidRPr="00531A37" w:rsidRDefault="0011229A" w:rsidP="0011229A">
      <w:pPr>
        <w:pStyle w:val="RKnormal"/>
      </w:pPr>
      <w:r w:rsidRPr="00531A37">
        <w:t>De avtal som ingåtts av Europol före rådsbeslutets ikraftträdande påve</w:t>
      </w:r>
      <w:r w:rsidRPr="00531A37">
        <w:t>r</w:t>
      </w:r>
      <w:r w:rsidRPr="00531A37">
        <w:t>kas inte (artikel 54).</w:t>
      </w:r>
    </w:p>
    <w:p w:rsidR="0011229A" w:rsidRPr="00531A37" w:rsidRDefault="0011229A" w:rsidP="0011229A">
      <w:pPr>
        <w:pStyle w:val="RKnormal"/>
      </w:pPr>
      <w:r w:rsidRPr="00531A37">
        <w:t>Den personal som är anställd vid Europol vid tidpunkten för rådsbesl</w:t>
      </w:r>
      <w:r w:rsidRPr="00531A37">
        <w:t>u</w:t>
      </w:r>
      <w:r w:rsidRPr="00531A37">
        <w:t>tets ikraftträdande skall efter ett särskilt internt urvalsförfarande som skall inledas inom två år efter det att rådsbeslutet börjar tillämpas, erbj</w:t>
      </w:r>
      <w:r w:rsidRPr="00531A37">
        <w:t>u</w:t>
      </w:r>
      <w:r w:rsidRPr="00531A37">
        <w:t>das anställningsavtal enligt de nya reglerna (artikel 56).</w:t>
      </w:r>
    </w:p>
    <w:p w:rsidR="005E5F1F" w:rsidRPr="00531A37" w:rsidRDefault="005E5F1F" w:rsidP="0011229A">
      <w:pPr>
        <w:pStyle w:val="RKnormal"/>
      </w:pPr>
    </w:p>
    <w:p w:rsidR="0011229A" w:rsidRPr="00531A37" w:rsidRDefault="00437FAA" w:rsidP="0011229A">
      <w:pPr>
        <w:pStyle w:val="RKnormal"/>
        <w:rPr>
          <w:b/>
        </w:rPr>
      </w:pPr>
      <w:r w:rsidRPr="00531A37">
        <w:rPr>
          <w:b/>
        </w:rPr>
        <w:t xml:space="preserve">XI – </w:t>
      </w:r>
      <w:r w:rsidR="0011229A" w:rsidRPr="00531A37">
        <w:rPr>
          <w:b/>
        </w:rPr>
        <w:t>Slutbestämmelser</w:t>
      </w:r>
    </w:p>
    <w:p w:rsidR="0011229A" w:rsidRPr="00531A37" w:rsidRDefault="0011229A" w:rsidP="0011229A">
      <w:pPr>
        <w:pStyle w:val="RKnormal"/>
      </w:pPr>
      <w:r w:rsidRPr="00531A37">
        <w:t>Medlemsstaterna skall se till att den nationella lagstiftningen överen</w:t>
      </w:r>
      <w:r w:rsidRPr="00531A37">
        <w:t>s</w:t>
      </w:r>
      <w:r w:rsidRPr="00531A37">
        <w:t>stämmer med rådsbeslutet senast 18 månader efter dess antagande (art</w:t>
      </w:r>
      <w:r w:rsidRPr="00531A37">
        <w:t>i</w:t>
      </w:r>
      <w:r w:rsidRPr="00531A37">
        <w:t>kel 59).</w:t>
      </w:r>
      <w:r w:rsidR="00853E52" w:rsidRPr="00531A37">
        <w:t xml:space="preserve">  Rådsbeslutet skall träda i kraft och ersätta Europols gamla r</w:t>
      </w:r>
      <w:r w:rsidR="00853E52" w:rsidRPr="00531A37">
        <w:t>e</w:t>
      </w:r>
      <w:r w:rsidR="00853E52" w:rsidRPr="00531A37">
        <w:t>gelverk från den 1 januari 2010 eller från det senare datum när ändrin</w:t>
      </w:r>
      <w:r w:rsidR="00853E52" w:rsidRPr="00531A37">
        <w:t>g</w:t>
      </w:r>
      <w:r w:rsidR="00853E52" w:rsidRPr="00531A37">
        <w:t>arna i EU:s tillämpningsbestämmelser om immunitet börjar tillämpas.</w:t>
      </w:r>
    </w:p>
    <w:p w:rsidR="00437FAA" w:rsidRPr="00531A37" w:rsidRDefault="00437FAA" w:rsidP="0011229A">
      <w:pPr>
        <w:pStyle w:val="RKnormal"/>
      </w:pPr>
    </w:p>
    <w:p w:rsidR="006832BB" w:rsidRPr="00531A37" w:rsidRDefault="00437FAA" w:rsidP="006832BB">
      <w:pPr>
        <w:pStyle w:val="RKnormal"/>
        <w:rPr>
          <w:b/>
        </w:rPr>
      </w:pPr>
      <w:r w:rsidRPr="00531A37">
        <w:rPr>
          <w:b/>
        </w:rPr>
        <w:t>Annex 1 – Brottskatalogen</w:t>
      </w:r>
    </w:p>
    <w:p w:rsidR="006832BB" w:rsidRPr="00531A37" w:rsidRDefault="006832BB" w:rsidP="006832BB">
      <w:pPr>
        <w:pStyle w:val="RKnormal"/>
        <w:rPr>
          <w:b/>
        </w:rPr>
      </w:pPr>
      <w:r w:rsidRPr="00531A37">
        <w:t>Annex I innehåller li</w:t>
      </w:r>
      <w:r w:rsidRPr="00531A37">
        <w:t>s</w:t>
      </w:r>
      <w:r w:rsidRPr="00531A37">
        <w:t>tan över de brott som skall betraktas som allvarliga enligt art. 4.1.  och har i princip samma lydelse som i Europolkonventi</w:t>
      </w:r>
      <w:r w:rsidRPr="00531A37">
        <w:t>o</w:t>
      </w:r>
      <w:r w:rsidRPr="00531A37">
        <w:t>nen, med vissa fö</w:t>
      </w:r>
      <w:r w:rsidRPr="00531A37">
        <w:t>r</w:t>
      </w:r>
      <w:r w:rsidRPr="00531A37">
        <w:t>enklingar och förtydliganden.</w:t>
      </w:r>
    </w:p>
    <w:p w:rsidR="0006030F" w:rsidRPr="00531A37" w:rsidRDefault="0006030F">
      <w:pPr>
        <w:pStyle w:val="RKrubrik"/>
        <w:rPr>
          <w:i/>
          <w:iCs/>
        </w:rPr>
      </w:pPr>
      <w:r w:rsidRPr="00531A37">
        <w:rPr>
          <w:i/>
          <w:iCs/>
        </w:rPr>
        <w:t>Gällande svenska regler och förslagets effe</w:t>
      </w:r>
      <w:r w:rsidRPr="00531A37">
        <w:rPr>
          <w:i/>
          <w:iCs/>
        </w:rPr>
        <w:t>k</w:t>
      </w:r>
      <w:r w:rsidRPr="00531A37">
        <w:rPr>
          <w:i/>
          <w:iCs/>
        </w:rPr>
        <w:t>ter på dessa</w:t>
      </w:r>
    </w:p>
    <w:p w:rsidR="0011229A" w:rsidRPr="00531A37" w:rsidRDefault="0011229A" w:rsidP="0011229A">
      <w:pPr>
        <w:pStyle w:val="RKnormal"/>
      </w:pPr>
      <w:r w:rsidRPr="00531A37">
        <w:t xml:space="preserve">Förslaget </w:t>
      </w:r>
      <w:r w:rsidR="00471243" w:rsidRPr="00531A37">
        <w:t>kommer sannolikt endast att medföra mindre lag</w:t>
      </w:r>
      <w:r w:rsidRPr="00531A37">
        <w:t>ändringar</w:t>
      </w:r>
      <w:r w:rsidR="006832BB" w:rsidRPr="00531A37">
        <w:t>.</w:t>
      </w:r>
      <w:r w:rsidR="00471243" w:rsidRPr="00531A37">
        <w:t xml:space="preserve"> </w:t>
      </w:r>
      <w:r w:rsidR="006832BB" w:rsidRPr="00531A37">
        <w:t xml:space="preserve">Exempelvis kan hänvisningar i </w:t>
      </w:r>
      <w:r w:rsidR="00471243" w:rsidRPr="00531A37">
        <w:t>l</w:t>
      </w:r>
      <w:r w:rsidRPr="00531A37">
        <w:t>agen (1976:661) om immunitet och priv</w:t>
      </w:r>
      <w:r w:rsidRPr="00531A37">
        <w:t>i</w:t>
      </w:r>
      <w:r w:rsidRPr="00531A37">
        <w:t>legier i vi</w:t>
      </w:r>
      <w:r w:rsidRPr="00531A37">
        <w:t>s</w:t>
      </w:r>
      <w:r w:rsidRPr="00531A37">
        <w:t>sa fall</w:t>
      </w:r>
      <w:r w:rsidR="006832BB" w:rsidRPr="00531A37">
        <w:t xml:space="preserve"> behöva ändras</w:t>
      </w:r>
      <w:r w:rsidRPr="00531A37">
        <w:t>.</w:t>
      </w:r>
    </w:p>
    <w:p w:rsidR="0006030F" w:rsidRPr="00531A37" w:rsidRDefault="0006030F">
      <w:pPr>
        <w:pStyle w:val="RKrubrik"/>
      </w:pPr>
      <w:r w:rsidRPr="00531A37">
        <w:t>Ekonomiska konsekvenser</w:t>
      </w:r>
    </w:p>
    <w:p w:rsidR="00865E45" w:rsidRPr="00531A37" w:rsidRDefault="00865E45" w:rsidP="00865E45">
      <w:pPr>
        <w:tabs>
          <w:tab w:val="left" w:pos="567"/>
          <w:tab w:val="left" w:pos="1134"/>
          <w:tab w:val="left" w:pos="1701"/>
        </w:tabs>
      </w:pPr>
      <w:r w:rsidRPr="00531A37">
        <w:rPr>
          <w:szCs w:val="24"/>
        </w:rPr>
        <w:t>Rådet har betonat budgetneutralitet som en förutsättning för övergån</w:t>
      </w:r>
      <w:r w:rsidRPr="00531A37">
        <w:rPr>
          <w:szCs w:val="24"/>
        </w:rPr>
        <w:t>g</w:t>
      </w:r>
      <w:r w:rsidRPr="00531A37">
        <w:rPr>
          <w:szCs w:val="24"/>
        </w:rPr>
        <w:t>en till gemenskapsfinansiering.</w:t>
      </w:r>
      <w:r w:rsidR="008E2491" w:rsidRPr="00531A37">
        <w:rPr>
          <w:szCs w:val="24"/>
        </w:rPr>
        <w:t xml:space="preserve"> Budgetneutralitet har inte kunnat fas</w:t>
      </w:r>
      <w:r w:rsidR="008E2491" w:rsidRPr="00531A37">
        <w:rPr>
          <w:szCs w:val="24"/>
        </w:rPr>
        <w:t>t</w:t>
      </w:r>
      <w:r w:rsidR="008E2491" w:rsidRPr="00531A37">
        <w:rPr>
          <w:szCs w:val="24"/>
        </w:rPr>
        <w:t>ställas.</w:t>
      </w:r>
      <w:r w:rsidRPr="00531A37">
        <w:rPr>
          <w:szCs w:val="24"/>
        </w:rPr>
        <w:t xml:space="preserve"> </w:t>
      </w:r>
      <w:r w:rsidR="008E2491" w:rsidRPr="00531A37">
        <w:rPr>
          <w:szCs w:val="24"/>
        </w:rPr>
        <w:t xml:space="preserve">När det gäller </w:t>
      </w:r>
      <w:r w:rsidR="00027ADF" w:rsidRPr="00531A37">
        <w:rPr>
          <w:szCs w:val="24"/>
        </w:rPr>
        <w:t xml:space="preserve">löne- och </w:t>
      </w:r>
      <w:r w:rsidR="008E2491" w:rsidRPr="00531A37">
        <w:rPr>
          <w:szCs w:val="24"/>
        </w:rPr>
        <w:t>pensionskostnader</w:t>
      </w:r>
      <w:r w:rsidR="00027ADF" w:rsidRPr="00531A37">
        <w:rPr>
          <w:szCs w:val="24"/>
        </w:rPr>
        <w:t xml:space="preserve"> </w:t>
      </w:r>
      <w:r w:rsidR="008E2491" w:rsidRPr="00531A37">
        <w:rPr>
          <w:szCs w:val="24"/>
        </w:rPr>
        <w:t>tyder</w:t>
      </w:r>
      <w:r w:rsidR="00222E75" w:rsidRPr="00531A37">
        <w:rPr>
          <w:szCs w:val="24"/>
        </w:rPr>
        <w:t xml:space="preserve"> mycket på </w:t>
      </w:r>
      <w:r w:rsidRPr="00531A37">
        <w:rPr>
          <w:szCs w:val="24"/>
        </w:rPr>
        <w:t>en kostnadsökning</w:t>
      </w:r>
      <w:r w:rsidR="00222E75" w:rsidRPr="00531A37">
        <w:rPr>
          <w:szCs w:val="24"/>
        </w:rPr>
        <w:t>.</w:t>
      </w:r>
      <w:r w:rsidRPr="00531A37">
        <w:rPr>
          <w:szCs w:val="24"/>
        </w:rPr>
        <w:t xml:space="preserve"> </w:t>
      </w:r>
      <w:r w:rsidR="003F2B8F" w:rsidRPr="00531A37">
        <w:t>Om ö</w:t>
      </w:r>
      <w:r w:rsidR="00942F8B" w:rsidRPr="00531A37">
        <w:t xml:space="preserve">kade kostnader för Europol </w:t>
      </w:r>
      <w:r w:rsidR="003F2B8F" w:rsidRPr="00531A37">
        <w:t xml:space="preserve">inte kan balanseras internt </w:t>
      </w:r>
      <w:r w:rsidR="00942F8B" w:rsidRPr="00531A37">
        <w:t xml:space="preserve">kommer </w:t>
      </w:r>
      <w:r w:rsidR="003F2B8F" w:rsidRPr="00531A37">
        <w:t>det att krävas nedd</w:t>
      </w:r>
      <w:r w:rsidR="00942F8B" w:rsidRPr="00531A37">
        <w:t>ra</w:t>
      </w:r>
      <w:r w:rsidR="00942F8B" w:rsidRPr="00531A37">
        <w:t>g</w:t>
      </w:r>
      <w:r w:rsidR="00942F8B" w:rsidRPr="00531A37">
        <w:t>ningar på andra områden.</w:t>
      </w:r>
    </w:p>
    <w:p w:rsidR="00865E45" w:rsidRPr="00531A37" w:rsidRDefault="00865E45" w:rsidP="0011229A">
      <w:pPr>
        <w:pStyle w:val="RKnormal"/>
      </w:pPr>
    </w:p>
    <w:p w:rsidR="00437FAA" w:rsidRPr="00531A37" w:rsidRDefault="00222E75" w:rsidP="00437FAA">
      <w:pPr>
        <w:pStyle w:val="RKnormal"/>
      </w:pPr>
      <w:r w:rsidRPr="00531A37">
        <w:t>Att Europol blir gemenskapsfinansierat innebär att Sveriges bidrag till Europols finansiering inte längre skall lämnas via myndigheternas budg</w:t>
      </w:r>
      <w:r w:rsidRPr="00531A37">
        <w:t>e</w:t>
      </w:r>
      <w:r w:rsidRPr="00531A37">
        <w:t>tar utan ingå i Sveriges EU-avgift. Anslaget för Polisen, Tu</w:t>
      </w:r>
      <w:r w:rsidRPr="00531A37">
        <w:t>l</w:t>
      </w:r>
      <w:r w:rsidRPr="00531A37">
        <w:t xml:space="preserve">len och Kustbevakningen </w:t>
      </w:r>
      <w:r w:rsidR="002D0650" w:rsidRPr="00531A37">
        <w:t xml:space="preserve">kommer att </w:t>
      </w:r>
      <w:r w:rsidRPr="00531A37">
        <w:t>minskas med motsvarande b</w:t>
      </w:r>
      <w:r w:rsidRPr="00531A37">
        <w:t>e</w:t>
      </w:r>
      <w:r w:rsidRPr="00531A37">
        <w:t xml:space="preserve">lopp. </w:t>
      </w:r>
    </w:p>
    <w:p w:rsidR="00595915" w:rsidRPr="00531A37" w:rsidRDefault="00595915" w:rsidP="00595915">
      <w:pPr>
        <w:pStyle w:val="RKnormal"/>
        <w:jc w:val="center"/>
        <w:rPr>
          <w:iCs/>
        </w:rPr>
      </w:pPr>
      <w:r w:rsidRPr="00531A37">
        <w:rPr>
          <w:iCs/>
        </w:rPr>
        <w:t>_____________________________</w:t>
      </w:r>
    </w:p>
    <w:p w:rsidR="0006030F" w:rsidRPr="00531A37" w:rsidRDefault="0006030F">
      <w:pPr>
        <w:pStyle w:val="RKnormal"/>
        <w:ind w:left="-1134"/>
      </w:pPr>
    </w:p>
    <w:p w:rsidR="0006030F" w:rsidRPr="00531A37" w:rsidRDefault="0006030F">
      <w:pPr>
        <w:pStyle w:val="RKrubrik"/>
        <w:spacing w:before="0" w:after="0"/>
      </w:pPr>
    </w:p>
    <w:p w:rsidR="0006030F" w:rsidRPr="00531A37" w:rsidRDefault="0006030F">
      <w:pPr>
        <w:pStyle w:val="RKnormal"/>
      </w:pPr>
    </w:p>
    <w:p w:rsidR="0006030F" w:rsidRPr="00531A37" w:rsidRDefault="0006030F">
      <w:pPr>
        <w:pStyle w:val="RKnormal"/>
      </w:pPr>
    </w:p>
    <w:sectPr w:rsidR="0006030F" w:rsidRPr="00531A37">
      <w:headerReference w:type="even" r:id="rId7"/>
      <w:headerReference w:type="default" r:id="rId8"/>
      <w:foot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EAE" w:rsidRPr="00531A37" w:rsidRDefault="00C06EAE">
      <w:r w:rsidRPr="00531A37">
        <w:separator/>
      </w:r>
    </w:p>
  </w:endnote>
  <w:endnote w:type="continuationSeparator" w:id="0">
    <w:p w:rsidR="00C06EAE" w:rsidRPr="00531A37" w:rsidRDefault="00C06EAE">
      <w:r w:rsidRPr="00531A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05" w:rsidRPr="00531A37" w:rsidRDefault="008079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EAE" w:rsidRPr="00531A37" w:rsidRDefault="00C06EAE">
      <w:r w:rsidRPr="00531A37">
        <w:separator/>
      </w:r>
    </w:p>
  </w:footnote>
  <w:footnote w:type="continuationSeparator" w:id="0">
    <w:p w:rsidR="00C06EAE" w:rsidRPr="00531A37" w:rsidRDefault="00C06EAE">
      <w:r w:rsidRPr="00531A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05" w:rsidRPr="00531A37" w:rsidRDefault="00807905">
    <w:pPr>
      <w:pStyle w:val="Sidhuvud"/>
      <w:framePr w:wrap="around" w:vAnchor="text" w:hAnchor="margin" w:xAlign="right" w:y="1"/>
      <w:rPr>
        <w:rStyle w:val="Sidnummer"/>
      </w:rPr>
    </w:pPr>
    <w:r w:rsidRPr="00531A37">
      <w:rPr>
        <w:rStyle w:val="Sidnummer"/>
      </w:rPr>
      <w:fldChar w:fldCharType="begin" w:fldLock="1"/>
    </w:r>
    <w:r w:rsidRPr="00531A37">
      <w:rPr>
        <w:rStyle w:val="Sidnummer"/>
      </w:rPr>
      <w:instrText xml:space="preserve">PAGE  </w:instrText>
    </w:r>
    <w:r w:rsidRPr="00531A37">
      <w:rPr>
        <w:rStyle w:val="Sidnummer"/>
      </w:rPr>
      <w:fldChar w:fldCharType="separate"/>
    </w:r>
    <w:r w:rsidR="00A43B20" w:rsidRPr="00531A37">
      <w:rPr>
        <w:rStyle w:val="Sidnummer"/>
      </w:rPr>
      <w:t>2</w:t>
    </w:r>
    <w:r w:rsidRPr="00531A3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7905" w:rsidRPr="00531A37">
      <w:tblPrEx>
        <w:tblCellMar>
          <w:top w:w="0" w:type="dxa"/>
          <w:bottom w:w="0" w:type="dxa"/>
        </w:tblCellMar>
      </w:tblPrEx>
      <w:trPr>
        <w:cantSplit/>
      </w:trPr>
      <w:tc>
        <w:tcPr>
          <w:tcW w:w="3119" w:type="dxa"/>
        </w:tcPr>
        <w:p w:rsidR="00807905" w:rsidRPr="00531A37" w:rsidRDefault="00807905">
          <w:pPr>
            <w:pStyle w:val="Sidhuvud"/>
            <w:spacing w:line="200" w:lineRule="atLeast"/>
            <w:ind w:right="357"/>
            <w:rPr>
              <w:rFonts w:ascii="TradeGothic" w:hAnsi="TradeGothic"/>
              <w:b/>
              <w:bCs/>
              <w:sz w:val="16"/>
            </w:rPr>
          </w:pPr>
        </w:p>
      </w:tc>
      <w:tc>
        <w:tcPr>
          <w:tcW w:w="4111" w:type="dxa"/>
          <w:tcMar>
            <w:left w:w="567" w:type="dxa"/>
          </w:tcMar>
        </w:tcPr>
        <w:p w:rsidR="00807905" w:rsidRPr="00531A37" w:rsidRDefault="00807905">
          <w:pPr>
            <w:pStyle w:val="Sidhuvud"/>
            <w:ind w:right="360"/>
          </w:pPr>
        </w:p>
      </w:tc>
      <w:tc>
        <w:tcPr>
          <w:tcW w:w="1525" w:type="dxa"/>
        </w:tcPr>
        <w:p w:rsidR="00807905" w:rsidRPr="00531A37" w:rsidRDefault="00807905">
          <w:pPr>
            <w:pStyle w:val="Sidhuvud"/>
            <w:ind w:right="360"/>
          </w:pPr>
        </w:p>
      </w:tc>
    </w:tr>
  </w:tbl>
  <w:p w:rsidR="00807905" w:rsidRPr="00531A37" w:rsidRDefault="0080790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05" w:rsidRPr="00531A37" w:rsidRDefault="00807905">
    <w:pPr>
      <w:pStyle w:val="Sidhuvud"/>
      <w:framePr w:wrap="around" w:vAnchor="text" w:hAnchor="margin" w:xAlign="right" w:y="1"/>
      <w:rPr>
        <w:rStyle w:val="Sidnummer"/>
      </w:rPr>
    </w:pPr>
    <w:r w:rsidRPr="00531A37">
      <w:rPr>
        <w:rStyle w:val="Sidnummer"/>
      </w:rPr>
      <w:fldChar w:fldCharType="begin" w:fldLock="1"/>
    </w:r>
    <w:r w:rsidRPr="00531A37">
      <w:rPr>
        <w:rStyle w:val="Sidnummer"/>
      </w:rPr>
      <w:instrText xml:space="preserve">PAGE  </w:instrText>
    </w:r>
    <w:r w:rsidRPr="00531A37">
      <w:rPr>
        <w:rStyle w:val="Sidnummer"/>
      </w:rPr>
      <w:fldChar w:fldCharType="separate"/>
    </w:r>
    <w:r w:rsidRPr="00531A37">
      <w:rPr>
        <w:rStyle w:val="Sidnummer"/>
      </w:rPr>
      <w:t>3</w:t>
    </w:r>
    <w:r w:rsidRPr="00531A3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7905" w:rsidRPr="00531A37">
      <w:tblPrEx>
        <w:tblCellMar>
          <w:top w:w="0" w:type="dxa"/>
          <w:bottom w:w="0" w:type="dxa"/>
        </w:tblCellMar>
      </w:tblPrEx>
      <w:trPr>
        <w:cantSplit/>
      </w:trPr>
      <w:tc>
        <w:tcPr>
          <w:tcW w:w="3119" w:type="dxa"/>
        </w:tcPr>
        <w:p w:rsidR="00807905" w:rsidRPr="00531A37" w:rsidRDefault="00807905">
          <w:pPr>
            <w:pStyle w:val="Sidhuvud"/>
            <w:spacing w:line="200" w:lineRule="atLeast"/>
            <w:ind w:right="357"/>
            <w:rPr>
              <w:rFonts w:ascii="TradeGothic" w:hAnsi="TradeGothic"/>
              <w:b/>
              <w:bCs/>
              <w:sz w:val="16"/>
            </w:rPr>
          </w:pPr>
        </w:p>
      </w:tc>
      <w:tc>
        <w:tcPr>
          <w:tcW w:w="4111" w:type="dxa"/>
          <w:tcMar>
            <w:left w:w="567" w:type="dxa"/>
          </w:tcMar>
        </w:tcPr>
        <w:p w:rsidR="00807905" w:rsidRPr="00531A37" w:rsidRDefault="00807905">
          <w:pPr>
            <w:pStyle w:val="Sidhuvud"/>
            <w:ind w:right="360"/>
          </w:pPr>
        </w:p>
      </w:tc>
      <w:tc>
        <w:tcPr>
          <w:tcW w:w="1525" w:type="dxa"/>
        </w:tcPr>
        <w:p w:rsidR="00807905" w:rsidRPr="00531A37" w:rsidRDefault="00807905">
          <w:pPr>
            <w:pStyle w:val="Sidhuvud"/>
            <w:ind w:right="360"/>
          </w:pPr>
        </w:p>
      </w:tc>
    </w:tr>
  </w:tbl>
  <w:p w:rsidR="00807905" w:rsidRPr="00531A37" w:rsidRDefault="0080790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05" w:rsidRPr="00531A37" w:rsidRDefault="00531A37">
    <w:pPr>
      <w:framePr w:w="2948" w:h="1321" w:hRule="exact" w:wrap="notBeside" w:vAnchor="page" w:hAnchor="page" w:x="1362" w:y="653"/>
    </w:pPr>
    <w:r w:rsidRPr="00531A3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07905" w:rsidRPr="00531A37" w:rsidRDefault="00807905">
    <w:pPr>
      <w:pStyle w:val="RKrubrik"/>
      <w:keepNext w:val="0"/>
      <w:tabs>
        <w:tab w:val="clear" w:pos="1134"/>
        <w:tab w:val="clear" w:pos="2835"/>
      </w:tabs>
      <w:spacing w:before="0" w:after="0" w:line="320" w:lineRule="atLeast"/>
      <w:rPr>
        <w:bCs/>
      </w:rPr>
    </w:pPr>
  </w:p>
  <w:p w:rsidR="00807905" w:rsidRPr="00531A37" w:rsidRDefault="00807905">
    <w:pPr>
      <w:rPr>
        <w:rFonts w:ascii="TradeGothic" w:hAnsi="TradeGothic"/>
        <w:b/>
        <w:bCs/>
        <w:spacing w:val="12"/>
        <w:sz w:val="22"/>
      </w:rPr>
    </w:pPr>
  </w:p>
  <w:p w:rsidR="00807905" w:rsidRPr="00531A37" w:rsidRDefault="00807905">
    <w:pPr>
      <w:pStyle w:val="RKrubrik"/>
      <w:keepNext w:val="0"/>
      <w:tabs>
        <w:tab w:val="clear" w:pos="1134"/>
        <w:tab w:val="clear" w:pos="2835"/>
      </w:tabs>
      <w:spacing w:before="0" w:after="0" w:line="320" w:lineRule="atLeast"/>
      <w:rPr>
        <w:bCs/>
      </w:rPr>
    </w:pPr>
  </w:p>
  <w:p w:rsidR="00807905" w:rsidRPr="00531A37" w:rsidRDefault="0080790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CBB"/>
    <w:multiLevelType w:val="hybridMultilevel"/>
    <w:tmpl w:val="FBC2EC16"/>
    <w:lvl w:ilvl="0" w:tplc="8886F802">
      <w:start w:val="2"/>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13D2279"/>
    <w:multiLevelType w:val="hybridMultilevel"/>
    <w:tmpl w:val="75ACE58E"/>
    <w:lvl w:ilvl="0" w:tplc="9BB02916">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2498"/>
        </w:tabs>
        <w:ind w:left="2498" w:hanging="360"/>
      </w:pPr>
      <w:rPr>
        <w:rFonts w:ascii="Courier New" w:hAnsi="Courier New" w:cs="Courier New" w:hint="default"/>
      </w:rPr>
    </w:lvl>
    <w:lvl w:ilvl="2" w:tplc="041D0005" w:tentative="1">
      <w:start w:val="1"/>
      <w:numFmt w:val="bullet"/>
      <w:lvlText w:val=""/>
      <w:lvlJc w:val="left"/>
      <w:pPr>
        <w:tabs>
          <w:tab w:val="num" w:pos="3218"/>
        </w:tabs>
        <w:ind w:left="3218" w:hanging="360"/>
      </w:pPr>
      <w:rPr>
        <w:rFonts w:ascii="Wingdings" w:hAnsi="Wingdings" w:hint="default"/>
      </w:rPr>
    </w:lvl>
    <w:lvl w:ilvl="3" w:tplc="041D0001" w:tentative="1">
      <w:start w:val="1"/>
      <w:numFmt w:val="bullet"/>
      <w:lvlText w:val=""/>
      <w:lvlJc w:val="left"/>
      <w:pPr>
        <w:tabs>
          <w:tab w:val="num" w:pos="3938"/>
        </w:tabs>
        <w:ind w:left="3938" w:hanging="360"/>
      </w:pPr>
      <w:rPr>
        <w:rFonts w:ascii="Symbol" w:hAnsi="Symbol" w:hint="default"/>
      </w:rPr>
    </w:lvl>
    <w:lvl w:ilvl="4" w:tplc="041D0003" w:tentative="1">
      <w:start w:val="1"/>
      <w:numFmt w:val="bullet"/>
      <w:lvlText w:val="o"/>
      <w:lvlJc w:val="left"/>
      <w:pPr>
        <w:tabs>
          <w:tab w:val="num" w:pos="4658"/>
        </w:tabs>
        <w:ind w:left="4658" w:hanging="360"/>
      </w:pPr>
      <w:rPr>
        <w:rFonts w:ascii="Courier New" w:hAnsi="Courier New" w:cs="Courier New" w:hint="default"/>
      </w:rPr>
    </w:lvl>
    <w:lvl w:ilvl="5" w:tplc="041D0005" w:tentative="1">
      <w:start w:val="1"/>
      <w:numFmt w:val="bullet"/>
      <w:lvlText w:val=""/>
      <w:lvlJc w:val="left"/>
      <w:pPr>
        <w:tabs>
          <w:tab w:val="num" w:pos="5378"/>
        </w:tabs>
        <w:ind w:left="5378" w:hanging="360"/>
      </w:pPr>
      <w:rPr>
        <w:rFonts w:ascii="Wingdings" w:hAnsi="Wingdings" w:hint="default"/>
      </w:rPr>
    </w:lvl>
    <w:lvl w:ilvl="6" w:tplc="041D0001" w:tentative="1">
      <w:start w:val="1"/>
      <w:numFmt w:val="bullet"/>
      <w:lvlText w:val=""/>
      <w:lvlJc w:val="left"/>
      <w:pPr>
        <w:tabs>
          <w:tab w:val="num" w:pos="6098"/>
        </w:tabs>
        <w:ind w:left="6098" w:hanging="360"/>
      </w:pPr>
      <w:rPr>
        <w:rFonts w:ascii="Symbol" w:hAnsi="Symbol" w:hint="default"/>
      </w:rPr>
    </w:lvl>
    <w:lvl w:ilvl="7" w:tplc="041D0003" w:tentative="1">
      <w:start w:val="1"/>
      <w:numFmt w:val="bullet"/>
      <w:lvlText w:val="o"/>
      <w:lvlJc w:val="left"/>
      <w:pPr>
        <w:tabs>
          <w:tab w:val="num" w:pos="6818"/>
        </w:tabs>
        <w:ind w:left="6818" w:hanging="360"/>
      </w:pPr>
      <w:rPr>
        <w:rFonts w:ascii="Courier New" w:hAnsi="Courier New" w:cs="Courier New" w:hint="default"/>
      </w:rPr>
    </w:lvl>
    <w:lvl w:ilvl="8" w:tplc="041D0005" w:tentative="1">
      <w:start w:val="1"/>
      <w:numFmt w:val="bullet"/>
      <w:lvlText w:val=""/>
      <w:lvlJc w:val="left"/>
      <w:pPr>
        <w:tabs>
          <w:tab w:val="num" w:pos="7538"/>
        </w:tabs>
        <w:ind w:left="7538" w:hanging="360"/>
      </w:pPr>
      <w:rPr>
        <w:rFonts w:ascii="Wingdings" w:hAnsi="Wingdings" w:hint="default"/>
      </w:rPr>
    </w:lvl>
  </w:abstractNum>
  <w:abstractNum w:abstractNumId="2" w15:restartNumberingAfterBreak="0">
    <w:nsid w:val="03586777"/>
    <w:multiLevelType w:val="multilevel"/>
    <w:tmpl w:val="229E6B7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AF3D56"/>
    <w:multiLevelType w:val="multilevel"/>
    <w:tmpl w:val="5C18695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991000"/>
    <w:multiLevelType w:val="hybridMultilevel"/>
    <w:tmpl w:val="21341380"/>
    <w:lvl w:ilvl="0" w:tplc="AD1E082A">
      <w:numFmt w:val="bullet"/>
      <w:lvlText w:val="-"/>
      <w:lvlJc w:val="left"/>
      <w:pPr>
        <w:tabs>
          <w:tab w:val="num" w:pos="720"/>
        </w:tabs>
        <w:ind w:left="720" w:hanging="360"/>
      </w:pPr>
      <w:rPr>
        <w:rFonts w:ascii="OrigGarmnd BT" w:eastAsia="Times New Roman" w:hAnsi="OrigGarmnd BT" w:cs="Times New Roman" w:hint="default"/>
      </w:rPr>
    </w:lvl>
    <w:lvl w:ilvl="1" w:tplc="F76ED774">
      <w:numFmt w:val="bullet"/>
      <w:lvlText w:val="-"/>
      <w:lvlJc w:val="left"/>
      <w:pPr>
        <w:tabs>
          <w:tab w:val="num" w:pos="1440"/>
        </w:tabs>
        <w:ind w:left="1440" w:hanging="360"/>
      </w:pPr>
      <w:rPr>
        <w:rFonts w:ascii="OrigGarmnd BT" w:eastAsia="Times New Roman" w:hAnsi="OrigGarmnd BT"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7427C"/>
    <w:multiLevelType w:val="multilevel"/>
    <w:tmpl w:val="38EABC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9541D"/>
    <w:multiLevelType w:val="hybridMultilevel"/>
    <w:tmpl w:val="5D74B254"/>
    <w:lvl w:ilvl="0" w:tplc="D5CECCDA">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C418F3"/>
    <w:multiLevelType w:val="hybridMultilevel"/>
    <w:tmpl w:val="B28AD344"/>
    <w:lvl w:ilvl="0" w:tplc="8886F802">
      <w:start w:val="2"/>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72594E"/>
    <w:multiLevelType w:val="hybridMultilevel"/>
    <w:tmpl w:val="B6460C2C"/>
    <w:lvl w:ilvl="0" w:tplc="AD1E082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30BA0"/>
    <w:multiLevelType w:val="hybridMultilevel"/>
    <w:tmpl w:val="74D81012"/>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26A667DB"/>
    <w:multiLevelType w:val="hybridMultilevel"/>
    <w:tmpl w:val="214CD7EC"/>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84EE9"/>
    <w:multiLevelType w:val="hybridMultilevel"/>
    <w:tmpl w:val="FADA4A5A"/>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9F543A"/>
    <w:multiLevelType w:val="hybridMultilevel"/>
    <w:tmpl w:val="0504B3BE"/>
    <w:lvl w:ilvl="0" w:tplc="F76ED774">
      <w:numFmt w:val="bullet"/>
      <w:lvlText w:val="-"/>
      <w:lvlJc w:val="left"/>
      <w:pPr>
        <w:tabs>
          <w:tab w:val="num" w:pos="360"/>
        </w:tabs>
        <w:ind w:left="360" w:hanging="360"/>
      </w:pPr>
      <w:rPr>
        <w:rFonts w:ascii="OrigGarmnd BT" w:eastAsia="Times New Roman" w:hAnsi="OrigGarmnd BT"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34D4905"/>
    <w:multiLevelType w:val="hybridMultilevel"/>
    <w:tmpl w:val="A5AEAC92"/>
    <w:lvl w:ilvl="0" w:tplc="D5CECCDA">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6450C"/>
    <w:multiLevelType w:val="hybridMultilevel"/>
    <w:tmpl w:val="48B23F72"/>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E7AB6"/>
    <w:multiLevelType w:val="hybridMultilevel"/>
    <w:tmpl w:val="994A1BB6"/>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B821EA9"/>
    <w:multiLevelType w:val="hybridMultilevel"/>
    <w:tmpl w:val="E7CC0DBE"/>
    <w:lvl w:ilvl="0" w:tplc="041D0017">
      <w:start w:val="1"/>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A64DAB"/>
    <w:multiLevelType w:val="hybridMultilevel"/>
    <w:tmpl w:val="535C582A"/>
    <w:lvl w:ilvl="0" w:tplc="8886F802">
      <w:start w:val="2"/>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E0B7F1D"/>
    <w:multiLevelType w:val="hybridMultilevel"/>
    <w:tmpl w:val="89305DE6"/>
    <w:lvl w:ilvl="0" w:tplc="BCBAB7F2">
      <w:start w:val="1"/>
      <w:numFmt w:val="lowerLetter"/>
      <w:lvlText w:val="%1)"/>
      <w:lvlJc w:val="left"/>
      <w:pPr>
        <w:tabs>
          <w:tab w:val="num" w:pos="765"/>
        </w:tabs>
        <w:ind w:left="765" w:hanging="4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E84029C"/>
    <w:multiLevelType w:val="multilevel"/>
    <w:tmpl w:val="4C583950"/>
    <w:lvl w:ilvl="0">
      <w:start w:val="1"/>
      <w:numFmt w:val="lowerLetter"/>
      <w:lvlText w:val="%1)"/>
      <w:lvlJc w:val="left"/>
      <w:pPr>
        <w:tabs>
          <w:tab w:val="num" w:pos="121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B01C9E"/>
    <w:multiLevelType w:val="multilevel"/>
    <w:tmpl w:val="1E54FD5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B270CF"/>
    <w:multiLevelType w:val="hybridMultilevel"/>
    <w:tmpl w:val="05722FB4"/>
    <w:lvl w:ilvl="0" w:tplc="041D0017">
      <w:start w:val="1"/>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457EE8"/>
    <w:multiLevelType w:val="multilevel"/>
    <w:tmpl w:val="B28AD344"/>
    <w:lvl w:ilvl="0">
      <w:start w:val="2"/>
      <w:numFmt w:val="lowerLetter"/>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13C6C81"/>
    <w:multiLevelType w:val="hybridMultilevel"/>
    <w:tmpl w:val="AEEC18A2"/>
    <w:lvl w:ilvl="0" w:tplc="F76ED774">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6049CC"/>
    <w:multiLevelType w:val="hybridMultilevel"/>
    <w:tmpl w:val="C1706BC6"/>
    <w:lvl w:ilvl="0" w:tplc="D5CECCDA">
      <w:start w:val="1"/>
      <w:numFmt w:val="bullet"/>
      <w:lvlText w:val=""/>
      <w:lvlJc w:val="left"/>
      <w:pPr>
        <w:tabs>
          <w:tab w:val="num" w:pos="1211"/>
        </w:tabs>
        <w:ind w:left="1211" w:hanging="360"/>
      </w:pPr>
      <w:rPr>
        <w:rFonts w:ascii="Symbol" w:hAnsi="Symbol" w:hint="default"/>
      </w:rPr>
    </w:lvl>
    <w:lvl w:ilvl="1" w:tplc="041D0003">
      <w:start w:val="1"/>
      <w:numFmt w:val="bullet"/>
      <w:lvlText w:val="o"/>
      <w:lvlJc w:val="left"/>
      <w:pPr>
        <w:tabs>
          <w:tab w:val="num" w:pos="1931"/>
        </w:tabs>
        <w:ind w:left="1931" w:hanging="360"/>
      </w:pPr>
      <w:rPr>
        <w:rFonts w:ascii="Courier New" w:hAnsi="Courier New" w:cs="Courier New" w:hint="default"/>
      </w:rPr>
    </w:lvl>
    <w:lvl w:ilvl="2" w:tplc="041D0005" w:tentative="1">
      <w:start w:val="1"/>
      <w:numFmt w:val="bullet"/>
      <w:lvlText w:val=""/>
      <w:lvlJc w:val="left"/>
      <w:pPr>
        <w:tabs>
          <w:tab w:val="num" w:pos="2651"/>
        </w:tabs>
        <w:ind w:left="2651" w:hanging="360"/>
      </w:pPr>
      <w:rPr>
        <w:rFonts w:ascii="Wingdings" w:hAnsi="Wingdings" w:hint="default"/>
      </w:rPr>
    </w:lvl>
    <w:lvl w:ilvl="3" w:tplc="041D0001" w:tentative="1">
      <w:start w:val="1"/>
      <w:numFmt w:val="bullet"/>
      <w:lvlText w:val=""/>
      <w:lvlJc w:val="left"/>
      <w:pPr>
        <w:tabs>
          <w:tab w:val="num" w:pos="3371"/>
        </w:tabs>
        <w:ind w:left="3371" w:hanging="360"/>
      </w:pPr>
      <w:rPr>
        <w:rFonts w:ascii="Symbol" w:hAnsi="Symbol" w:hint="default"/>
      </w:rPr>
    </w:lvl>
    <w:lvl w:ilvl="4" w:tplc="041D0003" w:tentative="1">
      <w:start w:val="1"/>
      <w:numFmt w:val="bullet"/>
      <w:lvlText w:val="o"/>
      <w:lvlJc w:val="left"/>
      <w:pPr>
        <w:tabs>
          <w:tab w:val="num" w:pos="4091"/>
        </w:tabs>
        <w:ind w:left="4091" w:hanging="360"/>
      </w:pPr>
      <w:rPr>
        <w:rFonts w:ascii="Courier New" w:hAnsi="Courier New" w:cs="Courier New" w:hint="default"/>
      </w:rPr>
    </w:lvl>
    <w:lvl w:ilvl="5" w:tplc="041D0005" w:tentative="1">
      <w:start w:val="1"/>
      <w:numFmt w:val="bullet"/>
      <w:lvlText w:val=""/>
      <w:lvlJc w:val="left"/>
      <w:pPr>
        <w:tabs>
          <w:tab w:val="num" w:pos="4811"/>
        </w:tabs>
        <w:ind w:left="4811" w:hanging="360"/>
      </w:pPr>
      <w:rPr>
        <w:rFonts w:ascii="Wingdings" w:hAnsi="Wingdings" w:hint="default"/>
      </w:rPr>
    </w:lvl>
    <w:lvl w:ilvl="6" w:tplc="041D0001" w:tentative="1">
      <w:start w:val="1"/>
      <w:numFmt w:val="bullet"/>
      <w:lvlText w:val=""/>
      <w:lvlJc w:val="left"/>
      <w:pPr>
        <w:tabs>
          <w:tab w:val="num" w:pos="5531"/>
        </w:tabs>
        <w:ind w:left="5531" w:hanging="360"/>
      </w:pPr>
      <w:rPr>
        <w:rFonts w:ascii="Symbol" w:hAnsi="Symbol" w:hint="default"/>
      </w:rPr>
    </w:lvl>
    <w:lvl w:ilvl="7" w:tplc="041D0003" w:tentative="1">
      <w:start w:val="1"/>
      <w:numFmt w:val="bullet"/>
      <w:lvlText w:val="o"/>
      <w:lvlJc w:val="left"/>
      <w:pPr>
        <w:tabs>
          <w:tab w:val="num" w:pos="6251"/>
        </w:tabs>
        <w:ind w:left="6251" w:hanging="360"/>
      </w:pPr>
      <w:rPr>
        <w:rFonts w:ascii="Courier New" w:hAnsi="Courier New" w:cs="Courier New" w:hint="default"/>
      </w:rPr>
    </w:lvl>
    <w:lvl w:ilvl="8" w:tplc="041D0005" w:tentative="1">
      <w:start w:val="1"/>
      <w:numFmt w:val="bullet"/>
      <w:lvlText w:val=""/>
      <w:lvlJc w:val="left"/>
      <w:pPr>
        <w:tabs>
          <w:tab w:val="num" w:pos="6971"/>
        </w:tabs>
        <w:ind w:left="6971" w:hanging="360"/>
      </w:pPr>
      <w:rPr>
        <w:rFonts w:ascii="Wingdings" w:hAnsi="Wingdings" w:hint="default"/>
      </w:rPr>
    </w:lvl>
  </w:abstractNum>
  <w:abstractNum w:abstractNumId="25" w15:restartNumberingAfterBreak="0">
    <w:nsid w:val="4B5251CC"/>
    <w:multiLevelType w:val="hybridMultilevel"/>
    <w:tmpl w:val="AFCA8B2C"/>
    <w:lvl w:ilvl="0" w:tplc="F76ED774">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13423C"/>
    <w:multiLevelType w:val="hybridMultilevel"/>
    <w:tmpl w:val="87C2983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4F4668AE"/>
    <w:multiLevelType w:val="hybridMultilevel"/>
    <w:tmpl w:val="9006E344"/>
    <w:lvl w:ilvl="0" w:tplc="A4967F1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6957C5"/>
    <w:multiLevelType w:val="hybridMultilevel"/>
    <w:tmpl w:val="9D5E853A"/>
    <w:lvl w:ilvl="0" w:tplc="D73C8F8C">
      <w:start w:val="1"/>
      <w:numFmt w:val="lowerLetter"/>
      <w:lvlText w:val="%1)"/>
      <w:lvlJc w:val="left"/>
      <w:pPr>
        <w:tabs>
          <w:tab w:val="num" w:pos="1080"/>
        </w:tabs>
        <w:ind w:left="1080" w:hanging="360"/>
      </w:pPr>
      <w:rPr>
        <w:rFonts w:hint="default"/>
      </w:rPr>
    </w:lvl>
    <w:lvl w:ilvl="1" w:tplc="041D0019" w:tentative="1">
      <w:start w:val="1"/>
      <w:numFmt w:val="lowerLetter"/>
      <w:lvlText w:val="%2."/>
      <w:lvlJc w:val="left"/>
      <w:pPr>
        <w:tabs>
          <w:tab w:val="num" w:pos="1309"/>
        </w:tabs>
        <w:ind w:left="1309" w:hanging="360"/>
      </w:pPr>
    </w:lvl>
    <w:lvl w:ilvl="2" w:tplc="041D001B" w:tentative="1">
      <w:start w:val="1"/>
      <w:numFmt w:val="lowerRoman"/>
      <w:lvlText w:val="%3."/>
      <w:lvlJc w:val="right"/>
      <w:pPr>
        <w:tabs>
          <w:tab w:val="num" w:pos="2029"/>
        </w:tabs>
        <w:ind w:left="2029" w:hanging="180"/>
      </w:pPr>
    </w:lvl>
    <w:lvl w:ilvl="3" w:tplc="041D000F" w:tentative="1">
      <w:start w:val="1"/>
      <w:numFmt w:val="decimal"/>
      <w:lvlText w:val="%4."/>
      <w:lvlJc w:val="left"/>
      <w:pPr>
        <w:tabs>
          <w:tab w:val="num" w:pos="2749"/>
        </w:tabs>
        <w:ind w:left="2749" w:hanging="360"/>
      </w:pPr>
    </w:lvl>
    <w:lvl w:ilvl="4" w:tplc="041D0019" w:tentative="1">
      <w:start w:val="1"/>
      <w:numFmt w:val="lowerLetter"/>
      <w:lvlText w:val="%5."/>
      <w:lvlJc w:val="left"/>
      <w:pPr>
        <w:tabs>
          <w:tab w:val="num" w:pos="3469"/>
        </w:tabs>
        <w:ind w:left="3469" w:hanging="360"/>
      </w:pPr>
    </w:lvl>
    <w:lvl w:ilvl="5" w:tplc="041D001B" w:tentative="1">
      <w:start w:val="1"/>
      <w:numFmt w:val="lowerRoman"/>
      <w:lvlText w:val="%6."/>
      <w:lvlJc w:val="right"/>
      <w:pPr>
        <w:tabs>
          <w:tab w:val="num" w:pos="4189"/>
        </w:tabs>
        <w:ind w:left="4189" w:hanging="180"/>
      </w:pPr>
    </w:lvl>
    <w:lvl w:ilvl="6" w:tplc="041D000F" w:tentative="1">
      <w:start w:val="1"/>
      <w:numFmt w:val="decimal"/>
      <w:lvlText w:val="%7."/>
      <w:lvlJc w:val="left"/>
      <w:pPr>
        <w:tabs>
          <w:tab w:val="num" w:pos="4909"/>
        </w:tabs>
        <w:ind w:left="4909" w:hanging="360"/>
      </w:pPr>
    </w:lvl>
    <w:lvl w:ilvl="7" w:tplc="041D0019" w:tentative="1">
      <w:start w:val="1"/>
      <w:numFmt w:val="lowerLetter"/>
      <w:lvlText w:val="%8."/>
      <w:lvlJc w:val="left"/>
      <w:pPr>
        <w:tabs>
          <w:tab w:val="num" w:pos="5629"/>
        </w:tabs>
        <w:ind w:left="5629" w:hanging="360"/>
      </w:pPr>
    </w:lvl>
    <w:lvl w:ilvl="8" w:tplc="041D001B" w:tentative="1">
      <w:start w:val="1"/>
      <w:numFmt w:val="lowerRoman"/>
      <w:lvlText w:val="%9."/>
      <w:lvlJc w:val="right"/>
      <w:pPr>
        <w:tabs>
          <w:tab w:val="num" w:pos="6349"/>
        </w:tabs>
        <w:ind w:left="6349" w:hanging="180"/>
      </w:pPr>
    </w:lvl>
  </w:abstractNum>
  <w:abstractNum w:abstractNumId="29" w15:restartNumberingAfterBreak="0">
    <w:nsid w:val="5CB1498C"/>
    <w:multiLevelType w:val="multilevel"/>
    <w:tmpl w:val="214CD7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8464A6"/>
    <w:multiLevelType w:val="hybridMultilevel"/>
    <w:tmpl w:val="4C583950"/>
    <w:lvl w:ilvl="0" w:tplc="D73C8F8C">
      <w:start w:val="1"/>
      <w:numFmt w:val="lowerLetter"/>
      <w:lvlText w:val="%1)"/>
      <w:lvlJc w:val="left"/>
      <w:pPr>
        <w:tabs>
          <w:tab w:val="num" w:pos="1211"/>
        </w:tabs>
        <w:ind w:left="1211"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66FB795D"/>
    <w:multiLevelType w:val="hybridMultilevel"/>
    <w:tmpl w:val="5C186950"/>
    <w:lvl w:ilvl="0" w:tplc="D5CECCDA">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0A65E58"/>
    <w:multiLevelType w:val="multilevel"/>
    <w:tmpl w:val="647C63CA"/>
    <w:lvl w:ilvl="0">
      <w:start w:val="1"/>
      <w:numFmt w:val="lowerLetter"/>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2BC683C"/>
    <w:multiLevelType w:val="multilevel"/>
    <w:tmpl w:val="5D74B25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79B5082"/>
    <w:multiLevelType w:val="multilevel"/>
    <w:tmpl w:val="4C583950"/>
    <w:lvl w:ilvl="0">
      <w:start w:val="1"/>
      <w:numFmt w:val="lowerLetter"/>
      <w:lvlText w:val="%1)"/>
      <w:lvlJc w:val="left"/>
      <w:pPr>
        <w:tabs>
          <w:tab w:val="num" w:pos="121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98096417">
    <w:abstractNumId w:val="25"/>
  </w:num>
  <w:num w:numId="2" w16cid:durableId="1649747996">
    <w:abstractNumId w:val="14"/>
  </w:num>
  <w:num w:numId="3" w16cid:durableId="59909431">
    <w:abstractNumId w:val="11"/>
  </w:num>
  <w:num w:numId="4" w16cid:durableId="1877739225">
    <w:abstractNumId w:val="31"/>
  </w:num>
  <w:num w:numId="5" w16cid:durableId="1741635802">
    <w:abstractNumId w:val="3"/>
  </w:num>
  <w:num w:numId="6" w16cid:durableId="922294861">
    <w:abstractNumId w:val="16"/>
  </w:num>
  <w:num w:numId="7" w16cid:durableId="1056659107">
    <w:abstractNumId w:val="10"/>
  </w:num>
  <w:num w:numId="8" w16cid:durableId="2021083385">
    <w:abstractNumId w:val="29"/>
  </w:num>
  <w:num w:numId="9" w16cid:durableId="769082103">
    <w:abstractNumId w:val="21"/>
  </w:num>
  <w:num w:numId="10" w16cid:durableId="1157259083">
    <w:abstractNumId w:val="13"/>
  </w:num>
  <w:num w:numId="11" w16cid:durableId="2051683944">
    <w:abstractNumId w:val="5"/>
  </w:num>
  <w:num w:numId="12" w16cid:durableId="8604842">
    <w:abstractNumId w:val="24"/>
  </w:num>
  <w:num w:numId="13" w16cid:durableId="1580410204">
    <w:abstractNumId w:val="15"/>
  </w:num>
  <w:num w:numId="14" w16cid:durableId="2059743555">
    <w:abstractNumId w:val="23"/>
  </w:num>
  <w:num w:numId="15" w16cid:durableId="650793879">
    <w:abstractNumId w:val="27"/>
  </w:num>
  <w:num w:numId="16" w16cid:durableId="438531430">
    <w:abstractNumId w:val="18"/>
  </w:num>
  <w:num w:numId="17" w16cid:durableId="605425171">
    <w:abstractNumId w:val="9"/>
  </w:num>
  <w:num w:numId="18" w16cid:durableId="832644711">
    <w:abstractNumId w:val="17"/>
  </w:num>
  <w:num w:numId="19" w16cid:durableId="2101872303">
    <w:abstractNumId w:val="0"/>
  </w:num>
  <w:num w:numId="20" w16cid:durableId="473330349">
    <w:abstractNumId w:val="20"/>
  </w:num>
  <w:num w:numId="21" w16cid:durableId="692195846">
    <w:abstractNumId w:val="2"/>
  </w:num>
  <w:num w:numId="22" w16cid:durableId="502547716">
    <w:abstractNumId w:val="32"/>
  </w:num>
  <w:num w:numId="23" w16cid:durableId="1846751496">
    <w:abstractNumId w:val="26"/>
  </w:num>
  <w:num w:numId="24" w16cid:durableId="1000961936">
    <w:abstractNumId w:val="6"/>
  </w:num>
  <w:num w:numId="25" w16cid:durableId="702051986">
    <w:abstractNumId w:val="33"/>
  </w:num>
  <w:num w:numId="26" w16cid:durableId="252786688">
    <w:abstractNumId w:val="7"/>
  </w:num>
  <w:num w:numId="27" w16cid:durableId="72626443">
    <w:abstractNumId w:val="22"/>
  </w:num>
  <w:num w:numId="28" w16cid:durableId="650184229">
    <w:abstractNumId w:val="30"/>
  </w:num>
  <w:num w:numId="29" w16cid:durableId="1973363775">
    <w:abstractNumId w:val="19"/>
  </w:num>
  <w:num w:numId="30" w16cid:durableId="1316102830">
    <w:abstractNumId w:val="28"/>
  </w:num>
  <w:num w:numId="31" w16cid:durableId="391657239">
    <w:abstractNumId w:val="34"/>
  </w:num>
  <w:num w:numId="32" w16cid:durableId="962732930">
    <w:abstractNumId w:val="8"/>
  </w:num>
  <w:num w:numId="33" w16cid:durableId="1760057981">
    <w:abstractNumId w:val="4"/>
  </w:num>
  <w:num w:numId="34" w16cid:durableId="1008369045">
    <w:abstractNumId w:val="12"/>
  </w:num>
  <w:num w:numId="35" w16cid:durableId="294872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06030F"/>
    <w:rsid w:val="00011488"/>
    <w:rsid w:val="00027ADF"/>
    <w:rsid w:val="0006030F"/>
    <w:rsid w:val="0006217D"/>
    <w:rsid w:val="000775C2"/>
    <w:rsid w:val="000853BE"/>
    <w:rsid w:val="00091632"/>
    <w:rsid w:val="000A78A2"/>
    <w:rsid w:val="00107B91"/>
    <w:rsid w:val="0011229A"/>
    <w:rsid w:val="00133A65"/>
    <w:rsid w:val="00144EC5"/>
    <w:rsid w:val="001454BE"/>
    <w:rsid w:val="001503D1"/>
    <w:rsid w:val="00163DEF"/>
    <w:rsid w:val="001D2818"/>
    <w:rsid w:val="001D5ACF"/>
    <w:rsid w:val="001D797D"/>
    <w:rsid w:val="001F5F8E"/>
    <w:rsid w:val="00222E75"/>
    <w:rsid w:val="002269BF"/>
    <w:rsid w:val="002912AC"/>
    <w:rsid w:val="002A45D3"/>
    <w:rsid w:val="002D0650"/>
    <w:rsid w:val="0030744D"/>
    <w:rsid w:val="00363788"/>
    <w:rsid w:val="00366DE5"/>
    <w:rsid w:val="003770EC"/>
    <w:rsid w:val="003850EB"/>
    <w:rsid w:val="003A1855"/>
    <w:rsid w:val="003C11FD"/>
    <w:rsid w:val="003D1ACA"/>
    <w:rsid w:val="003F2B8F"/>
    <w:rsid w:val="004050C1"/>
    <w:rsid w:val="00420857"/>
    <w:rsid w:val="0042518D"/>
    <w:rsid w:val="00437FAA"/>
    <w:rsid w:val="00453EB7"/>
    <w:rsid w:val="00471243"/>
    <w:rsid w:val="00472579"/>
    <w:rsid w:val="00472729"/>
    <w:rsid w:val="004B1997"/>
    <w:rsid w:val="004B772B"/>
    <w:rsid w:val="00502334"/>
    <w:rsid w:val="00531A37"/>
    <w:rsid w:val="00537F5D"/>
    <w:rsid w:val="00541E12"/>
    <w:rsid w:val="005573AE"/>
    <w:rsid w:val="00581139"/>
    <w:rsid w:val="005858B1"/>
    <w:rsid w:val="00595915"/>
    <w:rsid w:val="005C0257"/>
    <w:rsid w:val="005C2967"/>
    <w:rsid w:val="005D7486"/>
    <w:rsid w:val="005E2742"/>
    <w:rsid w:val="005E46BA"/>
    <w:rsid w:val="005E5405"/>
    <w:rsid w:val="005E5F1F"/>
    <w:rsid w:val="00607CA7"/>
    <w:rsid w:val="00626EF8"/>
    <w:rsid w:val="00660A8B"/>
    <w:rsid w:val="00680534"/>
    <w:rsid w:val="006832BB"/>
    <w:rsid w:val="006B730B"/>
    <w:rsid w:val="006C1F5C"/>
    <w:rsid w:val="006C590F"/>
    <w:rsid w:val="006F32AE"/>
    <w:rsid w:val="00702B45"/>
    <w:rsid w:val="007075D7"/>
    <w:rsid w:val="00727322"/>
    <w:rsid w:val="007C2F88"/>
    <w:rsid w:val="007F2584"/>
    <w:rsid w:val="00807905"/>
    <w:rsid w:val="0082360A"/>
    <w:rsid w:val="008263CA"/>
    <w:rsid w:val="00841A94"/>
    <w:rsid w:val="00853E52"/>
    <w:rsid w:val="00856CC6"/>
    <w:rsid w:val="00865E45"/>
    <w:rsid w:val="008728F0"/>
    <w:rsid w:val="008820B8"/>
    <w:rsid w:val="008874C3"/>
    <w:rsid w:val="008A13A1"/>
    <w:rsid w:val="008A385C"/>
    <w:rsid w:val="008E2491"/>
    <w:rsid w:val="009117D8"/>
    <w:rsid w:val="0091752B"/>
    <w:rsid w:val="00936E53"/>
    <w:rsid w:val="00942F8B"/>
    <w:rsid w:val="009706D8"/>
    <w:rsid w:val="00980D21"/>
    <w:rsid w:val="00993666"/>
    <w:rsid w:val="00A3615F"/>
    <w:rsid w:val="00A43B20"/>
    <w:rsid w:val="00A50315"/>
    <w:rsid w:val="00A61571"/>
    <w:rsid w:val="00A86E37"/>
    <w:rsid w:val="00B00122"/>
    <w:rsid w:val="00B06475"/>
    <w:rsid w:val="00B22A6A"/>
    <w:rsid w:val="00B3639B"/>
    <w:rsid w:val="00B43A86"/>
    <w:rsid w:val="00B45BC4"/>
    <w:rsid w:val="00B468A2"/>
    <w:rsid w:val="00B743B5"/>
    <w:rsid w:val="00B84DDE"/>
    <w:rsid w:val="00B94FF5"/>
    <w:rsid w:val="00BF18AC"/>
    <w:rsid w:val="00C06EAE"/>
    <w:rsid w:val="00C12AD5"/>
    <w:rsid w:val="00C12F01"/>
    <w:rsid w:val="00C4142C"/>
    <w:rsid w:val="00C44962"/>
    <w:rsid w:val="00C53030"/>
    <w:rsid w:val="00C60EE8"/>
    <w:rsid w:val="00C76076"/>
    <w:rsid w:val="00CC39A9"/>
    <w:rsid w:val="00CE37C1"/>
    <w:rsid w:val="00D35DAB"/>
    <w:rsid w:val="00D62774"/>
    <w:rsid w:val="00D62F8B"/>
    <w:rsid w:val="00DA2714"/>
    <w:rsid w:val="00DA593D"/>
    <w:rsid w:val="00DB3EC4"/>
    <w:rsid w:val="00DC3914"/>
    <w:rsid w:val="00DC6BB4"/>
    <w:rsid w:val="00DD25F9"/>
    <w:rsid w:val="00EA16A4"/>
    <w:rsid w:val="00EB333B"/>
    <w:rsid w:val="00ED08A1"/>
    <w:rsid w:val="00ED6C69"/>
    <w:rsid w:val="00EF2C62"/>
    <w:rsid w:val="00F02762"/>
    <w:rsid w:val="00F03D07"/>
    <w:rsid w:val="00F10134"/>
    <w:rsid w:val="00F21AF8"/>
    <w:rsid w:val="00F22F11"/>
    <w:rsid w:val="00F24F39"/>
    <w:rsid w:val="00F41D88"/>
    <w:rsid w:val="00F756F3"/>
    <w:rsid w:val="00F85E74"/>
    <w:rsid w:val="00F87305"/>
    <w:rsid w:val="00F958EC"/>
    <w:rsid w:val="00F97017"/>
    <w:rsid w:val="00F97481"/>
    <w:rsid w:val="00FA3E2C"/>
    <w:rsid w:val="00FD662A"/>
    <w:rsid w:val="00FE5527"/>
    <w:rsid w:val="00FF055B"/>
    <w:rsid w:val="00FF10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F5DBCC-5653-407A-ABEF-F1E77D2B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umreradlista">
    <w:name w:val="List Number"/>
    <w:basedOn w:val="Normal"/>
    <w:rsid w:val="00DC6BB4"/>
    <w:rPr>
      <w:lang w:eastAsia="sv-SE"/>
    </w:rPr>
  </w:style>
  <w:style w:type="paragraph" w:styleId="Fotnotstext">
    <w:name w:val="footnote text"/>
    <w:basedOn w:val="Normal"/>
    <w:semiHidden/>
    <w:rsid w:val="001D2818"/>
    <w:rPr>
      <w:sz w:val="20"/>
    </w:rPr>
  </w:style>
  <w:style w:type="character" w:styleId="Fotnotsreferens">
    <w:name w:val="footnote reference"/>
    <w:basedOn w:val="Standardstycketeckensnitt"/>
    <w:semiHidden/>
    <w:rsid w:val="001D2818"/>
    <w:rPr>
      <w:vertAlign w:val="superscript"/>
    </w:rPr>
  </w:style>
  <w:style w:type="paragraph" w:styleId="Brdtext">
    <w:name w:val="Body Text"/>
    <w:basedOn w:val="Normal"/>
    <w:rsid w:val="00680534"/>
    <w:pPr>
      <w:overflowPunct/>
      <w:autoSpaceDE/>
      <w:autoSpaceDN/>
      <w:adjustRightInd/>
      <w:spacing w:line="320" w:lineRule="exact"/>
      <w:textAlignment w:val="auto"/>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1397</Words>
  <Characters>8929</Characters>
  <Application>Microsoft Office Word</Application>
  <DocSecurity>4</DocSecurity>
  <Lines>217</Lines>
  <Paragraphs>66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2008-02-18T10:53:00Z</cp:lastPrinted>
  <dcterms:created xsi:type="dcterms:W3CDTF">2025-12-17T13:13:00Z</dcterms:created>
  <dcterms:modified xsi:type="dcterms:W3CDTF">2025-12-17T13:13:00Z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