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2F536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2F5362" w:rsidRDefault="002F5362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347" w:type="dxa"/>
            <w:gridSpan w:val="2"/>
          </w:tcPr>
          <w:p w:rsidR="002F5362" w:rsidRDefault="002F5362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2F536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2F5362" w:rsidRDefault="002F5362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347" w:type="dxa"/>
            <w:gridSpan w:val="2"/>
          </w:tcPr>
          <w:p w:rsidR="002F5362" w:rsidRDefault="002F5362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2F5362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2F5362" w:rsidRDefault="002F5362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2F5362" w:rsidRDefault="002F5362">
            <w:pPr>
              <w:framePr w:w="4400" w:h="1644" w:wrap="notBeside" w:vAnchor="page" w:hAnchor="page" w:x="6573" w:y="721"/>
            </w:pPr>
          </w:p>
        </w:tc>
      </w:tr>
      <w:tr w:rsidR="002F536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2F5362" w:rsidRDefault="002F5362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2F5362" w:rsidRPr="00E36900" w:rsidRDefault="002F5362" w:rsidP="006D063B">
            <w:pPr>
              <w:framePr w:w="4400" w:h="1644" w:wrap="notBeside" w:vAnchor="page" w:hAnchor="page" w:x="6573" w:y="721"/>
              <w:rPr>
                <w:sz w:val="20"/>
              </w:rPr>
            </w:pPr>
            <w:r w:rsidRPr="00E36900">
              <w:rPr>
                <w:sz w:val="20"/>
              </w:rPr>
              <w:t>Dnr</w:t>
            </w:r>
            <w:r w:rsidR="004F7E68" w:rsidRPr="00E36900">
              <w:rPr>
                <w:sz w:val="20"/>
              </w:rPr>
              <w:t xml:space="preserve"> </w:t>
            </w:r>
            <w:r w:rsidR="00A82491" w:rsidRPr="00E36900">
              <w:rPr>
                <w:sz w:val="20"/>
              </w:rPr>
              <w:t>Ju2017/077</w:t>
            </w:r>
            <w:r w:rsidR="006D063B" w:rsidRPr="00E36900">
              <w:rPr>
                <w:sz w:val="20"/>
              </w:rPr>
              <w:t>76</w:t>
            </w:r>
            <w:r w:rsidR="00A82491" w:rsidRPr="00E36900">
              <w:rPr>
                <w:sz w:val="20"/>
              </w:rPr>
              <w:t>/POL</w:t>
            </w:r>
          </w:p>
          <w:p w:rsidR="00E36900" w:rsidRPr="00A82491" w:rsidRDefault="00E36900" w:rsidP="006D063B">
            <w:pPr>
              <w:framePr w:w="4400" w:h="1644" w:wrap="notBeside" w:vAnchor="page" w:hAnchor="page" w:x="6573" w:y="721"/>
            </w:pPr>
          </w:p>
        </w:tc>
      </w:tr>
      <w:tr w:rsidR="002F536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36900" w:rsidRDefault="00E36900">
            <w:pPr>
              <w:framePr w:w="4400" w:h="1644" w:wrap="notBeside" w:vAnchor="page" w:hAnchor="page" w:x="6573" w:y="721"/>
            </w:pPr>
          </w:p>
          <w:p w:rsidR="002F5362" w:rsidRDefault="00E36900" w:rsidP="003B35E3">
            <w:pPr>
              <w:framePr w:w="4400" w:h="1644" w:wrap="notBeside" w:vAnchor="page" w:hAnchor="page" w:x="6573" w:y="721"/>
            </w:pPr>
            <w:r>
              <w:t xml:space="preserve">Till </w:t>
            </w:r>
            <w:r w:rsidR="003B35E3">
              <w:t>r</w:t>
            </w:r>
            <w:r>
              <w:t xml:space="preserve">iksdagen </w:t>
            </w:r>
          </w:p>
        </w:tc>
        <w:tc>
          <w:tcPr>
            <w:tcW w:w="2347" w:type="dxa"/>
            <w:gridSpan w:val="2"/>
          </w:tcPr>
          <w:p w:rsidR="002F5362" w:rsidRDefault="002F5362">
            <w:pPr>
              <w:framePr w:w="4400" w:h="1644" w:wrap="notBeside" w:vAnchor="page" w:hAnchor="page" w:x="6573" w:y="721"/>
            </w:pPr>
          </w:p>
        </w:tc>
      </w:tr>
    </w:tbl>
    <w:p w:rsidR="00C83112" w:rsidRPr="00C83112" w:rsidRDefault="00C83112" w:rsidP="00C83112">
      <w:pPr>
        <w:rPr>
          <w:vanish/>
        </w:rPr>
      </w:pPr>
    </w:p>
    <w:tbl>
      <w:tblPr>
        <w:tblW w:w="5649" w:type="dxa"/>
        <w:tblLayout w:type="fixed"/>
        <w:tblLook w:val="0000" w:firstRow="0" w:lastRow="0" w:firstColumn="0" w:lastColumn="0" w:noHBand="0" w:noVBand="0"/>
      </w:tblPr>
      <w:tblGrid>
        <w:gridCol w:w="5649"/>
      </w:tblGrid>
      <w:tr w:rsidR="002F5362" w:rsidTr="003F1F6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649" w:type="dxa"/>
          </w:tcPr>
          <w:p w:rsidR="002F5362" w:rsidRDefault="00850D02">
            <w:pPr>
              <w:pStyle w:val="Avsndare"/>
              <w:framePr w:h="2483" w:wrap="notBeside" w:x="1454" w:y="2105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</w:t>
            </w:r>
            <w:r w:rsidR="002F5362">
              <w:rPr>
                <w:b/>
                <w:i w:val="0"/>
                <w:sz w:val="22"/>
              </w:rPr>
              <w:t>departementet</w:t>
            </w:r>
          </w:p>
        </w:tc>
      </w:tr>
      <w:tr w:rsidR="002F5362" w:rsidTr="003F1F6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649" w:type="dxa"/>
          </w:tcPr>
          <w:p w:rsidR="002F5362" w:rsidRDefault="004F7E68">
            <w:pPr>
              <w:pStyle w:val="Avsndare"/>
              <w:framePr w:h="2483" w:wrap="notBeside" w:x="1454" w:y="2105"/>
              <w:rPr>
                <w:bCs/>
                <w:iCs/>
              </w:rPr>
            </w:pPr>
            <w:r>
              <w:rPr>
                <w:bCs/>
                <w:iCs/>
              </w:rPr>
              <w:t>Justitie- och inrikesministern</w:t>
            </w:r>
          </w:p>
        </w:tc>
      </w:tr>
      <w:tr w:rsidR="002F5362" w:rsidTr="003F1F6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649" w:type="dxa"/>
          </w:tcPr>
          <w:p w:rsidR="002F5362" w:rsidRDefault="002F5362">
            <w:pPr>
              <w:pStyle w:val="Avsndare"/>
              <w:framePr w:h="2483" w:wrap="notBeside" w:x="1454" w:y="2105"/>
              <w:rPr>
                <w:bCs/>
                <w:iCs/>
              </w:rPr>
            </w:pPr>
          </w:p>
        </w:tc>
      </w:tr>
      <w:tr w:rsidR="002F5362" w:rsidTr="003F1F6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649" w:type="dxa"/>
          </w:tcPr>
          <w:p w:rsidR="002F5362" w:rsidRDefault="002F5362">
            <w:pPr>
              <w:pStyle w:val="Avsndare"/>
              <w:framePr w:h="2483" w:wrap="notBeside" w:x="1454" w:y="2105"/>
              <w:rPr>
                <w:bCs/>
                <w:iCs/>
              </w:rPr>
            </w:pPr>
          </w:p>
        </w:tc>
      </w:tr>
      <w:tr w:rsidR="002F5362" w:rsidTr="003F1F6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649" w:type="dxa"/>
          </w:tcPr>
          <w:p w:rsidR="002F5362" w:rsidRDefault="002F5362">
            <w:pPr>
              <w:pStyle w:val="Avsndare"/>
              <w:framePr w:h="2483" w:wrap="notBeside" w:x="1454" w:y="2105"/>
              <w:rPr>
                <w:bCs/>
                <w:iCs/>
              </w:rPr>
            </w:pPr>
          </w:p>
        </w:tc>
      </w:tr>
      <w:tr w:rsidR="002F5362" w:rsidTr="003F1F6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649" w:type="dxa"/>
          </w:tcPr>
          <w:p w:rsidR="002F5362" w:rsidRDefault="002F5362">
            <w:pPr>
              <w:pStyle w:val="Avsndare"/>
              <w:framePr w:h="2483" w:wrap="notBeside" w:x="1454" w:y="2105"/>
              <w:rPr>
                <w:bCs/>
                <w:iCs/>
              </w:rPr>
            </w:pPr>
          </w:p>
        </w:tc>
      </w:tr>
      <w:tr w:rsidR="002F5362" w:rsidTr="003F1F6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649" w:type="dxa"/>
          </w:tcPr>
          <w:p w:rsidR="002F5362" w:rsidRDefault="002F5362">
            <w:pPr>
              <w:pStyle w:val="Avsndare"/>
              <w:framePr w:h="2483" w:wrap="notBeside" w:x="1454" w:y="2105"/>
              <w:rPr>
                <w:bCs/>
                <w:iCs/>
              </w:rPr>
            </w:pPr>
          </w:p>
        </w:tc>
      </w:tr>
      <w:tr w:rsidR="002F5362" w:rsidTr="003F1F6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649" w:type="dxa"/>
          </w:tcPr>
          <w:p w:rsidR="002F5362" w:rsidRDefault="002F5362">
            <w:pPr>
              <w:pStyle w:val="Avsndare"/>
              <w:framePr w:h="2483" w:wrap="notBeside" w:x="1454" w:y="2105"/>
              <w:rPr>
                <w:bCs/>
                <w:iCs/>
              </w:rPr>
            </w:pPr>
          </w:p>
        </w:tc>
      </w:tr>
      <w:tr w:rsidR="002F5362" w:rsidTr="003F1F6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649" w:type="dxa"/>
          </w:tcPr>
          <w:p w:rsidR="002F5362" w:rsidRDefault="002F5362">
            <w:pPr>
              <w:pStyle w:val="Avsndare"/>
              <w:framePr w:h="2483" w:wrap="notBeside" w:x="1454" w:y="2105"/>
              <w:rPr>
                <w:bCs/>
                <w:iCs/>
              </w:rPr>
            </w:pPr>
          </w:p>
        </w:tc>
      </w:tr>
    </w:tbl>
    <w:p w:rsidR="002F5362" w:rsidRDefault="002F5362" w:rsidP="006D063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4F7E68" w:rsidRPr="004F7E68">
        <w:t>2017/18:</w:t>
      </w:r>
      <w:r w:rsidR="006D063B">
        <w:t>76</w:t>
      </w:r>
      <w:r w:rsidR="004F7E68">
        <w:t xml:space="preserve"> </w:t>
      </w:r>
      <w:r>
        <w:t xml:space="preserve">av </w:t>
      </w:r>
      <w:r w:rsidR="006D063B" w:rsidRPr="006D063B">
        <w:t>Johan Büser (S) NMR och demonstrations</w:t>
      </w:r>
      <w:r w:rsidR="006D063B">
        <w:t>-</w:t>
      </w:r>
      <w:r w:rsidR="006D063B" w:rsidRPr="006D063B">
        <w:t>rä</w:t>
      </w:r>
      <w:r w:rsidR="006D063B" w:rsidRPr="006D063B">
        <w:t>t</w:t>
      </w:r>
      <w:r w:rsidR="006D063B" w:rsidRPr="006D063B">
        <w:t>ten</w:t>
      </w:r>
    </w:p>
    <w:p w:rsidR="006D063B" w:rsidRDefault="006D063B" w:rsidP="006D063B">
      <w:pPr>
        <w:pStyle w:val="RKnormal"/>
      </w:pPr>
    </w:p>
    <w:p w:rsidR="006D063B" w:rsidRDefault="006D063B" w:rsidP="006D063B">
      <w:pPr>
        <w:pStyle w:val="RKnormal"/>
      </w:pPr>
      <w:r>
        <w:t>Johan Büser har frågat mig om det är dags att göra en genomlysning av lagstiftningen och därmed inskränka densamma när det kommer till r</w:t>
      </w:r>
      <w:r>
        <w:t>e</w:t>
      </w:r>
      <w:r>
        <w:t>gleringen av nazistiska rörelser såsom NMR</w:t>
      </w:r>
      <w:r w:rsidR="00BF5C48">
        <w:t>.</w:t>
      </w:r>
    </w:p>
    <w:p w:rsidR="006D063B" w:rsidRDefault="006D063B" w:rsidP="006D063B">
      <w:pPr>
        <w:pStyle w:val="RKnormal"/>
      </w:pPr>
    </w:p>
    <w:p w:rsidR="006D063B" w:rsidRDefault="00BF5C48" w:rsidP="006D063B">
      <w:pPr>
        <w:pStyle w:val="RKnormal"/>
      </w:pPr>
      <w:r>
        <w:t xml:space="preserve">Frågan ställs </w:t>
      </w:r>
      <w:r w:rsidR="00131A9A">
        <w:t xml:space="preserve">bl.a. </w:t>
      </w:r>
      <w:r>
        <w:t xml:space="preserve">mot bakgrund av bestämmelserna i </w:t>
      </w:r>
      <w:r w:rsidRPr="00BF5C48">
        <w:t>FN:s rasdiskrim</w:t>
      </w:r>
      <w:r w:rsidRPr="00BF5C48">
        <w:t>i</w:t>
      </w:r>
      <w:r w:rsidRPr="00BF5C48">
        <w:t xml:space="preserve">neringskonvention </w:t>
      </w:r>
      <w:r w:rsidR="00131A9A">
        <w:t xml:space="preserve">om </w:t>
      </w:r>
      <w:r w:rsidR="00D54C96">
        <w:t xml:space="preserve">förbud mot och kriminalisering av deltagande i </w:t>
      </w:r>
      <w:r w:rsidRPr="00BF5C48">
        <w:t>organisationer som främjar och uppmanar till rasdiskriminering.</w:t>
      </w:r>
      <w:r w:rsidR="00131A9A">
        <w:t xml:space="preserve"> </w:t>
      </w:r>
      <w:r w:rsidR="006D063B">
        <w:t>Det finns i Sverige inte något förbud mot rasistiska organisationer som så</w:t>
      </w:r>
      <w:r w:rsidR="006D063B">
        <w:t>d</w:t>
      </w:r>
      <w:r w:rsidR="006D063B">
        <w:t>ana. Däremot finns en rad straffbestämmelser som innebär att organisa</w:t>
      </w:r>
      <w:r w:rsidR="00D54C96">
        <w:softHyphen/>
      </w:r>
      <w:r w:rsidR="006D063B">
        <w:t>tioner inte kan ägna sig åt rasistisk verksamhet utan att någon begår brott, exempe</w:t>
      </w:r>
      <w:r w:rsidR="006D063B">
        <w:t>l</w:t>
      </w:r>
      <w:r w:rsidR="006D063B">
        <w:t>vis bestämmelsen om hets mot folkgrupp. Mot bakgrund av den straffrättsliga regleringen har Sverige anfört att vi a</w:t>
      </w:r>
      <w:r w:rsidR="006D063B">
        <w:t>n</w:t>
      </w:r>
      <w:r w:rsidR="006D063B">
        <w:t>ser oss leva upp till våra åtaganden</w:t>
      </w:r>
      <w:r w:rsidR="00D54C96">
        <w:t xml:space="preserve"> när vi redovisat hur vi har genomfört konventio</w:t>
      </w:r>
      <w:r w:rsidR="00D54C96">
        <w:t>n</w:t>
      </w:r>
      <w:r w:rsidR="00D54C96">
        <w:t>en</w:t>
      </w:r>
      <w:r w:rsidR="006D063B">
        <w:t xml:space="preserve">. </w:t>
      </w:r>
    </w:p>
    <w:p w:rsidR="0046577A" w:rsidRDefault="0046577A" w:rsidP="006D063B">
      <w:pPr>
        <w:pStyle w:val="RKnormal"/>
      </w:pPr>
    </w:p>
    <w:p w:rsidR="005C0356" w:rsidRDefault="00512DF8" w:rsidP="006D063B">
      <w:pPr>
        <w:pStyle w:val="RKnormal"/>
      </w:pPr>
      <w:r w:rsidRPr="00512DF8">
        <w:t xml:space="preserve">Jag </w:t>
      </w:r>
      <w:r>
        <w:t xml:space="preserve">har noga följt den senaste tidens </w:t>
      </w:r>
      <w:r w:rsidRPr="00512DF8">
        <w:t xml:space="preserve">utveckling i Göteborg. </w:t>
      </w:r>
      <w:r w:rsidR="005C0356" w:rsidRPr="005C0356">
        <w:t xml:space="preserve">Polisen </w:t>
      </w:r>
      <w:r w:rsidR="003F1F61">
        <w:t xml:space="preserve">hade en svår uppgift men </w:t>
      </w:r>
      <w:r w:rsidR="003F1F61" w:rsidRPr="005C0356">
        <w:t>var väl förberedd</w:t>
      </w:r>
      <w:r w:rsidR="003F1F61">
        <w:t xml:space="preserve"> och </w:t>
      </w:r>
      <w:r w:rsidR="005C0356" w:rsidRPr="005C0356">
        <w:t>hanterade situationen</w:t>
      </w:r>
      <w:r w:rsidR="003F1F61">
        <w:t xml:space="preserve"> skic</w:t>
      </w:r>
      <w:r w:rsidR="003F1F61">
        <w:t>k</w:t>
      </w:r>
      <w:r w:rsidR="003F1F61">
        <w:t>ligt</w:t>
      </w:r>
      <w:r w:rsidR="005C0356" w:rsidRPr="005C0356">
        <w:t xml:space="preserve">. </w:t>
      </w:r>
    </w:p>
    <w:p w:rsidR="005C0356" w:rsidRDefault="005C0356" w:rsidP="006D063B">
      <w:pPr>
        <w:pStyle w:val="RKnormal"/>
      </w:pPr>
    </w:p>
    <w:p w:rsidR="003F1F61" w:rsidRPr="007E37A5" w:rsidRDefault="006D063B" w:rsidP="006D063B">
      <w:pPr>
        <w:pStyle w:val="RKnormal"/>
      </w:pPr>
      <w:r>
        <w:t xml:space="preserve">Om dagens lagstiftning är tillräcklig för att bemöta hotet från </w:t>
      </w:r>
      <w:r w:rsidR="00687139">
        <w:t>rasis</w:t>
      </w:r>
      <w:r w:rsidR="00687139">
        <w:t>t</w:t>
      </w:r>
      <w:r w:rsidR="00687139">
        <w:t xml:space="preserve">iska </w:t>
      </w:r>
      <w:r>
        <w:t>eller antidemokratiska grupper är en fråga jag kan få anledning att åte</w:t>
      </w:r>
      <w:r>
        <w:t>r</w:t>
      </w:r>
      <w:r>
        <w:t xml:space="preserve">komma till. Kultur- och demokratiministern och jag </w:t>
      </w:r>
      <w:r w:rsidR="00131A9A">
        <w:t xml:space="preserve">träffade i förra veckan </w:t>
      </w:r>
      <w:r>
        <w:t xml:space="preserve">representanter för ett antal partier för </w:t>
      </w:r>
      <w:r w:rsidR="008641ED">
        <w:t>ett inledande samtal krin</w:t>
      </w:r>
      <w:r w:rsidR="008641ED">
        <w:t>g</w:t>
      </w:r>
      <w:r w:rsidR="008641ED">
        <w:t xml:space="preserve"> </w:t>
      </w:r>
      <w:r>
        <w:t xml:space="preserve">samhällets förmåga att </w:t>
      </w:r>
      <w:r w:rsidRPr="007E37A5">
        <w:t xml:space="preserve">motverka antidemokratiska rörelser. </w:t>
      </w:r>
      <w:r w:rsidR="00D13439" w:rsidRPr="007E37A5">
        <w:t>De åtgärder som då diskuterades, bl.a. översyn av lagstiftning och Polismyndighetens och Säkerhetspolisens arbete mot politiskt motiverad brottslighet, b</w:t>
      </w:r>
      <w:r w:rsidR="00D13439" w:rsidRPr="007E37A5">
        <w:t>e</w:t>
      </w:r>
      <w:r w:rsidR="00D13439" w:rsidRPr="007E37A5">
        <w:t>reds nu vidare i Regeringskansliet.</w:t>
      </w:r>
    </w:p>
    <w:p w:rsidR="003F1F61" w:rsidRPr="007E37A5" w:rsidRDefault="003F1F61" w:rsidP="006D063B">
      <w:pPr>
        <w:pStyle w:val="RKnormal"/>
      </w:pPr>
    </w:p>
    <w:p w:rsidR="006D063B" w:rsidRDefault="006D063B" w:rsidP="006D063B">
      <w:pPr>
        <w:pStyle w:val="RKnormal"/>
      </w:pPr>
      <w:r>
        <w:t>Stockholm den 1</w:t>
      </w:r>
      <w:r w:rsidR="00E36900">
        <w:t>7</w:t>
      </w:r>
      <w:r>
        <w:t xml:space="preserve"> oktober 2017</w:t>
      </w:r>
    </w:p>
    <w:p w:rsidR="006D063B" w:rsidRDefault="006D063B" w:rsidP="006D063B">
      <w:pPr>
        <w:pStyle w:val="RKnormal"/>
      </w:pPr>
    </w:p>
    <w:p w:rsidR="00C32EEF" w:rsidRDefault="00C32EEF" w:rsidP="006D063B">
      <w:pPr>
        <w:pStyle w:val="RKnormal"/>
      </w:pPr>
    </w:p>
    <w:p w:rsidR="002F5362" w:rsidRDefault="006D063B" w:rsidP="006D063B">
      <w:pPr>
        <w:pStyle w:val="RKnormal"/>
      </w:pPr>
      <w:r>
        <w:lastRenderedPageBreak/>
        <w:t>Morgan Johansson</w:t>
      </w:r>
    </w:p>
    <w:sectPr w:rsidR="002F5362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CB6" w:rsidRDefault="001D6CB6">
      <w:r>
        <w:separator/>
      </w:r>
    </w:p>
  </w:endnote>
  <w:endnote w:type="continuationSeparator" w:id="0">
    <w:p w:rsidR="001D6CB6" w:rsidRDefault="001D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IDAutomationHC39X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CB6" w:rsidRDefault="001D6CB6">
      <w:r>
        <w:separator/>
      </w:r>
    </w:p>
  </w:footnote>
  <w:footnote w:type="continuationSeparator" w:id="0">
    <w:p w:rsidR="001D6CB6" w:rsidRDefault="001D6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362" w:rsidRDefault="002F5362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1343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F5362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2F5362" w:rsidRDefault="002F5362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2F5362" w:rsidRDefault="002F5362">
          <w:pPr>
            <w:pStyle w:val="Sidhuvud"/>
            <w:ind w:right="360"/>
          </w:pPr>
        </w:p>
      </w:tc>
      <w:tc>
        <w:tcPr>
          <w:tcW w:w="1525" w:type="dxa"/>
        </w:tcPr>
        <w:p w:rsidR="002F5362" w:rsidRDefault="002F5362">
          <w:pPr>
            <w:pStyle w:val="Sidhuvud"/>
            <w:ind w:right="360"/>
          </w:pPr>
        </w:p>
      </w:tc>
    </w:tr>
  </w:tbl>
  <w:p w:rsidR="002F5362" w:rsidRDefault="002F5362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362" w:rsidRDefault="002F5362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F5362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2F5362" w:rsidRDefault="002F5362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2F5362" w:rsidRDefault="002F5362">
          <w:pPr>
            <w:pStyle w:val="Sidhuvud"/>
            <w:ind w:right="360"/>
          </w:pPr>
        </w:p>
      </w:tc>
      <w:tc>
        <w:tcPr>
          <w:tcW w:w="1525" w:type="dxa"/>
        </w:tcPr>
        <w:p w:rsidR="002F5362" w:rsidRDefault="002F5362">
          <w:pPr>
            <w:pStyle w:val="Sidhuvud"/>
            <w:ind w:right="360"/>
          </w:pPr>
        </w:p>
      </w:tc>
    </w:tr>
  </w:tbl>
  <w:p w:rsidR="002F5362" w:rsidRDefault="002F5362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362" w:rsidRDefault="007A326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9440" cy="83947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44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5362" w:rsidRDefault="002F536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2F5362" w:rsidRDefault="002F5362">
    <w:pPr>
      <w:rPr>
        <w:rFonts w:ascii="TradeGothic" w:hAnsi="TradeGothic"/>
        <w:b/>
        <w:bCs/>
        <w:spacing w:val="12"/>
        <w:sz w:val="22"/>
      </w:rPr>
    </w:pPr>
  </w:p>
  <w:p w:rsidR="002F5362" w:rsidRDefault="002F536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2F5362" w:rsidRDefault="002F5362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62"/>
    <w:rsid w:val="00050AC9"/>
    <w:rsid w:val="000D6329"/>
    <w:rsid w:val="0012752C"/>
    <w:rsid w:val="0013004B"/>
    <w:rsid w:val="0013062D"/>
    <w:rsid w:val="00131A9A"/>
    <w:rsid w:val="001953A0"/>
    <w:rsid w:val="001A14D5"/>
    <w:rsid w:val="001D6CB6"/>
    <w:rsid w:val="001F5D1B"/>
    <w:rsid w:val="002274E3"/>
    <w:rsid w:val="002348A0"/>
    <w:rsid w:val="00282F22"/>
    <w:rsid w:val="002B24A7"/>
    <w:rsid w:val="002B5324"/>
    <w:rsid w:val="002C482E"/>
    <w:rsid w:val="002F5362"/>
    <w:rsid w:val="00311883"/>
    <w:rsid w:val="0033556C"/>
    <w:rsid w:val="003725CB"/>
    <w:rsid w:val="003B35E3"/>
    <w:rsid w:val="003C09FB"/>
    <w:rsid w:val="003E4EF8"/>
    <w:rsid w:val="003F1F61"/>
    <w:rsid w:val="00426AD3"/>
    <w:rsid w:val="00445281"/>
    <w:rsid w:val="0045045D"/>
    <w:rsid w:val="0046577A"/>
    <w:rsid w:val="004E55A9"/>
    <w:rsid w:val="004F7E68"/>
    <w:rsid w:val="00503D78"/>
    <w:rsid w:val="00512403"/>
    <w:rsid w:val="00512DF8"/>
    <w:rsid w:val="00527224"/>
    <w:rsid w:val="00536613"/>
    <w:rsid w:val="00594F6D"/>
    <w:rsid w:val="005C0356"/>
    <w:rsid w:val="005C4B13"/>
    <w:rsid w:val="005D2ABF"/>
    <w:rsid w:val="00623EC4"/>
    <w:rsid w:val="006353D5"/>
    <w:rsid w:val="00665466"/>
    <w:rsid w:val="00687139"/>
    <w:rsid w:val="006D063B"/>
    <w:rsid w:val="006D2248"/>
    <w:rsid w:val="006F1C3B"/>
    <w:rsid w:val="006F57ED"/>
    <w:rsid w:val="00701590"/>
    <w:rsid w:val="00730209"/>
    <w:rsid w:val="00734023"/>
    <w:rsid w:val="00753629"/>
    <w:rsid w:val="007620A8"/>
    <w:rsid w:val="007A3268"/>
    <w:rsid w:val="007B4BE0"/>
    <w:rsid w:val="007C4D3E"/>
    <w:rsid w:val="007D11EE"/>
    <w:rsid w:val="007E37A5"/>
    <w:rsid w:val="008201BA"/>
    <w:rsid w:val="00823500"/>
    <w:rsid w:val="00833996"/>
    <w:rsid w:val="00833DE3"/>
    <w:rsid w:val="00850435"/>
    <w:rsid w:val="00850D02"/>
    <w:rsid w:val="008641ED"/>
    <w:rsid w:val="00890EA4"/>
    <w:rsid w:val="008B71B8"/>
    <w:rsid w:val="009125F6"/>
    <w:rsid w:val="0091452B"/>
    <w:rsid w:val="00933BEF"/>
    <w:rsid w:val="009631EF"/>
    <w:rsid w:val="009C564C"/>
    <w:rsid w:val="009E5702"/>
    <w:rsid w:val="00A3361B"/>
    <w:rsid w:val="00A82491"/>
    <w:rsid w:val="00A96775"/>
    <w:rsid w:val="00AD6D1C"/>
    <w:rsid w:val="00B02FA6"/>
    <w:rsid w:val="00B650B5"/>
    <w:rsid w:val="00BF5C48"/>
    <w:rsid w:val="00C32EEF"/>
    <w:rsid w:val="00C42063"/>
    <w:rsid w:val="00C56590"/>
    <w:rsid w:val="00C83112"/>
    <w:rsid w:val="00CC5D8A"/>
    <w:rsid w:val="00D13439"/>
    <w:rsid w:val="00D2795C"/>
    <w:rsid w:val="00D33542"/>
    <w:rsid w:val="00D40EC9"/>
    <w:rsid w:val="00D54C96"/>
    <w:rsid w:val="00D94510"/>
    <w:rsid w:val="00DA1554"/>
    <w:rsid w:val="00DB1D02"/>
    <w:rsid w:val="00DD4F19"/>
    <w:rsid w:val="00E30E03"/>
    <w:rsid w:val="00E36900"/>
    <w:rsid w:val="00E91F9D"/>
    <w:rsid w:val="00EA36D8"/>
    <w:rsid w:val="00EC25D0"/>
    <w:rsid w:val="00F5596F"/>
    <w:rsid w:val="00F5673B"/>
    <w:rsid w:val="00F60437"/>
    <w:rsid w:val="00F7121D"/>
    <w:rsid w:val="00FC5C9F"/>
    <w:rsid w:val="00FF4BDF"/>
    <w:rsid w:val="00FF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C4A1A3C-6AFF-4D01-B970-570AF257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Fotnotstext">
    <w:name w:val="footnote text"/>
    <w:basedOn w:val="Normal"/>
    <w:semiHidden/>
    <w:rPr>
      <w:sz w:val="20"/>
    </w:rPr>
  </w:style>
  <w:style w:type="character" w:styleId="Fotnotsreferens">
    <w:name w:val="footnote reference"/>
    <w:semiHidden/>
    <w:rPr>
      <w:vertAlign w:val="superscript"/>
    </w:rPr>
  </w:style>
  <w:style w:type="character" w:styleId="Kommentarsreferens">
    <w:name w:val="annotation reference"/>
    <w:rsid w:val="00850D02"/>
    <w:rPr>
      <w:sz w:val="16"/>
      <w:szCs w:val="16"/>
    </w:rPr>
  </w:style>
  <w:style w:type="paragraph" w:styleId="Kommentarer">
    <w:name w:val="annotation text"/>
    <w:basedOn w:val="Normal"/>
    <w:link w:val="KommentarerChar"/>
    <w:rsid w:val="00850D02"/>
    <w:rPr>
      <w:sz w:val="20"/>
    </w:rPr>
  </w:style>
  <w:style w:type="character" w:customStyle="1" w:styleId="KommentarerChar">
    <w:name w:val="Kommentarer Char"/>
    <w:link w:val="Kommentarer"/>
    <w:rsid w:val="00850D0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50D02"/>
    <w:rPr>
      <w:b/>
      <w:bCs/>
    </w:rPr>
  </w:style>
  <w:style w:type="character" w:customStyle="1" w:styleId="KommentarsmneChar">
    <w:name w:val="Kommentarsämne Char"/>
    <w:link w:val="Kommentarsmne"/>
    <w:rsid w:val="00850D02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850D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50D0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81397c13-8b23-479b-92b0-fefa733a368b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3986C-F52B-4DE5-959D-27121B22D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0D3E17-C19F-4A02-83E1-01C1424B34E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5299383-439B-47A0-A5F7-9E6E0791F0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DE91CB-E308-4F05-97C8-B0A770C2D5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14BB61A-9292-42B4-AC19-0C3E4B363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246</Words>
  <Characters>1510</Characters>
  <Application>Microsoft Office Word</Application>
  <DocSecurity>0</DocSecurity>
  <Lines>60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Svar på fråga</vt:lpstr>
      <vt:lpstr>Svar på fråga</vt:lpstr>
    </vt:vector>
  </TitlesOfParts>
  <Company>Regeringskansliet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</dc:title>
  <dc:subject/>
  <dc:creator>Bo Malmqvist</dc:creator>
  <cp:keywords/>
  <cp:lastModifiedBy>Jonas Ginsburg</cp:lastModifiedBy>
  <cp:revision>2</cp:revision>
  <cp:lastPrinted>2017-10-16T14:09:00Z</cp:lastPrinted>
  <dcterms:created xsi:type="dcterms:W3CDTF">2017-10-17T15:15:00Z</dcterms:created>
  <dcterms:modified xsi:type="dcterms:W3CDTF">2017-10-17T15:15:00Z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1;0;0;192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RKOrdnaDepartement">
    <vt:lpwstr>Justitiedepartementet</vt:lpwstr>
  </property>
  <property fmtid="{D5CDD505-2E9C-101B-9397-08002B2CF9AE}" pid="6" name="RKOrdnaActivityCategory">
    <vt:lpwstr>9.9. Migrerat</vt:lpwstr>
  </property>
  <property fmtid="{D5CDD505-2E9C-101B-9397-08002B2CF9AE}" pid="7" name="QFMSP source name">
    <vt:lpwstr>Fågesvar.doc</vt:lpwstr>
  </property>
  <property fmtid="{D5CDD505-2E9C-101B-9397-08002B2CF9AE}" pid="8" name="RKOrdnaDepartement2">
    <vt:lpwstr>Justitiedepartementet</vt:lpwstr>
  </property>
  <property fmtid="{D5CDD505-2E9C-101B-9397-08002B2CF9AE}" pid="9" name="RKOrdnaActivityCategory2">
    <vt:lpwstr>9.9. Migrerat</vt:lpwstr>
  </property>
  <property fmtid="{D5CDD505-2E9C-101B-9397-08002B2CF9AE}" pid="10" name="RKOrdnaDiarienummer">
    <vt:lpwstr/>
  </property>
  <property fmtid="{D5CDD505-2E9C-101B-9397-08002B2CF9AE}" pid="11" name="display_urn:schemas-microsoft-com:office:office#Editor">
    <vt:lpwstr>Göran Nilsson</vt:lpwstr>
  </property>
  <property fmtid="{D5CDD505-2E9C-101B-9397-08002B2CF9AE}" pid="12" name="RKOrdnaClass">
    <vt:lpwstr>3</vt:lpwstr>
  </property>
  <property fmtid="{D5CDD505-2E9C-101B-9397-08002B2CF9AE}" pid="13" name="RKOrdnaCheckInComment">
    <vt:lpwstr/>
  </property>
  <property fmtid="{D5CDD505-2E9C-101B-9397-08002B2CF9AE}" pid="14" name="display_urn:schemas-microsoft-com:office:office#Author">
    <vt:lpwstr>Sharepoint Migrant</vt:lpwstr>
  </property>
  <property fmtid="{D5CDD505-2E9C-101B-9397-08002B2CF9AE}" pid="15" name="Order">
    <vt:lpwstr>600.000000000000</vt:lpwstr>
  </property>
  <property fmtid="{D5CDD505-2E9C-101B-9397-08002B2CF9AE}" pid="16" name="ContentTypeId">
    <vt:lpwstr>0x01010053E1D612BA3F4E21AA250ECD751942B300E8594E8387852543A034D6E33437AD36</vt:lpwstr>
  </property>
  <property fmtid="{D5CDD505-2E9C-101B-9397-08002B2CF9AE}" pid="17" name="_dlc_DocId">
    <vt:lpwstr>VYSDJZ52QA2C-4-351</vt:lpwstr>
  </property>
  <property fmtid="{D5CDD505-2E9C-101B-9397-08002B2CF9AE}" pid="18" name="_dlc_DocIdItemGuid">
    <vt:lpwstr>c801f06b-d3b4-40c6-86c7-0e6db5e2f4f6</vt:lpwstr>
  </property>
  <property fmtid="{D5CDD505-2E9C-101B-9397-08002B2CF9AE}" pid="19" name="_dlc_DocIdUrl">
    <vt:lpwstr>http://rkdhs-ju/enhet/l5/_layouts/DocIdRedir.aspx?ID=VYSDJZ52QA2C-4-351, VYSDJZ52QA2C-4-351</vt:lpwstr>
  </property>
  <property fmtid="{D5CDD505-2E9C-101B-9397-08002B2CF9AE}" pid="20" name="Aktivitetskategori">
    <vt:lpwstr>36;#5.1. Kommunikation med riksdagen och myndigheter|8d0b8c4f-42a9-46d0-a14a-75468e317658</vt:lpwstr>
  </property>
  <property fmtid="{D5CDD505-2E9C-101B-9397-08002B2CF9AE}" pid="21" name="k46d94c0acf84ab9a79866a9d8b1905f">
    <vt:lpwstr>Justitiedepartementet|75210908-dd30-49f2-afb6-71c3d988f75d</vt:lpwstr>
  </property>
  <property fmtid="{D5CDD505-2E9C-101B-9397-08002B2CF9AE}" pid="22" name="Departementsenhet">
    <vt:lpwstr>1;#Justitiedepartementet|75210908-dd30-49f2-afb6-71c3d988f75d</vt:lpwstr>
  </property>
  <property fmtid="{D5CDD505-2E9C-101B-9397-08002B2CF9AE}" pid="23" name="c9cd366cc722410295b9eacffbd73909">
    <vt:lpwstr>5.1. Kommunikation med riksdagen och myndigheter|8d0b8c4f-42a9-46d0-a14a-75468e317658</vt:lpwstr>
  </property>
  <property fmtid="{D5CDD505-2E9C-101B-9397-08002B2CF9AE}" pid="24" name="TaxCatchAll">
    <vt:lpwstr>36;#5.1. Kommunikation med riksdagen och myndigheter|8d0b8c4f-42a9-46d0-a14a-75468e317658;#1;#Justitiedepartementet|75210908-dd30-49f2-afb6-71c3d988f75d</vt:lpwstr>
  </property>
  <property fmtid="{D5CDD505-2E9C-101B-9397-08002B2CF9AE}" pid="25" name="Nyckelord">
    <vt:lpwstr/>
  </property>
  <property fmtid="{D5CDD505-2E9C-101B-9397-08002B2CF9AE}" pid="26" name="Sekretess">
    <vt:lpwstr>0</vt:lpwstr>
  </property>
  <property fmtid="{D5CDD505-2E9C-101B-9397-08002B2CF9AE}" pid="27" name="Diarienummer">
    <vt:lpwstr/>
  </property>
</Properties>
</file>