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BA4E981C2F3A4EB48CD8ECAA9EA108C1"/>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4D39E4" w:rsidP="000E7DFF">
                <w:pPr>
                  <w:pStyle w:val="Titelrubrik"/>
                </w:pPr>
                <w:fldSimple w:instr=" DOCPROPERTY  Typrubrik  \* MERGEFORMAT ">
                  <w:r w:rsidR="004A6F97">
                    <w:t>Redogörelse till riksdagen</w:t>
                  </w:r>
                </w:fldSimple>
              </w:p>
              <w:p w:rsidR="006F2BA6" w:rsidRPr="00BA4BC3" w:rsidRDefault="004D39E4" w:rsidP="0039664C">
                <w:pPr>
                  <w:pStyle w:val="Titelrubrik"/>
                </w:pPr>
                <w:fldSimple w:instr=" DOCPROPERTY  Dokbeteckning  \* MERGEFORMAT ">
                  <w:r w:rsidR="004A6F97">
                    <w:t>2016/17:RAR1</w:t>
                  </w:r>
                </w:fldSimple>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821D87" w:rsidP="0039664C">
                <w:pPr>
                  <w:pStyle w:val="Titelrubrik2"/>
                </w:pPr>
                <w:r>
                  <w:fldChar w:fldCharType="begin"/>
                </w:r>
                <w:r>
                  <w:instrText xml:space="preserve"> DOCPROPERTY  Dokrubrik  \* MERGEFORMAT </w:instrText>
                </w:r>
                <w:r>
                  <w:fldChar w:fldCharType="separate"/>
                </w:r>
                <w:r w:rsidR="004A6F97">
                  <w:t>Verksamhetsredogörelse Riksdagens arvodesnämnd 2016</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821D87"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5C61AA">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074A4D" w:rsidRPr="00074A4D" w:rsidRDefault="00074A4D" w:rsidP="00074A4D">
      <w:pPr>
        <w:keepNext/>
        <w:tabs>
          <w:tab w:val="left" w:pos="284"/>
          <w:tab w:val="left" w:pos="567"/>
          <w:tab w:val="left" w:pos="851"/>
          <w:tab w:val="left" w:pos="1134"/>
          <w:tab w:val="left" w:pos="1418"/>
        </w:tabs>
        <w:suppressAutoHyphens/>
        <w:spacing w:before="0" w:after="554"/>
        <w:jc w:val="left"/>
        <w:outlineLvl w:val="0"/>
        <w:rPr>
          <w:rFonts w:eastAsiaTheme="majorEastAsia"/>
          <w:sz w:val="32"/>
          <w:szCs w:val="28"/>
        </w:rPr>
      </w:pPr>
      <w:r w:rsidRPr="00074A4D">
        <w:rPr>
          <w:rFonts w:eastAsiaTheme="majorEastAsia"/>
          <w:sz w:val="32"/>
          <w:szCs w:val="28"/>
        </w:rPr>
        <w:t>Till riksdagen</w:t>
      </w:r>
    </w:p>
    <w:p w:rsidR="00074A4D" w:rsidRPr="00074A4D" w:rsidRDefault="00074A4D" w:rsidP="00074A4D">
      <w:pPr>
        <w:spacing w:before="0"/>
      </w:pPr>
      <w:r w:rsidRPr="00074A4D">
        <w:t>Riksdagens arvodesnämnd lämnar härmed följande redogörelse till riksdagen.</w:t>
      </w:r>
    </w:p>
    <w:p w:rsidR="00BF5D0B" w:rsidRPr="00BF5D0B" w:rsidRDefault="00BF5D0B" w:rsidP="008F5E3C">
      <w:pPr>
        <w:spacing w:before="250"/>
        <w:rPr>
          <w:lang w:eastAsia="ar-SA"/>
        </w:rPr>
      </w:pPr>
      <w:r w:rsidRPr="00BF5D0B">
        <w:rPr>
          <w:lang w:eastAsia="ar-SA"/>
        </w:rPr>
        <w:t>Godkänd av nämnden den 26 januari 2017</w:t>
      </w:r>
      <w:r w:rsidR="00C92B2C">
        <w:rPr>
          <w:lang w:eastAsia="ar-SA"/>
        </w:rPr>
        <w:t>.</w:t>
      </w:r>
    </w:p>
    <w:p w:rsidR="00074A4D" w:rsidRDefault="00074A4D" w:rsidP="00074A4D">
      <w:pPr>
        <w:spacing w:before="840"/>
        <w:rPr>
          <w:i/>
          <w:iCs/>
        </w:rPr>
      </w:pPr>
      <w:r w:rsidRPr="00074A4D">
        <w:rPr>
          <w:i/>
          <w:iCs/>
        </w:rPr>
        <w:t>Johan Hirschfeldt</w:t>
      </w:r>
    </w:p>
    <w:p w:rsidR="00074A4D" w:rsidRPr="00074A4D" w:rsidRDefault="00074A4D" w:rsidP="00074A4D">
      <w:pPr>
        <w:rPr>
          <w:i/>
        </w:rPr>
      </w:pPr>
      <w:r w:rsidRPr="00074A4D">
        <w:rPr>
          <w:i/>
        </w:rPr>
        <w:t>Ordförande</w:t>
      </w:r>
    </w:p>
    <w:p w:rsidR="00074A4D" w:rsidRDefault="00074A4D" w:rsidP="00074A4D">
      <w:pPr>
        <w:spacing w:before="720"/>
        <w:ind w:left="2608" w:firstLine="1304"/>
        <w:rPr>
          <w:i/>
          <w:iCs/>
        </w:rPr>
      </w:pPr>
      <w:r w:rsidRPr="00074A4D">
        <w:rPr>
          <w:i/>
          <w:iCs/>
        </w:rPr>
        <w:t>Sven Johannisson</w:t>
      </w:r>
    </w:p>
    <w:p w:rsidR="00074A4D" w:rsidRPr="00074A4D" w:rsidRDefault="00074A4D" w:rsidP="00074A4D">
      <w:pPr>
        <w:ind w:left="2608" w:firstLine="1304"/>
        <w:rPr>
          <w:i/>
        </w:rPr>
      </w:pPr>
      <w:r w:rsidRPr="00074A4D">
        <w:rPr>
          <w:i/>
        </w:rPr>
        <w:t>Sekreterare</w:t>
      </w:r>
    </w:p>
    <w:p w:rsidR="00074A4D" w:rsidRPr="00074A4D" w:rsidRDefault="00074A4D" w:rsidP="00074A4D">
      <w:pPr>
        <w:pStyle w:val="Normaltindrag"/>
      </w:pPr>
    </w:p>
    <w:p w:rsidR="00417ACB" w:rsidRDefault="00417ACB" w:rsidP="00417ACB"/>
    <w:p w:rsidR="000F149C" w:rsidRDefault="000F149C" w:rsidP="000F149C"/>
    <w:p w:rsidR="009B0A28" w:rsidRPr="004A6F97" w:rsidRDefault="009B0A28" w:rsidP="009B0A28"/>
    <w:p w:rsidR="009B0A28" w:rsidRPr="009B75D8" w:rsidRDefault="009B0A28" w:rsidP="009B0A28">
      <w:pPr>
        <w:rPr>
          <w:color w:val="FF0000"/>
        </w:rPr>
        <w:sectPr w:rsidR="009B0A28" w:rsidRPr="009B75D8" w:rsidSect="005C61AA">
          <w:type w:val="continuous"/>
          <w:pgSz w:w="9356" w:h="13721" w:code="9"/>
          <w:pgMar w:top="907" w:right="2041" w:bottom="1474" w:left="1418" w:header="397" w:footer="624" w:gutter="0"/>
          <w:cols w:space="708"/>
          <w:docGrid w:linePitch="360"/>
        </w:sectPr>
      </w:pPr>
    </w:p>
    <w:p w:rsidR="003776F9" w:rsidRPr="003776F9" w:rsidRDefault="003776F9" w:rsidP="003776F9">
      <w:pPr>
        <w:pStyle w:val="R2"/>
        <w:rPr>
          <w:rFonts w:eastAsia="Times New Roman"/>
          <w:lang w:eastAsia="ar-SA"/>
        </w:rPr>
      </w:pPr>
      <w:r w:rsidRPr="003776F9">
        <w:rPr>
          <w:rFonts w:eastAsia="Times New Roman"/>
          <w:lang w:eastAsia="ar-SA"/>
        </w:rPr>
        <w:lastRenderedPageBreak/>
        <w:t>1. Inledning</w:t>
      </w:r>
    </w:p>
    <w:p w:rsidR="003776F9" w:rsidRPr="003776F9" w:rsidRDefault="003776F9" w:rsidP="003776F9">
      <w:pPr>
        <w:rPr>
          <w:lang w:eastAsia="ar-SA"/>
        </w:rPr>
      </w:pPr>
      <w:r w:rsidRPr="003776F9">
        <w:rPr>
          <w:lang w:eastAsia="ar-SA"/>
        </w:rPr>
        <w:t>Riksdagens arvodesnämnd är en självständig myndighet under riksdagen. Nämnden har tre huvuduppgifter. En av dem är att fastställa månadsarvodet för riksdagens ledamöter. Den andra huvuduppgiften är att fatta beslut om ekonomiska avgångsförmåner (främst inkomstgaranti resp</w:t>
      </w:r>
      <w:r w:rsidR="00C92B2C">
        <w:rPr>
          <w:lang w:eastAsia="ar-SA"/>
        </w:rPr>
        <w:t>ektive</w:t>
      </w:r>
      <w:r w:rsidRPr="003776F9">
        <w:rPr>
          <w:lang w:eastAsia="ar-SA"/>
        </w:rPr>
        <w:t xml:space="preserve"> ekonomiskt omställningsstöd) för riksdagsledamöter som lämnar sitt uppdrag. Slutligen är det en uppgift för nämnden att pröva frågor om </w:t>
      </w:r>
      <w:r w:rsidR="00C92B2C">
        <w:rPr>
          <w:lang w:eastAsia="ar-SA"/>
        </w:rPr>
        <w:t>jämkning av inkomstgaranti respektive</w:t>
      </w:r>
      <w:r w:rsidRPr="003776F9">
        <w:rPr>
          <w:lang w:eastAsia="ar-SA"/>
        </w:rPr>
        <w:t xml:space="preserve"> ekonomiskt </w:t>
      </w:r>
      <w:r w:rsidR="00C92B2C">
        <w:rPr>
          <w:lang w:eastAsia="ar-SA"/>
        </w:rPr>
        <w:t>omställningsstöd. I avsnitt 4</w:t>
      </w:r>
      <w:r w:rsidRPr="003776F9">
        <w:rPr>
          <w:lang w:eastAsia="ar-SA"/>
        </w:rPr>
        <w:t>–6 nedan redovisas nämndens verksamhet i dessa avseenden.</w:t>
      </w:r>
    </w:p>
    <w:p w:rsidR="003776F9" w:rsidRPr="003776F9" w:rsidRDefault="003776F9" w:rsidP="003776F9">
      <w:pPr>
        <w:pStyle w:val="Normaltindrag"/>
        <w:rPr>
          <w:lang w:eastAsia="ar-SA"/>
        </w:rPr>
      </w:pPr>
      <w:r w:rsidRPr="003776F9">
        <w:rPr>
          <w:lang w:eastAsia="ar-SA"/>
        </w:rPr>
        <w:t>Nämndens verksamhet styrs av bestämmelserna i lagen (2012:883) med instruktion för Riksdagens arvodesnämnd. Materiella regler av betydelse för verksamheten finns i lagen (2016:1108) om ersättning till riksdagens ledamöter som trädde i kraft den 1 januari 2017 (nedan benämnd ersättningslagen). Bestämmelserna i den lagen motsvarar i huvudsak innehållet i den tidigare – och under verksamhetsåret gällande – lagen (1994:1065) om ekonomiska villkor för riksdagens ledamöter. För ärendehandläggningen gäller i övrigt bestämmelserna i förvaltningslagen (1986:223). Nämnden har också antagit en arbetsordning.</w:t>
      </w:r>
    </w:p>
    <w:p w:rsidR="004B728A" w:rsidRPr="004B728A" w:rsidRDefault="004B728A" w:rsidP="004B728A">
      <w:pPr>
        <w:pStyle w:val="R2"/>
        <w:rPr>
          <w:rFonts w:eastAsia="Times New Roman"/>
          <w:lang w:eastAsia="ar-SA"/>
        </w:rPr>
      </w:pPr>
      <w:r w:rsidRPr="004B728A">
        <w:rPr>
          <w:rFonts w:eastAsia="Times New Roman"/>
          <w:lang w:eastAsia="ar-SA"/>
        </w:rPr>
        <w:t>2. Sammansättning</w:t>
      </w:r>
    </w:p>
    <w:p w:rsidR="004B728A" w:rsidRPr="004B728A" w:rsidRDefault="004B728A" w:rsidP="004B728A">
      <w:pPr>
        <w:rPr>
          <w:lang w:eastAsia="ar-SA"/>
        </w:rPr>
      </w:pPr>
      <w:r w:rsidRPr="004B728A">
        <w:rPr>
          <w:lang w:eastAsia="ar-SA"/>
        </w:rPr>
        <w:t xml:space="preserve">Ledamöterna i nämnden har sedan tidigare förordnats av riksdagsstyrelsen. </w:t>
      </w:r>
      <w:r w:rsidR="00C92B2C">
        <w:rPr>
          <w:lang w:eastAsia="ar-SA"/>
        </w:rPr>
        <w:t>Sedan</w:t>
      </w:r>
      <w:r w:rsidRPr="004B728A">
        <w:rPr>
          <w:lang w:eastAsia="ar-SA"/>
        </w:rPr>
        <w:t xml:space="preserve"> den 9 december 2016 har dock riksdagen valt ledamöterna och ordförandens ersättare. Nämn</w:t>
      </w:r>
      <w:r w:rsidR="00C92B2C">
        <w:rPr>
          <w:lang w:eastAsia="ar-SA"/>
        </w:rPr>
        <w:t>den har följande sammansättning:</w:t>
      </w:r>
    </w:p>
    <w:p w:rsidR="004B728A" w:rsidRPr="004B728A" w:rsidRDefault="004B728A" w:rsidP="004B728A">
      <w:pPr>
        <w:pStyle w:val="Punktlistabomb"/>
      </w:pPr>
      <w:r>
        <w:t>f</w:t>
      </w:r>
      <w:r w:rsidR="00C92B2C">
        <w:t>.d. hovrättspresident</w:t>
      </w:r>
      <w:r w:rsidRPr="004B728A">
        <w:t xml:space="preserve"> Johan Hirschfeldt, ordförande</w:t>
      </w:r>
    </w:p>
    <w:p w:rsidR="004B728A" w:rsidRPr="004B728A" w:rsidRDefault="004B728A" w:rsidP="004B728A">
      <w:pPr>
        <w:pStyle w:val="Punktlistabomb"/>
      </w:pPr>
      <w:r>
        <w:t>h</w:t>
      </w:r>
      <w:r w:rsidR="00C92B2C">
        <w:t>ovrättspresident</w:t>
      </w:r>
      <w:r w:rsidRPr="004B728A">
        <w:t xml:space="preserve"> Fredrik Wersäll, ersättare för ordföranden</w:t>
      </w:r>
    </w:p>
    <w:p w:rsidR="004B728A" w:rsidRPr="004B728A" w:rsidRDefault="004B728A" w:rsidP="004B728A">
      <w:pPr>
        <w:pStyle w:val="Punktlistabomb"/>
      </w:pPr>
      <w:r>
        <w:t>f</w:t>
      </w:r>
      <w:r w:rsidRPr="004B728A">
        <w:t>.d. landshövding Barbro Holmberg</w:t>
      </w:r>
    </w:p>
    <w:p w:rsidR="004B728A" w:rsidRPr="004B728A" w:rsidRDefault="004B728A" w:rsidP="004B728A">
      <w:pPr>
        <w:pStyle w:val="Punktlistabomb"/>
      </w:pPr>
      <w:r>
        <w:t>f</w:t>
      </w:r>
      <w:r w:rsidRPr="004B728A">
        <w:t>.d. landshövding Peter Egardt</w:t>
      </w:r>
      <w:r w:rsidR="00C92B2C">
        <w:t>.</w:t>
      </w:r>
    </w:p>
    <w:p w:rsidR="004B728A" w:rsidRPr="004B728A" w:rsidRDefault="004B728A" w:rsidP="004B728A">
      <w:pPr>
        <w:rPr>
          <w:lang w:eastAsia="ar-SA"/>
        </w:rPr>
      </w:pPr>
      <w:r w:rsidRPr="004B728A">
        <w:rPr>
          <w:lang w:eastAsia="ar-SA"/>
        </w:rPr>
        <w:t>Som sekreterare tjänstgör hovrättsråd Sven Johannisson. Sekreteraren är nämndens personuppgiftsombud.</w:t>
      </w:r>
    </w:p>
    <w:p w:rsidR="004B728A" w:rsidRPr="004B728A" w:rsidRDefault="004B728A" w:rsidP="004B728A">
      <w:pPr>
        <w:pStyle w:val="Normaltindrag"/>
        <w:rPr>
          <w:lang w:eastAsia="ar-SA"/>
        </w:rPr>
      </w:pPr>
      <w:r w:rsidRPr="004B728A">
        <w:rPr>
          <w:lang w:eastAsia="ar-SA"/>
        </w:rPr>
        <w:t>Riksdagsförvaltningen utför kans</w:t>
      </w:r>
      <w:r w:rsidR="00490B52">
        <w:rPr>
          <w:lang w:eastAsia="ar-SA"/>
        </w:rPr>
        <w:t>ligöromål för nämndens räkning.</w:t>
      </w:r>
    </w:p>
    <w:p w:rsidR="004B728A" w:rsidRPr="004B728A" w:rsidRDefault="004B728A" w:rsidP="004B728A">
      <w:pPr>
        <w:pStyle w:val="Normaltindrag"/>
        <w:rPr>
          <w:lang w:eastAsia="ar-SA"/>
        </w:rPr>
      </w:pPr>
      <w:r w:rsidRPr="004B728A">
        <w:rPr>
          <w:lang w:eastAsia="ar-SA"/>
        </w:rPr>
        <w:t>Arvoden till nä</w:t>
      </w:r>
      <w:r w:rsidR="00C92B2C">
        <w:rPr>
          <w:lang w:eastAsia="ar-SA"/>
        </w:rPr>
        <w:t>mndens ledamöter fastställs av r</w:t>
      </w:r>
      <w:r w:rsidRPr="004B728A">
        <w:rPr>
          <w:lang w:eastAsia="ar-SA"/>
        </w:rPr>
        <w:t>iksdagsstyrelsen. Sekreterarens arvode fastställs av nämnden. Nämnden har också fattat beslut om ersättning till dem som utför kans</w:t>
      </w:r>
      <w:r w:rsidR="00490B52">
        <w:rPr>
          <w:lang w:eastAsia="ar-SA"/>
        </w:rPr>
        <w:t>ligöromål för nämndens räkning.</w:t>
      </w:r>
    </w:p>
    <w:p w:rsidR="003171B9" w:rsidRPr="003171B9" w:rsidRDefault="00490B52" w:rsidP="003171B9">
      <w:pPr>
        <w:pStyle w:val="R2"/>
        <w:rPr>
          <w:rFonts w:eastAsia="Times New Roman"/>
          <w:lang w:eastAsia="ar-SA"/>
        </w:rPr>
      </w:pPr>
      <w:r>
        <w:rPr>
          <w:rFonts w:eastAsia="Times New Roman"/>
          <w:lang w:eastAsia="ar-SA"/>
        </w:rPr>
        <w:t>3. Sammanträden</w:t>
      </w:r>
    </w:p>
    <w:p w:rsidR="003171B9" w:rsidRPr="003171B9" w:rsidRDefault="003171B9" w:rsidP="003171B9">
      <w:pPr>
        <w:rPr>
          <w:lang w:eastAsia="ar-SA"/>
        </w:rPr>
      </w:pPr>
      <w:r w:rsidRPr="003171B9">
        <w:rPr>
          <w:lang w:eastAsia="ar-SA"/>
        </w:rPr>
        <w:t>Under verksamhetsåret har nämnden sammanträtt sex gånger. Sammant</w:t>
      </w:r>
      <w:r w:rsidR="00490B52">
        <w:rPr>
          <w:lang w:eastAsia="ar-SA"/>
        </w:rPr>
        <w:t>rädena har ägt rum i Stockholm.</w:t>
      </w:r>
    </w:p>
    <w:p w:rsidR="00BD42C3" w:rsidRPr="00BD42C3" w:rsidRDefault="00BD42C3" w:rsidP="00BD42C3">
      <w:pPr>
        <w:pStyle w:val="R2"/>
        <w:rPr>
          <w:rFonts w:eastAsia="Times New Roman"/>
          <w:lang w:eastAsia="ar-SA"/>
        </w:rPr>
      </w:pPr>
      <w:r w:rsidRPr="00BD42C3">
        <w:rPr>
          <w:rFonts w:eastAsia="Times New Roman"/>
          <w:lang w:eastAsia="ar-SA"/>
        </w:rPr>
        <w:t>4. Beslut om ledamotsarvodet</w:t>
      </w:r>
    </w:p>
    <w:p w:rsidR="00BD42C3" w:rsidRPr="00BD42C3" w:rsidRDefault="00BD42C3" w:rsidP="00BD42C3">
      <w:pPr>
        <w:rPr>
          <w:lang w:eastAsia="ar-SA"/>
        </w:rPr>
      </w:pPr>
      <w:r w:rsidRPr="00BD42C3">
        <w:rPr>
          <w:lang w:eastAsia="ar-SA"/>
        </w:rPr>
        <w:t xml:space="preserve">Enligt 3 kap. 1 § ersättningslagen </w:t>
      </w:r>
      <w:r w:rsidR="00BE2490">
        <w:rPr>
          <w:lang w:eastAsia="ar-SA"/>
        </w:rPr>
        <w:t>är</w:t>
      </w:r>
      <w:r w:rsidRPr="00BD42C3">
        <w:rPr>
          <w:lang w:eastAsia="ar-SA"/>
        </w:rPr>
        <w:t xml:space="preserve"> det nämnden</w:t>
      </w:r>
      <w:r w:rsidR="00BE2490">
        <w:rPr>
          <w:lang w:eastAsia="ar-SA"/>
        </w:rPr>
        <w:t>s uppgift</w:t>
      </w:r>
      <w:r w:rsidRPr="00BD42C3">
        <w:rPr>
          <w:lang w:eastAsia="ar-SA"/>
        </w:rPr>
        <w:t xml:space="preserve"> att fastställa ett månadsarvode för ledamöter av riksdagen. Denna</w:t>
      </w:r>
      <w:r w:rsidR="00BE2490">
        <w:rPr>
          <w:lang w:eastAsia="ar-SA"/>
        </w:rPr>
        <w:t xml:space="preserve"> ordning har gällt sedan 1994 när</w:t>
      </w:r>
      <w:r w:rsidRPr="00BD42C3">
        <w:rPr>
          <w:lang w:eastAsia="ar-SA"/>
        </w:rPr>
        <w:t xml:space="preserve"> nämnden inrättades. I samband </w:t>
      </w:r>
      <w:r w:rsidR="00BE2490">
        <w:rPr>
          <w:lang w:eastAsia="ar-SA"/>
        </w:rPr>
        <w:t>med detta</w:t>
      </w:r>
      <w:r w:rsidRPr="00BD42C3">
        <w:rPr>
          <w:lang w:eastAsia="ar-SA"/>
        </w:rPr>
        <w:t xml:space="preserve"> upphörde också den tidigare ordningen med en koppling mellan ledamotsarvodet och lönerna för vissa </w:t>
      </w:r>
      <w:r w:rsidR="00BE2490">
        <w:rPr>
          <w:lang w:eastAsia="ar-SA"/>
        </w:rPr>
        <w:t>grupper av statliga tjänstemän.</w:t>
      </w:r>
    </w:p>
    <w:p w:rsidR="00BD42C3" w:rsidRPr="00BD42C3" w:rsidRDefault="00BD42C3" w:rsidP="00BD42C3">
      <w:pPr>
        <w:pStyle w:val="Normaltindrag"/>
        <w:rPr>
          <w:lang w:eastAsia="ar-SA"/>
        </w:rPr>
      </w:pPr>
      <w:r w:rsidRPr="00BD42C3">
        <w:rPr>
          <w:lang w:eastAsia="ar-SA"/>
        </w:rPr>
        <w:t>Nämndens bedömning av arvodesfrågan utgår från de överväganden som gjordes när arvodessystemet sågs över av riksdagen 1998 (förs. 1998/99:RFK3, bet. 1998/99:KU1, rskr. 1998/99:95). Då föreslogs en engångsvis höjning av arvodesnivån. I anslutning till</w:t>
      </w:r>
      <w:r w:rsidR="00BE2490">
        <w:rPr>
          <w:lang w:eastAsia="ar-SA"/>
        </w:rPr>
        <w:t xml:space="preserve"> detta</w:t>
      </w:r>
      <w:r w:rsidRPr="00BD42C3">
        <w:rPr>
          <w:lang w:eastAsia="ar-SA"/>
        </w:rPr>
        <w:t xml:space="preserve"> gjordes vissa uttalanden om nivån. Konstitut</w:t>
      </w:r>
      <w:r w:rsidR="00BE2490">
        <w:rPr>
          <w:lang w:eastAsia="ar-SA"/>
        </w:rPr>
        <w:t>ionsutskottet ställde sig då</w:t>
      </w:r>
      <w:r w:rsidRPr="00BD42C3">
        <w:rPr>
          <w:lang w:eastAsia="ar-SA"/>
        </w:rPr>
        <w:t xml:space="preserve"> bakom de skäl som förslaget byggde på. Dessa skäl tog sikte på ledamöternas ställning i det demokratiska systemet, den arbetsinsats uppdraget förutsatte och de särskilda förhållanden som gäller för uppdraget. Härtill kom att det är angeläget att kunna rekrytera personer från tillräckligt breda samhällsskikt samt att arvodet var lågt såväl vid en internationell jämförelse som vid en jämförelse med vissa förtroendevalda i</w:t>
      </w:r>
      <w:r w:rsidR="00BE2490">
        <w:rPr>
          <w:lang w:eastAsia="ar-SA"/>
        </w:rPr>
        <w:t xml:space="preserve"> större kommuner och landsting.</w:t>
      </w:r>
    </w:p>
    <w:p w:rsidR="00BD42C3" w:rsidRPr="00BD42C3" w:rsidRDefault="00BD42C3" w:rsidP="00BD42C3">
      <w:pPr>
        <w:pStyle w:val="Normaltindrag"/>
        <w:rPr>
          <w:lang w:eastAsia="ar-SA"/>
        </w:rPr>
      </w:pPr>
      <w:r w:rsidRPr="00BD42C3">
        <w:rPr>
          <w:lang w:eastAsia="ar-SA"/>
        </w:rPr>
        <w:t>När det gällde arvodesförändringar ansågs det i förslaget till riksdagen att nämnden borde beakta den allmänna löneutvecklingen på arbetsmarknaden och värdera riksdagsa</w:t>
      </w:r>
      <w:r w:rsidR="00BE2490">
        <w:rPr>
          <w:lang w:eastAsia="ar-SA"/>
        </w:rPr>
        <w:t>rvodet ur ett brett perspektiv.</w:t>
      </w:r>
    </w:p>
    <w:p w:rsidR="00BD42C3" w:rsidRPr="00BD42C3" w:rsidRDefault="00BD42C3" w:rsidP="00BD42C3">
      <w:pPr>
        <w:pStyle w:val="Normaltindrag"/>
        <w:rPr>
          <w:lang w:eastAsia="ar-SA"/>
        </w:rPr>
      </w:pPr>
      <w:r w:rsidRPr="00BD42C3">
        <w:rPr>
          <w:lang w:eastAsia="ar-SA"/>
        </w:rPr>
        <w:t xml:space="preserve">Det finns inget krav på att det ska ske en årlig förändring av arvodet. Under senare år har dock arvodet ändrats årligen genom beslut under hösten. Beslut </w:t>
      </w:r>
      <w:r w:rsidR="00BE2490">
        <w:rPr>
          <w:lang w:eastAsia="ar-SA"/>
        </w:rPr>
        <w:t>om arvodet får inte överklagas.</w:t>
      </w:r>
    </w:p>
    <w:p w:rsidR="00BD42C3" w:rsidRPr="00BD42C3" w:rsidRDefault="00BD42C3" w:rsidP="00BD42C3">
      <w:pPr>
        <w:pStyle w:val="Normaltindrag"/>
        <w:rPr>
          <w:lang w:eastAsia="ar-SA"/>
        </w:rPr>
      </w:pPr>
      <w:r w:rsidRPr="00BD42C3">
        <w:rPr>
          <w:lang w:eastAsia="ar-SA"/>
        </w:rPr>
        <w:t>Beslut i arvodesfrågan bereds genom att sekreteraren tar fram uppgifter om de avtal som slutits på arbetsmarknaden under året. Dessutom inhämtas s</w:t>
      </w:r>
      <w:r w:rsidR="00BE2490">
        <w:rPr>
          <w:lang w:eastAsia="ar-SA"/>
        </w:rPr>
        <w:t>tatistik över löneutvecklingen.</w:t>
      </w:r>
    </w:p>
    <w:p w:rsidR="00BD42C3" w:rsidRPr="00BD42C3" w:rsidRDefault="00BD42C3" w:rsidP="00BD42C3">
      <w:pPr>
        <w:pStyle w:val="Normaltindrag"/>
        <w:rPr>
          <w:lang w:eastAsia="ar-SA"/>
        </w:rPr>
      </w:pPr>
      <w:r w:rsidRPr="00BD42C3">
        <w:rPr>
          <w:lang w:eastAsia="ar-SA"/>
        </w:rPr>
        <w:t>Årets beslut om ledamotsarvodet innebar att arvodet höjdes med 1 400 kr</w:t>
      </w:r>
      <w:r w:rsidR="00BE2490">
        <w:rPr>
          <w:lang w:eastAsia="ar-SA"/>
        </w:rPr>
        <w:t>onor</w:t>
      </w:r>
      <w:r w:rsidRPr="00BD42C3">
        <w:rPr>
          <w:lang w:eastAsia="ar-SA"/>
        </w:rPr>
        <w:t xml:space="preserve"> till 63 800 kr</w:t>
      </w:r>
      <w:r w:rsidR="00BE2490">
        <w:rPr>
          <w:lang w:eastAsia="ar-SA"/>
        </w:rPr>
        <w:t>onor</w:t>
      </w:r>
      <w:r w:rsidRPr="00BD42C3">
        <w:rPr>
          <w:lang w:eastAsia="ar-SA"/>
        </w:rPr>
        <w:t xml:space="preserve"> per månad från och med den 1 november 2016, vilket motsvarar ca 2,2 procent. I de överväganden som låg till grund för beslutet beaktade nämnden de löneförändringar som ägt rum på arbetsmarknaden</w:t>
      </w:r>
      <w:r w:rsidR="00BE2490" w:rsidRPr="00BE2490">
        <w:rPr>
          <w:lang w:eastAsia="ar-SA"/>
        </w:rPr>
        <w:t xml:space="preserve"> </w:t>
      </w:r>
      <w:r w:rsidR="00BE2490" w:rsidRPr="00BD42C3">
        <w:rPr>
          <w:lang w:eastAsia="ar-SA"/>
        </w:rPr>
        <w:t>under 2016</w:t>
      </w:r>
      <w:r w:rsidR="00BE2490">
        <w:rPr>
          <w:lang w:eastAsia="ar-SA"/>
        </w:rPr>
        <w:t>.</w:t>
      </w:r>
    </w:p>
    <w:p w:rsidR="00BD42C3" w:rsidRPr="00BD42C3" w:rsidRDefault="00BD42C3" w:rsidP="00BD42C3">
      <w:pPr>
        <w:pStyle w:val="Normaltindrag"/>
        <w:rPr>
          <w:lang w:eastAsia="ar-SA"/>
        </w:rPr>
      </w:pPr>
      <w:r w:rsidRPr="00BD42C3">
        <w:rPr>
          <w:lang w:eastAsia="ar-SA"/>
        </w:rPr>
        <w:t>Ledamotsarvodet betalas från anslaget 2:1 Riksdagens ledamöter och partier m.m. inom utgiftsområde 1.</w:t>
      </w:r>
    </w:p>
    <w:p w:rsidR="00BD42C3" w:rsidRPr="00BD42C3" w:rsidRDefault="00BD42C3" w:rsidP="00BD42C3">
      <w:pPr>
        <w:pStyle w:val="Normaltindrag"/>
        <w:rPr>
          <w:lang w:eastAsia="ar-SA"/>
        </w:rPr>
      </w:pPr>
      <w:r w:rsidRPr="00BD42C3">
        <w:rPr>
          <w:lang w:eastAsia="ar-SA"/>
        </w:rPr>
        <w:t>I bilaga 1 finns en redovisning av hur ledamot</w:t>
      </w:r>
      <w:r w:rsidR="00BE2490">
        <w:rPr>
          <w:lang w:eastAsia="ar-SA"/>
        </w:rPr>
        <w:t>sarvodet utvecklats sedan 1994.</w:t>
      </w:r>
    </w:p>
    <w:p w:rsidR="001E481F" w:rsidRPr="001E481F" w:rsidRDefault="001A4638" w:rsidP="001E481F">
      <w:pPr>
        <w:pStyle w:val="R2"/>
        <w:rPr>
          <w:rFonts w:eastAsia="Times New Roman"/>
          <w:lang w:eastAsia="ar-SA"/>
        </w:rPr>
      </w:pPr>
      <w:r>
        <w:rPr>
          <w:rFonts w:eastAsia="Times New Roman"/>
          <w:lang w:eastAsia="ar-SA"/>
        </w:rPr>
        <w:t xml:space="preserve">5. </w:t>
      </w:r>
      <w:r w:rsidR="001E481F" w:rsidRPr="001E481F">
        <w:rPr>
          <w:rFonts w:eastAsia="Times New Roman"/>
          <w:lang w:eastAsia="ar-SA"/>
        </w:rPr>
        <w:t>Beslut om ekonomiska avgångsförmåner</w:t>
      </w:r>
    </w:p>
    <w:p w:rsidR="001E481F" w:rsidRPr="001E481F" w:rsidRDefault="001E481F" w:rsidP="001E481F">
      <w:pPr>
        <w:rPr>
          <w:lang w:eastAsia="ar-SA"/>
        </w:rPr>
      </w:pPr>
      <w:r w:rsidRPr="001E481F">
        <w:rPr>
          <w:lang w:eastAsia="ar-SA"/>
        </w:rPr>
        <w:t>Sedan den 1 maj 2014 är det en uppgift för nämnden att fatta beslut om ekonomiska avgångsförmåner. Avgångsförmåner i form av stödåtgärder för återgång till arbetsmarknaden fattar R</w:t>
      </w:r>
      <w:r w:rsidR="00490B52">
        <w:rPr>
          <w:lang w:eastAsia="ar-SA"/>
        </w:rPr>
        <w:t>iksdagsförvaltningen beslut om.</w:t>
      </w:r>
    </w:p>
    <w:p w:rsidR="001E481F" w:rsidRPr="001E481F" w:rsidRDefault="001E481F" w:rsidP="001E481F">
      <w:pPr>
        <w:pStyle w:val="Normaltindrag"/>
        <w:rPr>
          <w:lang w:eastAsia="ar-SA"/>
        </w:rPr>
      </w:pPr>
      <w:r w:rsidRPr="001E481F">
        <w:rPr>
          <w:lang w:eastAsia="ar-SA"/>
        </w:rPr>
        <w:t>Beslut om rätt till inkomstgaranti resp</w:t>
      </w:r>
      <w:r w:rsidR="00BE2490">
        <w:rPr>
          <w:lang w:eastAsia="ar-SA"/>
        </w:rPr>
        <w:t>ektive</w:t>
      </w:r>
      <w:r w:rsidRPr="001E481F">
        <w:rPr>
          <w:lang w:eastAsia="ar-SA"/>
        </w:rPr>
        <w:t xml:space="preserve"> ekonomiskt omställningsstöd fattas av nämnden när en ledamot lämnat riksdagen. Besluten bygger på underlag från Riksdagsförvaltningen. Ledamoten begär således inte att rätten till garanti eller stöd ska fastställas. Däremot </w:t>
      </w:r>
      <w:r w:rsidR="00BE2490">
        <w:rPr>
          <w:lang w:eastAsia="ar-SA"/>
        </w:rPr>
        <w:t>är</w:t>
      </w:r>
      <w:r w:rsidRPr="001E481F">
        <w:rPr>
          <w:lang w:eastAsia="ar-SA"/>
        </w:rPr>
        <w:t xml:space="preserve"> det </w:t>
      </w:r>
      <w:r w:rsidR="00BE2490">
        <w:rPr>
          <w:lang w:eastAsia="ar-SA"/>
        </w:rPr>
        <w:t>upp till</w:t>
      </w:r>
      <w:r w:rsidRPr="001E481F">
        <w:rPr>
          <w:lang w:eastAsia="ar-SA"/>
        </w:rPr>
        <w:t xml:space="preserve"> den som vill ha garantin eller stödet utbetalt att begära det hos Statens tjänstepensionsverk (SPV). Eftersom andra inkomster påverkar storleken på det belopp som ska betalas ut ska stödets mottagare ange vilka inkomster han eller hon beräknar att få. Dessa uppgifter ligger sedan till grund för preliminära utbetalningar. Året efter det att stödet betalats ut ska mottagaren lämna en s.k. årsuppgift till SPV och ange hur stora inkomsterna faktiskt blev under året. Därefter gör verket en avstämning mot det belopp som betalats u</w:t>
      </w:r>
      <w:r w:rsidR="00BE2490">
        <w:rPr>
          <w:lang w:eastAsia="ar-SA"/>
        </w:rPr>
        <w:t>t.</w:t>
      </w:r>
    </w:p>
    <w:p w:rsidR="001E481F" w:rsidRPr="001E481F" w:rsidRDefault="001E481F" w:rsidP="001E481F">
      <w:pPr>
        <w:pStyle w:val="Normaltindrag"/>
        <w:rPr>
          <w:lang w:eastAsia="ar-SA"/>
        </w:rPr>
      </w:pPr>
      <w:r w:rsidRPr="001E481F">
        <w:rPr>
          <w:lang w:eastAsia="ar-SA"/>
        </w:rPr>
        <w:t>Även Sveriges ledamöter i Europaparlamentet har rätt till inkomstgaranti. Det följer av de övergångsbestämmelser som meddelades i anslutning till att lagen (1996:304) om arvode m.m. till Sveriges ledamöter av Europaparlamentet upphävdes. I praktiken är bestämmelserna om inkomstgaranti bara tillämpliga på garantitagare som lämnat Europaparlamentet före sommaren 2009. Nämnden fattar alltså inte några nya beslut om dessa.</w:t>
      </w:r>
    </w:p>
    <w:p w:rsidR="001E481F" w:rsidRPr="001E481F" w:rsidRDefault="001E481F" w:rsidP="001E481F">
      <w:pPr>
        <w:pStyle w:val="Normaltindrag"/>
        <w:rPr>
          <w:lang w:eastAsia="ar-SA"/>
        </w:rPr>
      </w:pPr>
      <w:r w:rsidRPr="001E481F">
        <w:rPr>
          <w:lang w:eastAsia="ar-SA"/>
        </w:rPr>
        <w:t xml:space="preserve">Närmare information om reglerna för ekonomiska avgångsförmåner finns i ett särskilt </w:t>
      </w:r>
      <w:r w:rsidR="00BE2490">
        <w:rPr>
          <w:lang w:eastAsia="ar-SA"/>
        </w:rPr>
        <w:t>pm</w:t>
      </w:r>
      <w:r w:rsidRPr="001E481F">
        <w:rPr>
          <w:lang w:eastAsia="ar-SA"/>
        </w:rPr>
        <w:t xml:space="preserve"> som finns tillgängligt på nämndens </w:t>
      </w:r>
      <w:r w:rsidR="00BE2490">
        <w:rPr>
          <w:lang w:eastAsia="ar-SA"/>
        </w:rPr>
        <w:t>webbplats</w:t>
      </w:r>
      <w:r w:rsidRPr="001E481F">
        <w:rPr>
          <w:lang w:eastAsia="ar-SA"/>
        </w:rPr>
        <w:t>.</w:t>
      </w:r>
    </w:p>
    <w:p w:rsidR="001E481F" w:rsidRDefault="001E481F" w:rsidP="001E481F">
      <w:pPr>
        <w:pStyle w:val="Normaltindrag"/>
        <w:rPr>
          <w:lang w:eastAsia="ar-SA"/>
        </w:rPr>
      </w:pPr>
      <w:r w:rsidRPr="001E481F">
        <w:rPr>
          <w:lang w:eastAsia="ar-SA"/>
        </w:rPr>
        <w:t xml:space="preserve">Under det gångna året har nämnden fattat beslut </w:t>
      </w:r>
      <w:r w:rsidR="00BE2490">
        <w:rPr>
          <w:lang w:eastAsia="ar-SA"/>
        </w:rPr>
        <w:t>om</w:t>
      </w:r>
      <w:r w:rsidRPr="001E481F">
        <w:rPr>
          <w:lang w:eastAsia="ar-SA"/>
        </w:rPr>
        <w:t xml:space="preserve"> rätt till ekonomiska avgångsförmåner i åtta ärenden. I följande tabell anges hur många beslut som</w:t>
      </w:r>
      <w:r w:rsidR="00BE2490">
        <w:rPr>
          <w:lang w:eastAsia="ar-SA"/>
        </w:rPr>
        <w:t xml:space="preserve"> fattats i respektive kategori.</w:t>
      </w:r>
    </w:p>
    <w:p w:rsidR="00367788" w:rsidRDefault="00367788" w:rsidP="001E481F">
      <w:pPr>
        <w:pStyle w:val="Normaltindrag"/>
        <w:rPr>
          <w:lang w:eastAsia="ar-SA"/>
        </w:rPr>
      </w:pPr>
    </w:p>
    <w:tbl>
      <w:tblPr>
        <w:tblStyle w:val="Tabellrutnt2"/>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977"/>
      </w:tblGrid>
      <w:tr w:rsidR="00E2448A" w:rsidRPr="00E2448A" w:rsidTr="00E2448A">
        <w:trPr>
          <w:cantSplit/>
        </w:trPr>
        <w:tc>
          <w:tcPr>
            <w:tcW w:w="2977" w:type="dxa"/>
            <w:tcBorders>
              <w:top w:val="single" w:sz="4" w:space="0" w:color="auto"/>
              <w:bottom w:val="single" w:sz="4" w:space="0" w:color="auto"/>
            </w:tcBorders>
          </w:tcPr>
          <w:p w:rsidR="00E2448A" w:rsidRPr="00E2448A" w:rsidRDefault="00E2448A" w:rsidP="00E2448A">
            <w:pPr>
              <w:spacing w:before="60" w:line="200" w:lineRule="exact"/>
              <w:jc w:val="left"/>
              <w:rPr>
                <w:rFonts w:eastAsia="Times New Roman"/>
                <w:b/>
                <w:sz w:val="16"/>
                <w:szCs w:val="24"/>
                <w:lang w:eastAsia="sv-SE"/>
              </w:rPr>
            </w:pPr>
            <w:r w:rsidRPr="00E2448A">
              <w:rPr>
                <w:rFonts w:eastAsia="Times New Roman"/>
                <w:b/>
                <w:sz w:val="16"/>
                <w:szCs w:val="24"/>
                <w:lang w:eastAsia="sv-SE"/>
              </w:rPr>
              <w:t>Typ av beslut</w:t>
            </w:r>
          </w:p>
        </w:tc>
        <w:tc>
          <w:tcPr>
            <w:tcW w:w="2977" w:type="dxa"/>
            <w:tcBorders>
              <w:top w:val="single" w:sz="4" w:space="0" w:color="auto"/>
              <w:bottom w:val="single" w:sz="4" w:space="0" w:color="auto"/>
            </w:tcBorders>
            <w:vAlign w:val="bottom"/>
          </w:tcPr>
          <w:p w:rsidR="00E2448A" w:rsidRPr="00E2448A" w:rsidRDefault="00E2448A" w:rsidP="00E2448A">
            <w:pPr>
              <w:spacing w:before="60" w:line="200" w:lineRule="exact"/>
              <w:jc w:val="right"/>
              <w:rPr>
                <w:rFonts w:eastAsia="Times New Roman"/>
                <w:b/>
                <w:sz w:val="16"/>
                <w:szCs w:val="24"/>
                <w:lang w:eastAsia="sv-SE"/>
              </w:rPr>
            </w:pPr>
            <w:r w:rsidRPr="00E2448A">
              <w:rPr>
                <w:rFonts w:eastAsia="Times New Roman"/>
                <w:b/>
                <w:sz w:val="16"/>
                <w:szCs w:val="24"/>
                <w:lang w:eastAsia="sv-SE"/>
              </w:rPr>
              <w:t>Antal</w:t>
            </w:r>
          </w:p>
        </w:tc>
      </w:tr>
      <w:tr w:rsidR="00E2448A" w:rsidRPr="00E2448A" w:rsidTr="00E2448A">
        <w:trPr>
          <w:cantSplit/>
        </w:trPr>
        <w:tc>
          <w:tcPr>
            <w:tcW w:w="2977" w:type="dxa"/>
            <w:tcBorders>
              <w:top w:val="single" w:sz="4" w:space="0" w:color="auto"/>
            </w:tcBorders>
          </w:tcPr>
          <w:p w:rsidR="00E2448A" w:rsidRPr="00E2448A" w:rsidRDefault="00E2448A" w:rsidP="00E2448A">
            <w:pPr>
              <w:spacing w:before="60" w:line="200" w:lineRule="exact"/>
              <w:jc w:val="left"/>
              <w:rPr>
                <w:rFonts w:eastAsia="Times New Roman"/>
                <w:sz w:val="16"/>
                <w:szCs w:val="24"/>
                <w:lang w:eastAsia="sv-SE"/>
              </w:rPr>
            </w:pPr>
            <w:r w:rsidRPr="00E2448A">
              <w:rPr>
                <w:rFonts w:eastAsia="Times New Roman"/>
                <w:sz w:val="16"/>
                <w:szCs w:val="24"/>
                <w:lang w:eastAsia="sv-SE"/>
              </w:rPr>
              <w:t>1 års garanti</w:t>
            </w:r>
          </w:p>
        </w:tc>
        <w:tc>
          <w:tcPr>
            <w:tcW w:w="2977" w:type="dxa"/>
            <w:tcBorders>
              <w:top w:val="single" w:sz="4" w:space="0" w:color="auto"/>
            </w:tcBorders>
            <w:vAlign w:val="bottom"/>
          </w:tcPr>
          <w:p w:rsidR="00E2448A" w:rsidRPr="00E2448A" w:rsidRDefault="00E2448A" w:rsidP="00E2448A">
            <w:pPr>
              <w:spacing w:before="60" w:line="200" w:lineRule="exact"/>
              <w:jc w:val="right"/>
              <w:rPr>
                <w:rFonts w:eastAsia="Times New Roman"/>
                <w:sz w:val="16"/>
                <w:szCs w:val="24"/>
                <w:lang w:eastAsia="sv-SE"/>
              </w:rPr>
            </w:pPr>
            <w:r w:rsidRPr="00E2448A">
              <w:rPr>
                <w:rFonts w:eastAsia="Times New Roman"/>
                <w:sz w:val="16"/>
                <w:szCs w:val="24"/>
                <w:lang w:eastAsia="sv-SE"/>
              </w:rPr>
              <w:t>1</w:t>
            </w:r>
          </w:p>
        </w:tc>
      </w:tr>
      <w:tr w:rsidR="00E2448A" w:rsidRPr="00E2448A" w:rsidTr="00E2448A">
        <w:trPr>
          <w:cantSplit/>
        </w:trPr>
        <w:tc>
          <w:tcPr>
            <w:tcW w:w="2977" w:type="dxa"/>
          </w:tcPr>
          <w:p w:rsidR="00E2448A" w:rsidRPr="00E2448A" w:rsidRDefault="00E2448A" w:rsidP="00E2448A">
            <w:pPr>
              <w:spacing w:before="60" w:line="200" w:lineRule="exact"/>
              <w:jc w:val="left"/>
              <w:rPr>
                <w:rFonts w:eastAsia="Times New Roman"/>
                <w:sz w:val="16"/>
                <w:szCs w:val="24"/>
                <w:lang w:eastAsia="sv-SE"/>
              </w:rPr>
            </w:pPr>
            <w:r w:rsidRPr="00E2448A">
              <w:rPr>
                <w:rFonts w:eastAsia="Times New Roman"/>
                <w:sz w:val="16"/>
                <w:szCs w:val="24"/>
                <w:lang w:eastAsia="sv-SE"/>
              </w:rPr>
              <w:t>2 års garanti</w:t>
            </w:r>
          </w:p>
        </w:tc>
        <w:tc>
          <w:tcPr>
            <w:tcW w:w="2977" w:type="dxa"/>
            <w:vAlign w:val="bottom"/>
          </w:tcPr>
          <w:p w:rsidR="00E2448A" w:rsidRPr="00E2448A" w:rsidRDefault="0055240B" w:rsidP="00E2448A">
            <w:pPr>
              <w:spacing w:before="60" w:line="200" w:lineRule="exact"/>
              <w:jc w:val="right"/>
              <w:rPr>
                <w:rFonts w:eastAsia="Times New Roman"/>
                <w:sz w:val="16"/>
                <w:szCs w:val="24"/>
                <w:lang w:eastAsia="sv-SE"/>
              </w:rPr>
            </w:pPr>
            <w:r>
              <w:rPr>
                <w:rFonts w:eastAsia="Times New Roman"/>
                <w:sz w:val="16"/>
                <w:szCs w:val="24"/>
                <w:lang w:eastAsia="sv-SE"/>
              </w:rPr>
              <w:t>0</w:t>
            </w:r>
          </w:p>
        </w:tc>
      </w:tr>
      <w:tr w:rsidR="00E2448A" w:rsidRPr="00E2448A" w:rsidTr="00E2448A">
        <w:trPr>
          <w:cantSplit/>
        </w:trPr>
        <w:tc>
          <w:tcPr>
            <w:tcW w:w="2977" w:type="dxa"/>
          </w:tcPr>
          <w:p w:rsidR="00E2448A" w:rsidRPr="00E2448A" w:rsidRDefault="00E2448A" w:rsidP="00E2448A">
            <w:pPr>
              <w:spacing w:before="60" w:line="200" w:lineRule="exact"/>
              <w:jc w:val="left"/>
              <w:rPr>
                <w:rFonts w:eastAsia="Times New Roman"/>
                <w:sz w:val="16"/>
                <w:szCs w:val="24"/>
                <w:lang w:eastAsia="sv-SE"/>
              </w:rPr>
            </w:pPr>
            <w:r w:rsidRPr="00E2448A">
              <w:rPr>
                <w:rFonts w:eastAsia="Times New Roman"/>
                <w:sz w:val="16"/>
                <w:szCs w:val="24"/>
                <w:lang w:eastAsia="sv-SE"/>
              </w:rPr>
              <w:t>5 års garanti</w:t>
            </w:r>
          </w:p>
        </w:tc>
        <w:tc>
          <w:tcPr>
            <w:tcW w:w="2977" w:type="dxa"/>
            <w:vAlign w:val="bottom"/>
          </w:tcPr>
          <w:p w:rsidR="00E2448A" w:rsidRPr="00E2448A" w:rsidRDefault="0055240B" w:rsidP="00E2448A">
            <w:pPr>
              <w:spacing w:before="60" w:line="200" w:lineRule="exact"/>
              <w:jc w:val="right"/>
              <w:rPr>
                <w:rFonts w:eastAsia="Times New Roman"/>
                <w:sz w:val="16"/>
                <w:szCs w:val="24"/>
                <w:lang w:eastAsia="sv-SE"/>
              </w:rPr>
            </w:pPr>
            <w:r>
              <w:rPr>
                <w:rFonts w:eastAsia="Times New Roman"/>
                <w:sz w:val="16"/>
                <w:szCs w:val="24"/>
                <w:lang w:eastAsia="sv-SE"/>
              </w:rPr>
              <w:t>1</w:t>
            </w:r>
          </w:p>
        </w:tc>
      </w:tr>
      <w:tr w:rsidR="00E2448A" w:rsidRPr="00E2448A" w:rsidTr="00E2448A">
        <w:trPr>
          <w:cantSplit/>
        </w:trPr>
        <w:tc>
          <w:tcPr>
            <w:tcW w:w="2977" w:type="dxa"/>
          </w:tcPr>
          <w:p w:rsidR="00E2448A" w:rsidRPr="00E2448A" w:rsidRDefault="00E2448A" w:rsidP="00E2448A">
            <w:pPr>
              <w:spacing w:before="60" w:line="200" w:lineRule="exact"/>
              <w:jc w:val="left"/>
              <w:rPr>
                <w:rFonts w:eastAsia="Times New Roman"/>
                <w:sz w:val="16"/>
                <w:szCs w:val="24"/>
                <w:lang w:eastAsia="sv-SE"/>
              </w:rPr>
            </w:pPr>
            <w:r w:rsidRPr="00E2448A">
              <w:rPr>
                <w:rFonts w:eastAsia="Times New Roman"/>
                <w:sz w:val="16"/>
                <w:szCs w:val="24"/>
                <w:lang w:eastAsia="sv-SE"/>
              </w:rPr>
              <w:t>Fram till 65 års ålder</w:t>
            </w:r>
          </w:p>
        </w:tc>
        <w:tc>
          <w:tcPr>
            <w:tcW w:w="2977" w:type="dxa"/>
            <w:vAlign w:val="bottom"/>
          </w:tcPr>
          <w:p w:rsidR="00E2448A" w:rsidRPr="00E2448A" w:rsidRDefault="0055240B" w:rsidP="00E2448A">
            <w:pPr>
              <w:spacing w:before="60" w:line="200" w:lineRule="exact"/>
              <w:jc w:val="right"/>
              <w:rPr>
                <w:rFonts w:eastAsia="Times New Roman"/>
                <w:sz w:val="16"/>
                <w:szCs w:val="24"/>
                <w:lang w:eastAsia="sv-SE"/>
              </w:rPr>
            </w:pPr>
            <w:r>
              <w:rPr>
                <w:rFonts w:eastAsia="Times New Roman"/>
                <w:sz w:val="16"/>
                <w:szCs w:val="24"/>
                <w:lang w:eastAsia="sv-SE"/>
              </w:rPr>
              <w:t>2</w:t>
            </w:r>
          </w:p>
        </w:tc>
      </w:tr>
      <w:tr w:rsidR="0055240B" w:rsidRPr="00E2448A" w:rsidTr="00E2448A">
        <w:trPr>
          <w:cantSplit/>
        </w:trPr>
        <w:tc>
          <w:tcPr>
            <w:tcW w:w="2977" w:type="dxa"/>
          </w:tcPr>
          <w:p w:rsidR="0055240B" w:rsidRPr="0055240B" w:rsidRDefault="0055240B" w:rsidP="0055240B">
            <w:pPr>
              <w:spacing w:before="60" w:line="200" w:lineRule="exact"/>
              <w:jc w:val="left"/>
              <w:rPr>
                <w:rFonts w:eastAsia="Times New Roman"/>
                <w:sz w:val="16"/>
                <w:szCs w:val="24"/>
                <w:lang w:eastAsia="sv-SE"/>
              </w:rPr>
            </w:pPr>
            <w:r w:rsidRPr="00E2448A">
              <w:rPr>
                <w:rFonts w:eastAsia="Times New Roman"/>
                <w:sz w:val="16"/>
                <w:szCs w:val="24"/>
                <w:lang w:eastAsia="ar-SA"/>
              </w:rPr>
              <w:t>Förskjuten inkomstgaranti</w:t>
            </w:r>
          </w:p>
        </w:tc>
        <w:tc>
          <w:tcPr>
            <w:tcW w:w="2977" w:type="dxa"/>
            <w:vAlign w:val="bottom"/>
          </w:tcPr>
          <w:p w:rsidR="0055240B" w:rsidRDefault="0055240B" w:rsidP="00E2448A">
            <w:pPr>
              <w:spacing w:before="60" w:line="200" w:lineRule="exact"/>
              <w:jc w:val="right"/>
              <w:rPr>
                <w:rFonts w:eastAsia="Times New Roman"/>
                <w:sz w:val="16"/>
                <w:szCs w:val="24"/>
                <w:lang w:eastAsia="sv-SE"/>
              </w:rPr>
            </w:pPr>
            <w:r>
              <w:rPr>
                <w:rFonts w:eastAsia="Times New Roman"/>
                <w:sz w:val="16"/>
                <w:szCs w:val="24"/>
                <w:lang w:eastAsia="sv-SE"/>
              </w:rPr>
              <w:t>3</w:t>
            </w:r>
          </w:p>
        </w:tc>
      </w:tr>
      <w:tr w:rsidR="0055240B" w:rsidRPr="00E2448A" w:rsidTr="00E2448A">
        <w:trPr>
          <w:cantSplit/>
        </w:trPr>
        <w:tc>
          <w:tcPr>
            <w:tcW w:w="2977" w:type="dxa"/>
          </w:tcPr>
          <w:p w:rsidR="0055240B" w:rsidRPr="00E2448A" w:rsidRDefault="0055240B" w:rsidP="0055240B">
            <w:pPr>
              <w:spacing w:before="60" w:line="200" w:lineRule="exact"/>
              <w:jc w:val="left"/>
              <w:rPr>
                <w:rFonts w:eastAsia="Times New Roman"/>
                <w:sz w:val="16"/>
                <w:szCs w:val="24"/>
                <w:lang w:eastAsia="ar-SA"/>
              </w:rPr>
            </w:pPr>
            <w:r w:rsidRPr="0055240B">
              <w:rPr>
                <w:rFonts w:eastAsia="Times New Roman"/>
                <w:sz w:val="16"/>
                <w:szCs w:val="24"/>
                <w:lang w:eastAsia="ar-SA"/>
              </w:rPr>
              <w:t>Ekonomiskt omställningsstöd 3 månader</w:t>
            </w:r>
          </w:p>
        </w:tc>
        <w:tc>
          <w:tcPr>
            <w:tcW w:w="2977" w:type="dxa"/>
            <w:vAlign w:val="bottom"/>
          </w:tcPr>
          <w:p w:rsidR="0055240B" w:rsidRDefault="0055240B" w:rsidP="00E2448A">
            <w:pPr>
              <w:spacing w:before="60" w:line="200" w:lineRule="exact"/>
              <w:jc w:val="right"/>
              <w:rPr>
                <w:rFonts w:eastAsia="Times New Roman"/>
                <w:sz w:val="16"/>
                <w:szCs w:val="24"/>
                <w:lang w:eastAsia="sv-SE"/>
              </w:rPr>
            </w:pPr>
            <w:r>
              <w:rPr>
                <w:rFonts w:eastAsia="Times New Roman"/>
                <w:sz w:val="16"/>
                <w:szCs w:val="24"/>
                <w:lang w:eastAsia="sv-SE"/>
              </w:rPr>
              <w:t>1</w:t>
            </w:r>
          </w:p>
        </w:tc>
      </w:tr>
      <w:tr w:rsidR="00E2448A" w:rsidRPr="00E2448A" w:rsidTr="00E2448A">
        <w:trPr>
          <w:cantSplit/>
        </w:trPr>
        <w:tc>
          <w:tcPr>
            <w:tcW w:w="2977" w:type="dxa"/>
            <w:tcBorders>
              <w:bottom w:val="single" w:sz="4" w:space="0" w:color="auto"/>
            </w:tcBorders>
          </w:tcPr>
          <w:p w:rsidR="00E2448A" w:rsidRPr="00E2448A" w:rsidRDefault="00E2448A" w:rsidP="00E2448A">
            <w:pPr>
              <w:spacing w:before="60" w:line="200" w:lineRule="exact"/>
              <w:jc w:val="left"/>
              <w:rPr>
                <w:rFonts w:eastAsia="Times New Roman"/>
                <w:b/>
                <w:sz w:val="16"/>
                <w:szCs w:val="24"/>
                <w:lang w:eastAsia="sv-SE"/>
              </w:rPr>
            </w:pPr>
            <w:r w:rsidRPr="00E2448A">
              <w:rPr>
                <w:rFonts w:eastAsia="Times New Roman"/>
                <w:b/>
                <w:sz w:val="16"/>
                <w:szCs w:val="24"/>
                <w:lang w:eastAsia="sv-SE"/>
              </w:rPr>
              <w:t>Summa</w:t>
            </w:r>
          </w:p>
        </w:tc>
        <w:tc>
          <w:tcPr>
            <w:tcW w:w="2977" w:type="dxa"/>
            <w:tcBorders>
              <w:bottom w:val="single" w:sz="4" w:space="0" w:color="auto"/>
            </w:tcBorders>
            <w:vAlign w:val="bottom"/>
          </w:tcPr>
          <w:p w:rsidR="00E2448A" w:rsidRPr="00E2448A" w:rsidRDefault="0055240B" w:rsidP="00E2448A">
            <w:pPr>
              <w:spacing w:before="60" w:line="200" w:lineRule="exact"/>
              <w:jc w:val="right"/>
              <w:rPr>
                <w:rFonts w:eastAsia="Times New Roman"/>
                <w:b/>
                <w:sz w:val="16"/>
                <w:szCs w:val="24"/>
                <w:lang w:eastAsia="sv-SE"/>
              </w:rPr>
            </w:pPr>
            <w:r>
              <w:rPr>
                <w:rFonts w:eastAsia="Times New Roman"/>
                <w:b/>
                <w:sz w:val="16"/>
                <w:szCs w:val="24"/>
                <w:lang w:eastAsia="sv-SE"/>
              </w:rPr>
              <w:t>8</w:t>
            </w:r>
          </w:p>
        </w:tc>
      </w:tr>
    </w:tbl>
    <w:p w:rsidR="006F602C" w:rsidRPr="006F602C" w:rsidRDefault="006F602C" w:rsidP="006B5297">
      <w:pPr>
        <w:spacing w:before="120"/>
        <w:rPr>
          <w:lang w:eastAsia="ar-SA"/>
        </w:rPr>
      </w:pPr>
      <w:r w:rsidRPr="006F602C">
        <w:rPr>
          <w:lang w:eastAsia="ar-SA"/>
        </w:rPr>
        <w:t>Med förskjuten inkomstgaranti avses beslut om inkomstgaranti som gäller en ledamot som återinträtt i riksdagen och därefter på nytt lämnat uppdraget. I dessa fall fattas ett nytt beslut med utgångspunkt i de förhållanden s</w:t>
      </w:r>
      <w:r w:rsidR="00EF3B3B">
        <w:rPr>
          <w:lang w:eastAsia="ar-SA"/>
        </w:rPr>
        <w:t xml:space="preserve">om gäller vid den nya avgången. </w:t>
      </w:r>
      <w:r w:rsidRPr="006F602C">
        <w:rPr>
          <w:lang w:eastAsia="ar-SA"/>
        </w:rPr>
        <w:t>Kostnaden för ekonomiskt omställningsstöd och inkomstgaranti betalas från anslaget 2:1 Riksdagens ledamöter och partier m.m. inom utgiftsområde 1.</w:t>
      </w:r>
    </w:p>
    <w:p w:rsidR="006F602C" w:rsidRPr="006F602C" w:rsidRDefault="006F602C" w:rsidP="006F602C">
      <w:pPr>
        <w:pStyle w:val="R2"/>
        <w:rPr>
          <w:rFonts w:eastAsia="Times New Roman"/>
          <w:lang w:eastAsia="ar-SA"/>
        </w:rPr>
      </w:pPr>
      <w:r w:rsidRPr="006F602C">
        <w:rPr>
          <w:rFonts w:eastAsia="Times New Roman"/>
          <w:lang w:eastAsia="ar-SA"/>
        </w:rPr>
        <w:t xml:space="preserve">6. Tillsynsverksamheten </w:t>
      </w:r>
      <w:r w:rsidR="00EF3B3B">
        <w:rPr>
          <w:rFonts w:eastAsia="Times New Roman"/>
          <w:lang w:eastAsia="ar-SA"/>
        </w:rPr>
        <w:t>i fråga om</w:t>
      </w:r>
      <w:r w:rsidRPr="006F602C">
        <w:rPr>
          <w:rFonts w:eastAsia="Times New Roman"/>
          <w:lang w:eastAsia="ar-SA"/>
        </w:rPr>
        <w:t xml:space="preserve"> inkomstgarantier och ekonomiskt omställningsstöd</w:t>
      </w:r>
    </w:p>
    <w:p w:rsidR="006F602C" w:rsidRPr="006F602C" w:rsidRDefault="006F602C" w:rsidP="001A4638">
      <w:pPr>
        <w:pStyle w:val="R3"/>
        <w:spacing w:before="120"/>
        <w:rPr>
          <w:rFonts w:eastAsia="Times New Roman"/>
          <w:lang w:eastAsia="ar-SA"/>
        </w:rPr>
      </w:pPr>
      <w:r w:rsidRPr="006F602C">
        <w:rPr>
          <w:rFonts w:eastAsia="Times New Roman"/>
          <w:lang w:eastAsia="ar-SA"/>
        </w:rPr>
        <w:t>Gällande ordning</w:t>
      </w:r>
    </w:p>
    <w:p w:rsidR="006F602C" w:rsidRPr="006F602C" w:rsidRDefault="006F602C" w:rsidP="006F602C">
      <w:pPr>
        <w:rPr>
          <w:lang w:eastAsia="ar-SA"/>
        </w:rPr>
      </w:pPr>
      <w:r w:rsidRPr="006F602C">
        <w:rPr>
          <w:lang w:eastAsia="ar-SA"/>
        </w:rPr>
        <w:t>I 12 och 13 kap. ersättningslagen finns bestämmelser om jämkning av inkomstgaranti resp</w:t>
      </w:r>
      <w:r w:rsidR="00EF3B3B">
        <w:rPr>
          <w:lang w:eastAsia="ar-SA"/>
        </w:rPr>
        <w:t>ektive</w:t>
      </w:r>
      <w:r w:rsidRPr="006F602C">
        <w:rPr>
          <w:lang w:eastAsia="ar-SA"/>
        </w:rPr>
        <w:t xml:space="preserve"> ekonomiskt omställningsstöd. Den första jämkningsgrunden tar sikte på fall där förmånstagaren utfört förvärvsarbete i väsentlig omfattning åt någon annan utan att ta ut en skälig ersättning för det. Jämkning kan också ske i de fall förmånstagaren redovisar inkomst av aktiv näringsverksamhet och denna har reducerats på grund av avdrag för avsättning till periodiseringsfond, upphovsmannakonto, expansionsfond, eget pensionssparande eller underskott av annan verksamhetsgren. Den tredje jämkningsgrunden avser fall där förmånstagaren redovisar inkomst av passiv näringsverksamhet där det ingår arbetsinkomster. Vidare gäller som en fjärde jämkningsgrund att jämkning kan komma i fråga om förmånstagaren gjort sig skyldig till viss brottslighet. Slutligen kan jämkning aktualiseras om förmånstagaren inte har vidtagit tillräckliga åtgärder för att återgå till förvärvsarbete. Denna jämkningsgrund gäller bara i de fall där förmånstagaren har rätt till inkomstgaranti eller ekonomiskt omställningsstöd längre tid än ett år. Vid bedömningen av jämkningsfrågan ska särskilt beaktas om och hur den som tar emot den ekonomiska förmånen har tagit del av de stödåtgärder för omställning som Riksdagsförvaltningen erbjuder.</w:t>
      </w:r>
    </w:p>
    <w:p w:rsidR="006F602C" w:rsidRPr="006F602C" w:rsidRDefault="006F602C" w:rsidP="006F602C">
      <w:pPr>
        <w:pStyle w:val="R3"/>
        <w:rPr>
          <w:rFonts w:eastAsia="Times New Roman"/>
          <w:lang w:eastAsia="ar-SA"/>
        </w:rPr>
      </w:pPr>
      <w:r w:rsidRPr="006F602C">
        <w:rPr>
          <w:rFonts w:eastAsia="Times New Roman"/>
          <w:lang w:eastAsia="ar-SA"/>
        </w:rPr>
        <w:t>Huvuddragen i tillsynsverksamheten</w:t>
      </w:r>
    </w:p>
    <w:p w:rsidR="006F602C" w:rsidRPr="006F602C" w:rsidRDefault="006F602C" w:rsidP="006F602C">
      <w:pPr>
        <w:rPr>
          <w:lang w:eastAsia="ar-SA"/>
        </w:rPr>
      </w:pPr>
      <w:r w:rsidRPr="006F602C">
        <w:rPr>
          <w:lang w:eastAsia="ar-SA"/>
        </w:rPr>
        <w:t>Med utgångspunkt i de årsuppgifter som förmånstagarna lämnar till SPV gör nämnden ett urval av förmånstagare som granskas närmare. Resultatet av denna granskning läggs sedan i förekommande fall till grund för beslut om att inleda ett tillsynsärende gentemot en förmånstagare. Nämnden har delegerat till ordföranden att fatta beslut om att inleda sådana ärenden. Besluten dokumenteras i protokoll och expedieras till den berör</w:t>
      </w:r>
      <w:r w:rsidR="00F21DFD">
        <w:rPr>
          <w:lang w:eastAsia="ar-SA"/>
        </w:rPr>
        <w:t xml:space="preserve">da förmånstagaren. I samband </w:t>
      </w:r>
      <w:r w:rsidRPr="006F602C">
        <w:rPr>
          <w:lang w:eastAsia="ar-SA"/>
        </w:rPr>
        <w:t xml:space="preserve">med </w:t>
      </w:r>
      <w:r w:rsidR="00F21DFD">
        <w:rPr>
          <w:lang w:eastAsia="ar-SA"/>
        </w:rPr>
        <w:t xml:space="preserve">detta </w:t>
      </w:r>
      <w:r w:rsidRPr="006F602C">
        <w:rPr>
          <w:lang w:eastAsia="ar-SA"/>
        </w:rPr>
        <w:t>lämnas också en sk</w:t>
      </w:r>
      <w:r w:rsidR="00F21DFD">
        <w:rPr>
          <w:lang w:eastAsia="ar-SA"/>
        </w:rPr>
        <w:t>riftlig information om ärendet.</w:t>
      </w:r>
    </w:p>
    <w:p w:rsidR="006F602C" w:rsidRPr="006F602C" w:rsidRDefault="006F602C" w:rsidP="006F602C">
      <w:pPr>
        <w:pStyle w:val="Normaltindrag"/>
        <w:rPr>
          <w:lang w:eastAsia="ar-SA"/>
        </w:rPr>
      </w:pPr>
      <w:r w:rsidRPr="006F602C">
        <w:rPr>
          <w:lang w:eastAsia="ar-SA"/>
        </w:rPr>
        <w:t xml:space="preserve">Under den fortsatta beredningen av tillsynsärendet </w:t>
      </w:r>
      <w:r w:rsidR="00F21DFD">
        <w:rPr>
          <w:lang w:eastAsia="ar-SA"/>
        </w:rPr>
        <w:t xml:space="preserve">begärs </w:t>
      </w:r>
      <w:r w:rsidRPr="006F602C">
        <w:rPr>
          <w:lang w:eastAsia="ar-SA"/>
        </w:rPr>
        <w:t xml:space="preserve">uppgifter </w:t>
      </w:r>
      <w:r w:rsidR="00F21DFD">
        <w:rPr>
          <w:lang w:eastAsia="ar-SA"/>
        </w:rPr>
        <w:t xml:space="preserve">in </w:t>
      </w:r>
      <w:r w:rsidRPr="006F602C">
        <w:rPr>
          <w:lang w:eastAsia="ar-SA"/>
        </w:rPr>
        <w:t>från förmånstagaren och från Riksdagsförvaltningen. I vissa fall hörs förmånstagaren muntligen inför nämnden. Uppgifter som lämnas kan kont</w:t>
      </w:r>
      <w:r w:rsidR="00D33257">
        <w:rPr>
          <w:lang w:eastAsia="ar-SA"/>
        </w:rPr>
        <w:t>rolleras hos Skatteverket.</w:t>
      </w:r>
    </w:p>
    <w:p w:rsidR="006F602C" w:rsidRPr="006F602C" w:rsidRDefault="006F602C" w:rsidP="006F602C">
      <w:pPr>
        <w:pStyle w:val="Normaltindrag"/>
        <w:rPr>
          <w:lang w:eastAsia="ar-SA"/>
        </w:rPr>
      </w:pPr>
      <w:r w:rsidRPr="006F602C">
        <w:rPr>
          <w:lang w:eastAsia="ar-SA"/>
        </w:rPr>
        <w:t>Beslut om jämkning får överklagas t</w:t>
      </w:r>
      <w:r w:rsidR="00D33257">
        <w:rPr>
          <w:lang w:eastAsia="ar-SA"/>
        </w:rPr>
        <w:t>ill allmän förvaltningsdomstol.</w:t>
      </w:r>
    </w:p>
    <w:p w:rsidR="006F602C" w:rsidRPr="006F602C" w:rsidRDefault="006F602C" w:rsidP="006F602C">
      <w:pPr>
        <w:pStyle w:val="R3"/>
        <w:rPr>
          <w:rFonts w:eastAsia="Times New Roman"/>
          <w:lang w:eastAsia="ar-SA"/>
        </w:rPr>
      </w:pPr>
      <w:r w:rsidRPr="006F602C">
        <w:rPr>
          <w:rFonts w:eastAsia="Times New Roman"/>
          <w:lang w:eastAsia="ar-SA"/>
        </w:rPr>
        <w:t>Tillsynen under 2016</w:t>
      </w:r>
    </w:p>
    <w:p w:rsidR="006F602C" w:rsidRPr="006F602C" w:rsidRDefault="006F602C" w:rsidP="001A4638">
      <w:pPr>
        <w:rPr>
          <w:lang w:eastAsia="ar-SA"/>
        </w:rPr>
      </w:pPr>
      <w:r w:rsidRPr="006F602C">
        <w:rPr>
          <w:lang w:eastAsia="ar-SA"/>
        </w:rPr>
        <w:t xml:space="preserve">Under verksamhetsåret </w:t>
      </w:r>
      <w:r w:rsidR="00F21DFD">
        <w:rPr>
          <w:lang w:eastAsia="ar-SA"/>
        </w:rPr>
        <w:t>har</w:t>
      </w:r>
      <w:r w:rsidRPr="006F602C">
        <w:rPr>
          <w:lang w:eastAsia="ar-SA"/>
        </w:rPr>
        <w:t xml:space="preserve"> utbetalningar av inkomstgaranti som </w:t>
      </w:r>
      <w:r w:rsidR="00F21DFD">
        <w:rPr>
          <w:lang w:eastAsia="ar-SA"/>
        </w:rPr>
        <w:t>gjordes</w:t>
      </w:r>
      <w:r w:rsidRPr="006F602C">
        <w:rPr>
          <w:lang w:eastAsia="ar-SA"/>
        </w:rPr>
        <w:t xml:space="preserve"> under 2015</w:t>
      </w:r>
      <w:r w:rsidR="00F21DFD">
        <w:rPr>
          <w:lang w:eastAsia="ar-SA"/>
        </w:rPr>
        <w:t xml:space="preserve"> granskats</w:t>
      </w:r>
      <w:r w:rsidRPr="006F602C">
        <w:rPr>
          <w:lang w:eastAsia="ar-SA"/>
        </w:rPr>
        <w:t xml:space="preserve">. Tillsynsärendena består i huvudsak av två typer av ärenden. Den ena avser de äldre reglerna som syftar till att säkerställa att rätt inkomst läggs till grund för den avräkning som </w:t>
      </w:r>
      <w:r w:rsidR="00F21DFD">
        <w:rPr>
          <w:lang w:eastAsia="ar-SA"/>
        </w:rPr>
        <w:t>görs</w:t>
      </w:r>
      <w:r w:rsidRPr="006F602C">
        <w:rPr>
          <w:lang w:eastAsia="ar-SA"/>
        </w:rPr>
        <w:t xml:space="preserve"> för andra inkomster. Den andra gruppen av tillsynsärenden anknyter till den jämkningsgrund som kan tillämpas om en tidigare ledamot inte vidtar tillräckliga åtgärder för att återgå till förvärvsarbete. Den sistnämnda jämkningsgrunden infördes genom lagstiftning som trädde i kraft under våren 2014</w:t>
      </w:r>
      <w:r w:rsidR="00F21DFD">
        <w:rPr>
          <w:lang w:eastAsia="ar-SA"/>
        </w:rPr>
        <w:t>,</w:t>
      </w:r>
      <w:r w:rsidRPr="006F602C">
        <w:rPr>
          <w:lang w:eastAsia="ar-SA"/>
        </w:rPr>
        <w:t xml:space="preserve"> vilket i praktiken inneburit att den kunde tillämpas för första gången </w:t>
      </w:r>
      <w:r w:rsidR="00F21DFD">
        <w:rPr>
          <w:lang w:eastAsia="ar-SA"/>
        </w:rPr>
        <w:t xml:space="preserve">när det gäller </w:t>
      </w:r>
      <w:r w:rsidRPr="006F602C">
        <w:rPr>
          <w:lang w:eastAsia="ar-SA"/>
        </w:rPr>
        <w:t xml:space="preserve">de utbetalningar av inkomstgaranti som gjordes under 2015. Nämnden </w:t>
      </w:r>
      <w:r w:rsidR="00F21DFD">
        <w:rPr>
          <w:lang w:eastAsia="ar-SA"/>
        </w:rPr>
        <w:t>valde därför</w:t>
      </w:r>
      <w:r w:rsidRPr="006F602C">
        <w:rPr>
          <w:lang w:eastAsia="ar-SA"/>
        </w:rPr>
        <w:t xml:space="preserve"> att inleda ett förhållandevis stort antal tillsynsärenden under 2016 som alltså avser utbetalningar under 2015. Tota</w:t>
      </w:r>
      <w:r w:rsidR="00D33257">
        <w:rPr>
          <w:lang w:eastAsia="ar-SA"/>
        </w:rPr>
        <w:t>lt inleddes 49 tillsynsärenden.</w:t>
      </w:r>
    </w:p>
    <w:p w:rsidR="006F602C" w:rsidRPr="006F602C" w:rsidRDefault="006F602C" w:rsidP="001A4638">
      <w:pPr>
        <w:pStyle w:val="Normaltindrag"/>
        <w:rPr>
          <w:lang w:eastAsia="ar-SA"/>
        </w:rPr>
      </w:pPr>
      <w:r w:rsidRPr="006F602C">
        <w:rPr>
          <w:lang w:eastAsia="ar-SA"/>
        </w:rPr>
        <w:t xml:space="preserve">I den första gruppen av tillsynsärenden kan det noteras att garantitagaren i ett fall startat ett aktiebolag och tagit ut utdelning men inte lön. Förfarandet accepterades </w:t>
      </w:r>
      <w:r w:rsidR="0059793C">
        <w:rPr>
          <w:lang w:eastAsia="ar-SA"/>
        </w:rPr>
        <w:t>för</w:t>
      </w:r>
      <w:r w:rsidRPr="006F602C">
        <w:rPr>
          <w:lang w:eastAsia="ar-SA"/>
        </w:rPr>
        <w:t xml:space="preserve"> 2015</w:t>
      </w:r>
      <w:r w:rsidR="0059793C">
        <w:rPr>
          <w:lang w:eastAsia="ar-SA"/>
        </w:rPr>
        <w:t>,</w:t>
      </w:r>
      <w:r w:rsidRPr="006F602C">
        <w:rPr>
          <w:lang w:eastAsia="ar-SA"/>
        </w:rPr>
        <w:t xml:space="preserve"> men nämnden uttalade i sitt beslut att den har för avsikt att återuppta ärendet under kommande år. I de fall där garantitagaren bedrivit enskild näringsverksamhet hade den pensionsgrundande inkomsten inte </w:t>
      </w:r>
      <w:r w:rsidR="0059793C">
        <w:rPr>
          <w:lang w:eastAsia="ar-SA"/>
        </w:rPr>
        <w:t xml:space="preserve">minskats </w:t>
      </w:r>
      <w:r w:rsidRPr="006F602C">
        <w:rPr>
          <w:lang w:eastAsia="ar-SA"/>
        </w:rPr>
        <w:t xml:space="preserve">på </w:t>
      </w:r>
      <w:r w:rsidR="0059793C">
        <w:rPr>
          <w:lang w:eastAsia="ar-SA"/>
        </w:rPr>
        <w:t xml:space="preserve">ett </w:t>
      </w:r>
      <w:r w:rsidRPr="006F602C">
        <w:rPr>
          <w:lang w:eastAsia="ar-SA"/>
        </w:rPr>
        <w:t>sådant sätt som krävs för att jämkning ska kunna komma i fråga. Övriga fall har skrivits av eftersom det inte framkommit att garantitagaren utfört förvärvsarbete i väsentlig omfattning utan att t</w:t>
      </w:r>
      <w:r w:rsidR="0059793C">
        <w:rPr>
          <w:lang w:eastAsia="ar-SA"/>
        </w:rPr>
        <w:t>a ut skälig ersättning för det.</w:t>
      </w:r>
    </w:p>
    <w:p w:rsidR="006F602C" w:rsidRPr="006F602C" w:rsidRDefault="006F602C" w:rsidP="001A4638">
      <w:pPr>
        <w:pStyle w:val="Normaltindrag"/>
        <w:rPr>
          <w:lang w:eastAsia="ar-SA"/>
        </w:rPr>
      </w:pPr>
      <w:r w:rsidRPr="006F602C">
        <w:rPr>
          <w:lang w:eastAsia="ar-SA"/>
        </w:rPr>
        <w:t xml:space="preserve">När det sedan gäller den andra gruppen tillsynsärenden har det till en början kontrollerats om omställningsstödet nyttjats. De redovisningar som förmånstagaren ska lämna till Riksdagsförvaltningen när det gäller hur stödet nyttjats har granskats. De som valt att inte nyttja stödet har fått svara på frågor </w:t>
      </w:r>
      <w:r w:rsidR="0059793C">
        <w:rPr>
          <w:lang w:eastAsia="ar-SA"/>
        </w:rPr>
        <w:t>om varför stödet inte nyttjats.</w:t>
      </w:r>
    </w:p>
    <w:p w:rsidR="006F602C" w:rsidRPr="006F602C" w:rsidRDefault="006F602C" w:rsidP="001A4638">
      <w:pPr>
        <w:pStyle w:val="Normaltindrag"/>
        <w:rPr>
          <w:lang w:eastAsia="ar-SA"/>
        </w:rPr>
      </w:pPr>
      <w:r w:rsidRPr="006F602C">
        <w:rPr>
          <w:lang w:eastAsia="ar-SA"/>
        </w:rPr>
        <w:t xml:space="preserve">Årets tillsyn har sammanfattningsvis gett följande resultat. Av årets 49 tillsynsärenden har 45 avgjorts genom avskrivningsbeslut. När det gäller de ärenden där kravet på aktivitet för att hitta en försörjning stått i fokus kan det konstateras att flera tidigare ledamöter valt att starta egna företag i olika former. I några fall har den tidigare ledamoten fått en ny anställning. Några ärenden har skrivits av mot bakgrund av den tidigare ledamotens hälsotillstånd och ålder vid avgången. I ett fall hade ledamoten återinträtt i riksdagen. Sammantaget har alltså aktivitetskravet ansetts uppfyllt i de angivna fallen. I två fall har nämnden i sitt avskrivningsbeslut dock erinrat om att aktivitetskravet gäller under hela den period som garanti </w:t>
      </w:r>
      <w:r w:rsidR="0059793C">
        <w:rPr>
          <w:lang w:eastAsia="ar-SA"/>
        </w:rPr>
        <w:t>betalas ut</w:t>
      </w:r>
      <w:r w:rsidRPr="006F602C">
        <w:rPr>
          <w:lang w:eastAsia="ar-SA"/>
        </w:rPr>
        <w:t xml:space="preserve"> och att nämnden kommer att följa hur garantitagaren lever upp till</w:t>
      </w:r>
      <w:r w:rsidR="0059793C">
        <w:rPr>
          <w:lang w:eastAsia="ar-SA"/>
        </w:rPr>
        <w:t xml:space="preserve"> kravet även under kommande år.</w:t>
      </w:r>
    </w:p>
    <w:p w:rsidR="006F602C" w:rsidRPr="006F602C" w:rsidRDefault="006F602C" w:rsidP="001A4638">
      <w:pPr>
        <w:pStyle w:val="Normaltindrag"/>
        <w:rPr>
          <w:lang w:eastAsia="ar-SA"/>
        </w:rPr>
      </w:pPr>
      <w:r w:rsidRPr="006F602C">
        <w:rPr>
          <w:lang w:eastAsia="ar-SA"/>
        </w:rPr>
        <w:t>Av årets tillsynsärenden är fyra ännu inte avgjorda. I tre av fallen har garantitagaren inte utnyttjat det omställningsstöd som erbjuds men lämnats tid att avropa stödet. I det fjärde och sista fallet rör det sig om tillämpning av de äldre jämkningsreglerna</w:t>
      </w:r>
      <w:r w:rsidR="0059793C">
        <w:rPr>
          <w:lang w:eastAsia="ar-SA"/>
        </w:rPr>
        <w:t>,</w:t>
      </w:r>
      <w:r w:rsidRPr="006F602C">
        <w:rPr>
          <w:lang w:eastAsia="ar-SA"/>
        </w:rPr>
        <w:t xml:space="preserve"> och det ärendet bereds fortfarande.</w:t>
      </w:r>
    </w:p>
    <w:p w:rsidR="006F602C" w:rsidRPr="006F602C" w:rsidRDefault="006F602C" w:rsidP="001A4638">
      <w:pPr>
        <w:pStyle w:val="Normaltindrag"/>
        <w:rPr>
          <w:lang w:eastAsia="ar-SA"/>
        </w:rPr>
      </w:pPr>
      <w:r w:rsidRPr="006F602C">
        <w:rPr>
          <w:lang w:eastAsia="ar-SA"/>
        </w:rPr>
        <w:t>Under 2016 avgjordes också fem ärenden som inletts under 20</w:t>
      </w:r>
      <w:r w:rsidR="0059793C">
        <w:rPr>
          <w:lang w:eastAsia="ar-SA"/>
        </w:rPr>
        <w:t>15. Samtliga ärenden skrevs av.</w:t>
      </w:r>
    </w:p>
    <w:p w:rsidR="001A4638" w:rsidRPr="001A4638" w:rsidRDefault="001A4638" w:rsidP="001A4638">
      <w:pPr>
        <w:pStyle w:val="R2"/>
        <w:rPr>
          <w:rFonts w:eastAsia="Times New Roman"/>
          <w:lang w:eastAsia="ar-SA"/>
        </w:rPr>
      </w:pPr>
      <w:r w:rsidRPr="001A4638">
        <w:rPr>
          <w:rFonts w:eastAsia="Times New Roman"/>
          <w:lang w:eastAsia="ar-SA"/>
        </w:rPr>
        <w:t>7. Kostnader</w:t>
      </w:r>
    </w:p>
    <w:p w:rsidR="001A4638" w:rsidRDefault="001A4638" w:rsidP="001A4638">
      <w:pPr>
        <w:rPr>
          <w:lang w:eastAsia="ar-SA"/>
        </w:rPr>
      </w:pPr>
      <w:r w:rsidRPr="001A4638">
        <w:rPr>
          <w:lang w:eastAsia="ar-SA"/>
        </w:rPr>
        <w:t>Kostnaderna för nämndens verksamhet betalas från anslaget 2:2 Rik</w:t>
      </w:r>
      <w:r w:rsidR="0059793C">
        <w:rPr>
          <w:lang w:eastAsia="ar-SA"/>
        </w:rPr>
        <w:t>sdagens förvaltningsanslag inom</w:t>
      </w:r>
      <w:r w:rsidRPr="001A4638">
        <w:rPr>
          <w:lang w:eastAsia="ar-SA"/>
        </w:rPr>
        <w:t xml:space="preserve"> utgiftsområde 1. Utvecklingen av nämndens kostnader framgår av följande tabell:</w:t>
      </w:r>
    </w:p>
    <w:p w:rsidR="005C61AA" w:rsidRDefault="005C61AA" w:rsidP="00093774">
      <w:pPr>
        <w:pStyle w:val="Normaltindrag"/>
        <w:rPr>
          <w:lang w:eastAsia="ar-SA"/>
        </w:rPr>
      </w:pPr>
      <w:r>
        <w:rPr>
          <w:lang w:eastAsia="ar-SA"/>
        </w:rPr>
        <w:br w:type="page"/>
      </w:r>
    </w:p>
    <w:tbl>
      <w:tblPr>
        <w:tblStyle w:val="Tabellrutnt3"/>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324"/>
        <w:gridCol w:w="1325"/>
        <w:gridCol w:w="1325"/>
      </w:tblGrid>
      <w:tr w:rsidR="0039426E" w:rsidRPr="004B3B48" w:rsidTr="0039426E">
        <w:trPr>
          <w:trHeight w:val="170"/>
        </w:trPr>
        <w:tc>
          <w:tcPr>
            <w:tcW w:w="1980" w:type="dxa"/>
            <w:tcBorders>
              <w:top w:val="single" w:sz="4" w:space="0" w:color="auto"/>
              <w:bottom w:val="single" w:sz="4" w:space="0" w:color="auto"/>
            </w:tcBorders>
          </w:tcPr>
          <w:p w:rsidR="001A4638" w:rsidRPr="001A4638" w:rsidRDefault="0039426E" w:rsidP="004B3B48">
            <w:pPr>
              <w:spacing w:before="60" w:line="200" w:lineRule="exact"/>
              <w:jc w:val="left"/>
              <w:rPr>
                <w:rFonts w:eastAsia="Times New Roman"/>
                <w:b/>
                <w:bCs/>
                <w:sz w:val="16"/>
                <w:szCs w:val="24"/>
                <w:lang w:eastAsia="ar-SA"/>
              </w:rPr>
            </w:pPr>
            <w:r w:rsidRPr="00230442">
              <w:rPr>
                <w:rFonts w:eastAsia="Times New Roman"/>
                <w:b/>
                <w:bCs/>
                <w:sz w:val="16"/>
                <w:szCs w:val="24"/>
                <w:lang w:eastAsia="sv-SE"/>
              </w:rPr>
              <w:t>Kostnad</w:t>
            </w:r>
            <w:r w:rsidR="00CF6631">
              <w:rPr>
                <w:rFonts w:eastAsia="Times New Roman"/>
                <w:b/>
                <w:bCs/>
                <w:sz w:val="16"/>
                <w:szCs w:val="24"/>
                <w:lang w:eastAsia="sv-SE"/>
              </w:rPr>
              <w:t xml:space="preserve"> (kronor)</w:t>
            </w:r>
          </w:p>
        </w:tc>
        <w:tc>
          <w:tcPr>
            <w:tcW w:w="1324" w:type="dxa"/>
            <w:tcBorders>
              <w:top w:val="single" w:sz="4" w:space="0" w:color="auto"/>
              <w:bottom w:val="single" w:sz="4" w:space="0" w:color="auto"/>
            </w:tcBorders>
          </w:tcPr>
          <w:p w:rsidR="001A4638" w:rsidRPr="001A4638" w:rsidRDefault="001A4638" w:rsidP="004B3B48">
            <w:pPr>
              <w:spacing w:before="60" w:line="200" w:lineRule="exact"/>
              <w:jc w:val="right"/>
              <w:rPr>
                <w:rFonts w:eastAsia="Times New Roman"/>
                <w:b/>
                <w:bCs/>
                <w:sz w:val="16"/>
                <w:szCs w:val="24"/>
                <w:lang w:eastAsia="ar-SA"/>
              </w:rPr>
            </w:pPr>
            <w:r w:rsidRPr="001A4638">
              <w:rPr>
                <w:rFonts w:eastAsia="Times New Roman"/>
                <w:b/>
                <w:bCs/>
                <w:sz w:val="16"/>
                <w:szCs w:val="24"/>
                <w:lang w:eastAsia="sv-SE"/>
              </w:rPr>
              <w:t>2014</w:t>
            </w:r>
          </w:p>
        </w:tc>
        <w:tc>
          <w:tcPr>
            <w:tcW w:w="1325" w:type="dxa"/>
            <w:tcBorders>
              <w:top w:val="single" w:sz="4" w:space="0" w:color="auto"/>
              <w:bottom w:val="single" w:sz="4" w:space="0" w:color="auto"/>
            </w:tcBorders>
          </w:tcPr>
          <w:p w:rsidR="001A4638" w:rsidRPr="001A4638" w:rsidRDefault="001A4638" w:rsidP="004B3B48">
            <w:pPr>
              <w:spacing w:before="60" w:line="200" w:lineRule="exact"/>
              <w:jc w:val="right"/>
              <w:rPr>
                <w:rFonts w:eastAsia="Times New Roman"/>
                <w:b/>
                <w:bCs/>
                <w:sz w:val="16"/>
                <w:szCs w:val="24"/>
                <w:lang w:eastAsia="ar-SA"/>
              </w:rPr>
            </w:pPr>
            <w:r w:rsidRPr="001A4638">
              <w:rPr>
                <w:rFonts w:eastAsia="Times New Roman"/>
                <w:b/>
                <w:bCs/>
                <w:sz w:val="16"/>
                <w:szCs w:val="24"/>
                <w:lang w:eastAsia="sv-SE"/>
              </w:rPr>
              <w:t>2015</w:t>
            </w:r>
          </w:p>
        </w:tc>
        <w:tc>
          <w:tcPr>
            <w:tcW w:w="1325" w:type="dxa"/>
            <w:tcBorders>
              <w:top w:val="single" w:sz="4" w:space="0" w:color="auto"/>
              <w:bottom w:val="single" w:sz="4" w:space="0" w:color="auto"/>
            </w:tcBorders>
          </w:tcPr>
          <w:p w:rsidR="001A4638" w:rsidRPr="001A4638" w:rsidRDefault="001A4638" w:rsidP="004B3B48">
            <w:pPr>
              <w:spacing w:before="60" w:line="200" w:lineRule="exact"/>
              <w:jc w:val="right"/>
              <w:rPr>
                <w:rFonts w:eastAsia="Times New Roman"/>
                <w:b/>
                <w:bCs/>
                <w:sz w:val="16"/>
                <w:szCs w:val="24"/>
                <w:lang w:eastAsia="ar-SA"/>
              </w:rPr>
            </w:pPr>
            <w:r w:rsidRPr="001A4638">
              <w:rPr>
                <w:rFonts w:eastAsia="Times New Roman"/>
                <w:b/>
                <w:bCs/>
                <w:sz w:val="16"/>
                <w:szCs w:val="24"/>
                <w:lang w:eastAsia="sv-SE"/>
              </w:rPr>
              <w:t>2016</w:t>
            </w:r>
          </w:p>
        </w:tc>
      </w:tr>
      <w:tr w:rsidR="005C61AA" w:rsidRPr="001A4638" w:rsidTr="004E6AD1">
        <w:tc>
          <w:tcPr>
            <w:tcW w:w="1980" w:type="dxa"/>
            <w:tcBorders>
              <w:top w:val="single" w:sz="4" w:space="0" w:color="auto"/>
            </w:tcBorders>
          </w:tcPr>
          <w:p w:rsidR="001A4638" w:rsidRPr="001A4638" w:rsidRDefault="001A4638" w:rsidP="00230442">
            <w:pPr>
              <w:spacing w:before="60" w:line="200" w:lineRule="exact"/>
              <w:jc w:val="left"/>
              <w:rPr>
                <w:rFonts w:eastAsia="Times New Roman"/>
                <w:sz w:val="16"/>
                <w:szCs w:val="24"/>
                <w:lang w:eastAsia="ar-SA"/>
              </w:rPr>
            </w:pPr>
            <w:r w:rsidRPr="001A4638">
              <w:rPr>
                <w:rFonts w:eastAsia="Times New Roman"/>
                <w:sz w:val="16"/>
                <w:szCs w:val="24"/>
                <w:lang w:eastAsia="sv-SE"/>
              </w:rPr>
              <w:t>Ledamöter och personal</w:t>
            </w:r>
          </w:p>
        </w:tc>
        <w:tc>
          <w:tcPr>
            <w:tcW w:w="1324" w:type="dxa"/>
            <w:tcBorders>
              <w:top w:val="single" w:sz="4" w:space="0" w:color="auto"/>
            </w:tcBorders>
          </w:tcPr>
          <w:p w:rsidR="001A4638" w:rsidRPr="001A4638" w:rsidRDefault="001A4638" w:rsidP="00CF6631">
            <w:pPr>
              <w:spacing w:before="60" w:line="200" w:lineRule="exact"/>
              <w:jc w:val="right"/>
              <w:rPr>
                <w:rFonts w:eastAsia="Times New Roman"/>
                <w:sz w:val="16"/>
                <w:szCs w:val="24"/>
                <w:lang w:eastAsia="ar-SA"/>
              </w:rPr>
            </w:pPr>
            <w:r w:rsidRPr="001A4638">
              <w:rPr>
                <w:rFonts w:eastAsia="Times New Roman"/>
                <w:sz w:val="16"/>
                <w:szCs w:val="24"/>
                <w:lang w:eastAsia="sv-SE"/>
              </w:rPr>
              <w:t>305</w:t>
            </w:r>
            <w:r w:rsidR="00230442">
              <w:rPr>
                <w:rFonts w:eastAsia="Times New Roman"/>
                <w:sz w:val="16"/>
                <w:szCs w:val="24"/>
                <w:lang w:eastAsia="sv-SE"/>
              </w:rPr>
              <w:t> </w:t>
            </w:r>
            <w:r w:rsidRPr="001A4638">
              <w:rPr>
                <w:rFonts w:eastAsia="Times New Roman"/>
                <w:sz w:val="16"/>
                <w:szCs w:val="24"/>
                <w:lang w:eastAsia="sv-SE"/>
              </w:rPr>
              <w:t>021</w:t>
            </w:r>
          </w:p>
        </w:tc>
        <w:tc>
          <w:tcPr>
            <w:tcW w:w="1325" w:type="dxa"/>
            <w:tcBorders>
              <w:top w:val="single" w:sz="4" w:space="0" w:color="auto"/>
            </w:tcBorders>
          </w:tcPr>
          <w:p w:rsidR="001A4638" w:rsidRPr="001A4638" w:rsidRDefault="001A4638" w:rsidP="00230442">
            <w:pPr>
              <w:spacing w:before="60" w:line="200" w:lineRule="exact"/>
              <w:jc w:val="right"/>
              <w:rPr>
                <w:rFonts w:eastAsia="Times New Roman"/>
                <w:sz w:val="16"/>
                <w:szCs w:val="24"/>
                <w:lang w:eastAsia="ar-SA"/>
              </w:rPr>
            </w:pPr>
            <w:r w:rsidRPr="001A4638">
              <w:rPr>
                <w:rFonts w:eastAsia="Times New Roman"/>
                <w:sz w:val="16"/>
                <w:szCs w:val="24"/>
                <w:lang w:eastAsia="sv-SE"/>
              </w:rPr>
              <w:t>2</w:t>
            </w:r>
            <w:r w:rsidR="00CF6631">
              <w:rPr>
                <w:rFonts w:eastAsia="Times New Roman"/>
                <w:sz w:val="16"/>
                <w:szCs w:val="24"/>
                <w:lang w:eastAsia="sv-SE"/>
              </w:rPr>
              <w:t>62 488</w:t>
            </w:r>
          </w:p>
        </w:tc>
        <w:tc>
          <w:tcPr>
            <w:tcW w:w="1325" w:type="dxa"/>
            <w:tcBorders>
              <w:top w:val="single" w:sz="4" w:space="0" w:color="auto"/>
            </w:tcBorders>
          </w:tcPr>
          <w:p w:rsidR="001A4638" w:rsidRPr="001A4638" w:rsidRDefault="001A4638" w:rsidP="00CF6631">
            <w:pPr>
              <w:spacing w:before="60" w:line="200" w:lineRule="exact"/>
              <w:jc w:val="right"/>
              <w:rPr>
                <w:rFonts w:eastAsia="Times New Roman"/>
                <w:sz w:val="16"/>
                <w:szCs w:val="24"/>
                <w:lang w:eastAsia="ar-SA"/>
              </w:rPr>
            </w:pPr>
            <w:r w:rsidRPr="001A4638">
              <w:rPr>
                <w:rFonts w:eastAsia="Times New Roman"/>
                <w:sz w:val="16"/>
                <w:szCs w:val="24"/>
                <w:lang w:eastAsia="sv-SE"/>
              </w:rPr>
              <w:t>358 332</w:t>
            </w:r>
          </w:p>
        </w:tc>
      </w:tr>
      <w:tr w:rsidR="004E6AD1" w:rsidRPr="001A4638" w:rsidTr="004E6AD1">
        <w:tc>
          <w:tcPr>
            <w:tcW w:w="1980" w:type="dxa"/>
          </w:tcPr>
          <w:p w:rsidR="001A4638" w:rsidRPr="001A4638" w:rsidRDefault="001A4638" w:rsidP="00230442">
            <w:pPr>
              <w:spacing w:before="60" w:line="200" w:lineRule="exact"/>
              <w:jc w:val="left"/>
              <w:rPr>
                <w:rFonts w:eastAsia="Times New Roman"/>
                <w:sz w:val="16"/>
                <w:szCs w:val="24"/>
                <w:lang w:eastAsia="ar-SA"/>
              </w:rPr>
            </w:pPr>
            <w:r w:rsidRPr="001A4638">
              <w:rPr>
                <w:rFonts w:eastAsia="Times New Roman"/>
                <w:sz w:val="16"/>
                <w:szCs w:val="24"/>
                <w:lang w:eastAsia="sv-SE"/>
              </w:rPr>
              <w:t>Övrig driftskostnad</w:t>
            </w:r>
          </w:p>
        </w:tc>
        <w:tc>
          <w:tcPr>
            <w:tcW w:w="1324" w:type="dxa"/>
          </w:tcPr>
          <w:p w:rsidR="001A4638" w:rsidRPr="001A4638" w:rsidRDefault="00CF6631" w:rsidP="00230442">
            <w:pPr>
              <w:spacing w:before="60" w:line="200" w:lineRule="exact"/>
              <w:jc w:val="right"/>
              <w:rPr>
                <w:rFonts w:eastAsia="Times New Roman"/>
                <w:sz w:val="16"/>
                <w:szCs w:val="24"/>
                <w:lang w:eastAsia="ar-SA"/>
              </w:rPr>
            </w:pPr>
            <w:r>
              <w:rPr>
                <w:rFonts w:eastAsia="Times New Roman"/>
                <w:sz w:val="16"/>
                <w:szCs w:val="24"/>
                <w:lang w:eastAsia="sv-SE"/>
              </w:rPr>
              <w:t>735</w:t>
            </w:r>
          </w:p>
        </w:tc>
        <w:tc>
          <w:tcPr>
            <w:tcW w:w="1325" w:type="dxa"/>
          </w:tcPr>
          <w:p w:rsidR="001A4638" w:rsidRPr="001A4638" w:rsidRDefault="001A4638" w:rsidP="00230442">
            <w:pPr>
              <w:spacing w:before="60" w:line="200" w:lineRule="exact"/>
              <w:jc w:val="right"/>
              <w:rPr>
                <w:rFonts w:eastAsia="Times New Roman"/>
                <w:sz w:val="16"/>
                <w:szCs w:val="24"/>
                <w:lang w:eastAsia="ar-SA"/>
              </w:rPr>
            </w:pPr>
            <w:r w:rsidRPr="001A4638">
              <w:rPr>
                <w:rFonts w:eastAsia="Times New Roman"/>
                <w:sz w:val="16"/>
                <w:szCs w:val="24"/>
                <w:lang w:eastAsia="sv-SE"/>
              </w:rPr>
              <w:t>2</w:t>
            </w:r>
            <w:r w:rsidR="00230442">
              <w:rPr>
                <w:rFonts w:eastAsia="Times New Roman"/>
                <w:sz w:val="16"/>
                <w:szCs w:val="24"/>
                <w:lang w:eastAsia="sv-SE"/>
              </w:rPr>
              <w:t> </w:t>
            </w:r>
            <w:r w:rsidR="00CF6631">
              <w:rPr>
                <w:rFonts w:eastAsia="Times New Roman"/>
                <w:sz w:val="16"/>
                <w:szCs w:val="24"/>
                <w:lang w:eastAsia="sv-SE"/>
              </w:rPr>
              <w:t>279</w:t>
            </w:r>
          </w:p>
        </w:tc>
        <w:tc>
          <w:tcPr>
            <w:tcW w:w="1325" w:type="dxa"/>
          </w:tcPr>
          <w:p w:rsidR="001A4638" w:rsidRPr="001A4638" w:rsidRDefault="001A4638" w:rsidP="00230442">
            <w:pPr>
              <w:spacing w:before="60" w:line="200" w:lineRule="exact"/>
              <w:jc w:val="right"/>
              <w:rPr>
                <w:rFonts w:eastAsia="Times New Roman"/>
                <w:sz w:val="16"/>
                <w:szCs w:val="24"/>
                <w:lang w:eastAsia="sv-SE"/>
              </w:rPr>
            </w:pPr>
            <w:r w:rsidRPr="001A4638">
              <w:rPr>
                <w:rFonts w:eastAsia="Times New Roman"/>
                <w:sz w:val="16"/>
                <w:szCs w:val="24"/>
                <w:lang w:eastAsia="sv-SE"/>
              </w:rPr>
              <w:t>1</w:t>
            </w:r>
            <w:r w:rsidR="00230442">
              <w:rPr>
                <w:rFonts w:eastAsia="Times New Roman"/>
                <w:sz w:val="16"/>
                <w:szCs w:val="24"/>
                <w:lang w:eastAsia="sv-SE"/>
              </w:rPr>
              <w:t> </w:t>
            </w:r>
            <w:r w:rsidR="00CF6631">
              <w:rPr>
                <w:rFonts w:eastAsia="Times New Roman"/>
                <w:sz w:val="16"/>
                <w:szCs w:val="24"/>
                <w:lang w:eastAsia="sv-SE"/>
              </w:rPr>
              <w:t>020</w:t>
            </w:r>
          </w:p>
        </w:tc>
      </w:tr>
      <w:tr w:rsidR="004E6AD1" w:rsidRPr="001A4638" w:rsidTr="004E6AD1">
        <w:tc>
          <w:tcPr>
            <w:tcW w:w="1980" w:type="dxa"/>
            <w:tcBorders>
              <w:bottom w:val="single" w:sz="4" w:space="0" w:color="auto"/>
            </w:tcBorders>
          </w:tcPr>
          <w:p w:rsidR="001A4638" w:rsidRPr="001A4638" w:rsidRDefault="001A4638" w:rsidP="00230442">
            <w:pPr>
              <w:spacing w:before="60" w:line="200" w:lineRule="exact"/>
              <w:jc w:val="left"/>
              <w:rPr>
                <w:rFonts w:eastAsia="Times New Roman"/>
                <w:b/>
                <w:bCs/>
                <w:sz w:val="16"/>
                <w:szCs w:val="24"/>
                <w:lang w:eastAsia="sv-SE"/>
              </w:rPr>
            </w:pPr>
            <w:r w:rsidRPr="001A4638">
              <w:rPr>
                <w:rFonts w:eastAsia="Times New Roman"/>
                <w:b/>
                <w:bCs/>
                <w:sz w:val="16"/>
                <w:szCs w:val="24"/>
                <w:lang w:eastAsia="sv-SE"/>
              </w:rPr>
              <w:t>Summa</w:t>
            </w:r>
          </w:p>
        </w:tc>
        <w:tc>
          <w:tcPr>
            <w:tcW w:w="1324" w:type="dxa"/>
            <w:tcBorders>
              <w:bottom w:val="single" w:sz="4" w:space="0" w:color="auto"/>
            </w:tcBorders>
          </w:tcPr>
          <w:p w:rsidR="001A4638" w:rsidRPr="001A4638" w:rsidRDefault="001A4638" w:rsidP="00230442">
            <w:pPr>
              <w:spacing w:before="60" w:line="200" w:lineRule="exact"/>
              <w:jc w:val="right"/>
              <w:rPr>
                <w:rFonts w:eastAsia="Times New Roman"/>
                <w:b/>
                <w:bCs/>
                <w:sz w:val="16"/>
                <w:szCs w:val="24"/>
                <w:lang w:eastAsia="sv-SE"/>
              </w:rPr>
            </w:pPr>
            <w:r w:rsidRPr="001A4638">
              <w:rPr>
                <w:rFonts w:eastAsia="Times New Roman"/>
                <w:b/>
                <w:bCs/>
                <w:sz w:val="16"/>
                <w:szCs w:val="24"/>
                <w:lang w:eastAsia="sv-SE"/>
              </w:rPr>
              <w:t>305</w:t>
            </w:r>
            <w:r w:rsidR="00230442">
              <w:rPr>
                <w:rFonts w:eastAsia="Times New Roman"/>
                <w:b/>
                <w:bCs/>
                <w:sz w:val="16"/>
                <w:szCs w:val="24"/>
                <w:lang w:eastAsia="sv-SE"/>
              </w:rPr>
              <w:t> </w:t>
            </w:r>
            <w:r w:rsidR="00CF6631">
              <w:rPr>
                <w:rFonts w:eastAsia="Times New Roman"/>
                <w:b/>
                <w:bCs/>
                <w:sz w:val="16"/>
                <w:szCs w:val="24"/>
                <w:lang w:eastAsia="sv-SE"/>
              </w:rPr>
              <w:t>756</w:t>
            </w:r>
          </w:p>
        </w:tc>
        <w:tc>
          <w:tcPr>
            <w:tcW w:w="1325" w:type="dxa"/>
            <w:tcBorders>
              <w:bottom w:val="single" w:sz="4" w:space="0" w:color="auto"/>
            </w:tcBorders>
          </w:tcPr>
          <w:p w:rsidR="001A4638" w:rsidRPr="001A4638" w:rsidRDefault="001A4638" w:rsidP="00CF6631">
            <w:pPr>
              <w:spacing w:before="60" w:line="200" w:lineRule="exact"/>
              <w:jc w:val="right"/>
              <w:rPr>
                <w:rFonts w:eastAsia="Times New Roman"/>
                <w:b/>
                <w:bCs/>
                <w:sz w:val="16"/>
                <w:szCs w:val="24"/>
                <w:lang w:eastAsia="sv-SE"/>
              </w:rPr>
            </w:pPr>
            <w:r w:rsidRPr="001A4638">
              <w:rPr>
                <w:rFonts w:eastAsia="Times New Roman"/>
                <w:b/>
                <w:bCs/>
                <w:sz w:val="16"/>
                <w:szCs w:val="24"/>
                <w:lang w:eastAsia="sv-SE"/>
              </w:rPr>
              <w:t>264 767</w:t>
            </w:r>
          </w:p>
        </w:tc>
        <w:tc>
          <w:tcPr>
            <w:tcW w:w="1325" w:type="dxa"/>
            <w:tcBorders>
              <w:bottom w:val="single" w:sz="4" w:space="0" w:color="auto"/>
            </w:tcBorders>
          </w:tcPr>
          <w:p w:rsidR="001A4638" w:rsidRPr="001A4638" w:rsidRDefault="001A4638" w:rsidP="00230442">
            <w:pPr>
              <w:spacing w:before="60" w:line="200" w:lineRule="exact"/>
              <w:jc w:val="right"/>
              <w:rPr>
                <w:rFonts w:eastAsia="Times New Roman"/>
                <w:b/>
                <w:bCs/>
                <w:sz w:val="16"/>
                <w:szCs w:val="24"/>
                <w:lang w:eastAsia="sv-SE"/>
              </w:rPr>
            </w:pPr>
            <w:r w:rsidRPr="001A4638">
              <w:rPr>
                <w:rFonts w:eastAsia="Times New Roman"/>
                <w:b/>
                <w:bCs/>
                <w:sz w:val="16"/>
                <w:szCs w:val="24"/>
                <w:lang w:eastAsia="sv-SE"/>
              </w:rPr>
              <w:t>3</w:t>
            </w:r>
            <w:r w:rsidR="00CF6631">
              <w:rPr>
                <w:rFonts w:eastAsia="Times New Roman"/>
                <w:b/>
                <w:bCs/>
                <w:sz w:val="16"/>
                <w:szCs w:val="24"/>
                <w:lang w:eastAsia="sv-SE"/>
              </w:rPr>
              <w:t>59 352</w:t>
            </w:r>
          </w:p>
        </w:tc>
      </w:tr>
    </w:tbl>
    <w:p w:rsidR="001A4638" w:rsidRPr="001A4638" w:rsidRDefault="001A4638" w:rsidP="005C61AA">
      <w:pPr>
        <w:spacing w:before="120"/>
        <w:rPr>
          <w:lang w:eastAsia="ar-SA"/>
        </w:rPr>
      </w:pPr>
      <w:r w:rsidRPr="001A4638">
        <w:rPr>
          <w:lang w:eastAsia="ar-SA"/>
        </w:rPr>
        <w:t>Det finns flera anledningar till att kostnaderna</w:t>
      </w:r>
      <w:r w:rsidR="00CF6631">
        <w:rPr>
          <w:lang w:eastAsia="ar-SA"/>
        </w:rPr>
        <w:t xml:space="preserve"> för ledamöter och personal ökade</w:t>
      </w:r>
      <w:r w:rsidRPr="001A4638">
        <w:rPr>
          <w:lang w:eastAsia="ar-SA"/>
        </w:rPr>
        <w:t xml:space="preserve"> under 2016. En av dem är att kostnaden för sekreterarens arbete ökat. Detta beror dels på att arbetsmängden ökat som en följd av att antalet tillsynsärenden ökat, dels på en arvodesjustering. En annan orsak till de ökade kostnaderna är att arvodet ti</w:t>
      </w:r>
      <w:r w:rsidR="00CF6631">
        <w:rPr>
          <w:lang w:eastAsia="ar-SA"/>
        </w:rPr>
        <w:t>ll nämndens ledamöter höjts av r</w:t>
      </w:r>
      <w:r w:rsidRPr="001A4638">
        <w:rPr>
          <w:lang w:eastAsia="ar-SA"/>
        </w:rPr>
        <w:t xml:space="preserve">iksdagsstyrelsen som en följd av </w:t>
      </w:r>
      <w:r w:rsidR="00CF6631">
        <w:rPr>
          <w:lang w:eastAsia="ar-SA"/>
        </w:rPr>
        <w:t xml:space="preserve">nämndens </w:t>
      </w:r>
      <w:r w:rsidRPr="001A4638">
        <w:rPr>
          <w:lang w:eastAsia="ar-SA"/>
        </w:rPr>
        <w:t>ökade arbetsmängd.</w:t>
      </w:r>
    </w:p>
    <w:p w:rsidR="00B666FE" w:rsidRPr="00B666FE" w:rsidRDefault="00CF6631" w:rsidP="00B666FE">
      <w:pPr>
        <w:pStyle w:val="R2"/>
        <w:rPr>
          <w:rFonts w:eastAsia="Times New Roman"/>
          <w:lang w:eastAsia="ar-SA"/>
        </w:rPr>
      </w:pPr>
      <w:r>
        <w:rPr>
          <w:rFonts w:eastAsia="Times New Roman"/>
          <w:lang w:eastAsia="ar-SA"/>
        </w:rPr>
        <w:t>8. Övrigt</w:t>
      </w:r>
    </w:p>
    <w:p w:rsidR="00B666FE" w:rsidRPr="00B666FE" w:rsidRDefault="00B666FE" w:rsidP="00B666FE">
      <w:pPr>
        <w:rPr>
          <w:lang w:eastAsia="ar-SA"/>
        </w:rPr>
      </w:pPr>
      <w:r w:rsidRPr="00B666FE">
        <w:rPr>
          <w:lang w:eastAsia="ar-SA"/>
        </w:rPr>
        <w:t>Under året har nämnden besvarat en rem</w:t>
      </w:r>
      <w:r w:rsidR="00881C8B">
        <w:rPr>
          <w:lang w:eastAsia="ar-SA"/>
        </w:rPr>
        <w:t>iss från Riksdagsförvaltningen.</w:t>
      </w:r>
    </w:p>
    <w:p w:rsidR="00B666FE" w:rsidRPr="00B666FE" w:rsidRDefault="00CF6631" w:rsidP="00B666FE">
      <w:pPr>
        <w:pStyle w:val="Normaltindrag"/>
        <w:rPr>
          <w:lang w:eastAsia="ar-SA"/>
        </w:rPr>
      </w:pPr>
      <w:r>
        <w:rPr>
          <w:lang w:eastAsia="ar-SA"/>
        </w:rPr>
        <w:t xml:space="preserve">Nämnden har </w:t>
      </w:r>
      <w:r w:rsidR="00B666FE" w:rsidRPr="00B666FE">
        <w:rPr>
          <w:lang w:eastAsia="ar-SA"/>
        </w:rPr>
        <w:t xml:space="preserve">tagit </w:t>
      </w:r>
      <w:r>
        <w:rPr>
          <w:lang w:eastAsia="ar-SA"/>
        </w:rPr>
        <w:t>emot åtta brev från allmänheten.</w:t>
      </w:r>
    </w:p>
    <w:p w:rsidR="00314FC2" w:rsidRPr="00314FC2" w:rsidRDefault="00314FC2" w:rsidP="00314FC2"/>
    <w:p w:rsidR="00B747CD" w:rsidRPr="005A405F" w:rsidRDefault="00B747CD" w:rsidP="00314FC2"/>
    <w:p w:rsidR="00743812" w:rsidRPr="005A405F" w:rsidRDefault="00743812" w:rsidP="00B747CD">
      <w:pPr>
        <w:pStyle w:val="Normaltindrag"/>
        <w:sectPr w:rsidR="00743812" w:rsidRPr="005A405F" w:rsidSect="005C61AA">
          <w:headerReference w:type="even" r:id="rId14"/>
          <w:headerReference w:type="default" r:id="rId15"/>
          <w:headerReference w:type="first" r:id="rId16"/>
          <w:footerReference w:type="first" r:id="rId17"/>
          <w:pgSz w:w="9356" w:h="13721" w:code="9"/>
          <w:pgMar w:top="907" w:right="2041" w:bottom="1474" w:left="1417" w:header="397" w:footer="624" w:gutter="0"/>
          <w:cols w:space="708"/>
          <w:docGrid w:linePitch="360"/>
        </w:sectPr>
      </w:pPr>
    </w:p>
    <w:p w:rsidR="001B3535" w:rsidRPr="005A405F" w:rsidRDefault="001B3535" w:rsidP="00CB4371"/>
    <w:p w:rsidR="00743812" w:rsidRPr="008035A9" w:rsidRDefault="00743812" w:rsidP="000A7108">
      <w:pPr>
        <w:pStyle w:val="Bilaga"/>
      </w:pPr>
      <w:r w:rsidRPr="0047189C">
        <w:rPr>
          <w:rStyle w:val="Bilagerubrik"/>
        </w:rPr>
        <w:t>Bilaga</w:t>
      </w:r>
    </w:p>
    <w:p w:rsidR="005A405F" w:rsidRPr="005A405F" w:rsidRDefault="005A405F" w:rsidP="005A405F">
      <w:pPr>
        <w:suppressAutoHyphens/>
        <w:spacing w:before="0" w:line="240" w:lineRule="auto"/>
        <w:jc w:val="left"/>
        <w:rPr>
          <w:rFonts w:eastAsia="Times New Roman"/>
          <w:sz w:val="24"/>
          <w:szCs w:val="24"/>
          <w:lang w:eastAsia="ar-SA"/>
        </w:rPr>
      </w:pPr>
      <w:r w:rsidRPr="005A405F">
        <w:rPr>
          <w:rFonts w:eastAsia="Times New Roman"/>
          <w:sz w:val="24"/>
          <w:szCs w:val="24"/>
          <w:lang w:eastAsia="ar-SA"/>
        </w:rPr>
        <w:t>Utvecklingen av riksdagsledamöternas arvode</w:t>
      </w:r>
      <w:bookmarkStart w:id="0" w:name="_GoBack"/>
      <w:bookmarkEnd w:id="0"/>
    </w:p>
    <w:tbl>
      <w:tblPr>
        <w:tblStyle w:val="Tabellrutnt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8"/>
        <w:gridCol w:w="1275"/>
        <w:gridCol w:w="1701"/>
      </w:tblGrid>
      <w:tr w:rsidR="005E16AF" w:rsidRPr="005E16AF" w:rsidTr="000F102C">
        <w:trPr>
          <w:cantSplit/>
        </w:trPr>
        <w:tc>
          <w:tcPr>
            <w:tcW w:w="1560" w:type="dxa"/>
            <w:tcBorders>
              <w:top w:val="single" w:sz="4" w:space="0" w:color="auto"/>
              <w:bottom w:val="single" w:sz="4" w:space="0" w:color="auto"/>
            </w:tcBorders>
            <w:vAlign w:val="bottom"/>
          </w:tcPr>
          <w:p w:rsidR="005E16AF" w:rsidRPr="005E16AF" w:rsidRDefault="005E16AF" w:rsidP="005E16AF">
            <w:pPr>
              <w:spacing w:before="60" w:line="200" w:lineRule="exact"/>
              <w:jc w:val="left"/>
              <w:rPr>
                <w:rFonts w:eastAsia="Times New Roman"/>
                <w:b/>
                <w:sz w:val="16"/>
                <w:szCs w:val="24"/>
                <w:lang w:eastAsia="sv-SE"/>
              </w:rPr>
            </w:pPr>
            <w:r w:rsidRPr="005E16AF">
              <w:rPr>
                <w:rFonts w:eastAsia="Times New Roman"/>
                <w:b/>
                <w:sz w:val="16"/>
                <w:szCs w:val="24"/>
                <w:lang w:eastAsia="sv-SE"/>
              </w:rPr>
              <w:t>Förändring fr.o.m.</w:t>
            </w:r>
          </w:p>
        </w:tc>
        <w:tc>
          <w:tcPr>
            <w:tcW w:w="1418" w:type="dxa"/>
            <w:tcBorders>
              <w:top w:val="single" w:sz="4" w:space="0" w:color="auto"/>
              <w:bottom w:val="single" w:sz="4" w:space="0" w:color="auto"/>
            </w:tcBorders>
            <w:vAlign w:val="bottom"/>
          </w:tcPr>
          <w:p w:rsidR="005E16AF" w:rsidRPr="005E16AF" w:rsidRDefault="005E16AF" w:rsidP="005E16AF">
            <w:pPr>
              <w:spacing w:before="60" w:line="200" w:lineRule="exact"/>
              <w:jc w:val="right"/>
              <w:rPr>
                <w:rFonts w:eastAsia="Times New Roman"/>
                <w:b/>
                <w:sz w:val="16"/>
                <w:szCs w:val="24"/>
                <w:lang w:eastAsia="sv-SE"/>
              </w:rPr>
            </w:pPr>
            <w:r w:rsidRPr="005E16AF">
              <w:rPr>
                <w:rFonts w:eastAsia="Times New Roman"/>
                <w:b/>
                <w:sz w:val="16"/>
                <w:szCs w:val="24"/>
                <w:lang w:eastAsia="sv-SE"/>
              </w:rPr>
              <w:t>Arvodets storlek</w:t>
            </w:r>
          </w:p>
        </w:tc>
        <w:tc>
          <w:tcPr>
            <w:tcW w:w="1275" w:type="dxa"/>
            <w:tcBorders>
              <w:top w:val="single" w:sz="4" w:space="0" w:color="auto"/>
              <w:bottom w:val="single" w:sz="4" w:space="0" w:color="auto"/>
            </w:tcBorders>
            <w:vAlign w:val="bottom"/>
          </w:tcPr>
          <w:p w:rsidR="005E16AF" w:rsidRPr="005E16AF" w:rsidRDefault="005E16AF" w:rsidP="005E16AF">
            <w:pPr>
              <w:spacing w:before="60" w:line="200" w:lineRule="exact"/>
              <w:jc w:val="right"/>
              <w:rPr>
                <w:rFonts w:eastAsia="Times New Roman"/>
                <w:b/>
                <w:sz w:val="16"/>
                <w:szCs w:val="24"/>
                <w:lang w:eastAsia="sv-SE"/>
              </w:rPr>
            </w:pPr>
            <w:r w:rsidRPr="005E16AF">
              <w:rPr>
                <w:rFonts w:eastAsia="Times New Roman"/>
                <w:b/>
                <w:sz w:val="16"/>
                <w:szCs w:val="24"/>
                <w:lang w:eastAsia="sv-SE"/>
              </w:rPr>
              <w:t>Höjning</w:t>
            </w:r>
          </w:p>
        </w:tc>
        <w:tc>
          <w:tcPr>
            <w:tcW w:w="1701" w:type="dxa"/>
            <w:tcBorders>
              <w:top w:val="single" w:sz="4" w:space="0" w:color="auto"/>
              <w:bottom w:val="single" w:sz="4" w:space="0" w:color="auto"/>
            </w:tcBorders>
            <w:vAlign w:val="bottom"/>
          </w:tcPr>
          <w:p w:rsidR="005E16AF" w:rsidRPr="005E16AF" w:rsidRDefault="005E16AF" w:rsidP="005E16AF">
            <w:pPr>
              <w:spacing w:before="60" w:line="200" w:lineRule="exact"/>
              <w:jc w:val="right"/>
              <w:rPr>
                <w:rFonts w:eastAsia="Times New Roman"/>
                <w:b/>
                <w:sz w:val="16"/>
                <w:szCs w:val="24"/>
                <w:lang w:eastAsia="sv-SE"/>
              </w:rPr>
            </w:pPr>
            <w:r w:rsidRPr="005E16AF">
              <w:rPr>
                <w:rFonts w:eastAsia="Times New Roman"/>
                <w:b/>
                <w:sz w:val="16"/>
                <w:szCs w:val="24"/>
                <w:lang w:eastAsia="sv-SE"/>
              </w:rPr>
              <w:t>Procentuell höjning</w:t>
            </w:r>
          </w:p>
        </w:tc>
      </w:tr>
      <w:tr w:rsidR="005E16AF" w:rsidRPr="005E16AF" w:rsidTr="000F102C">
        <w:trPr>
          <w:cantSplit/>
        </w:trPr>
        <w:tc>
          <w:tcPr>
            <w:tcW w:w="1560" w:type="dxa"/>
            <w:tcBorders>
              <w:top w:val="single" w:sz="4" w:space="0" w:color="auto"/>
            </w:tcBorders>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1994-10-01</w:t>
            </w:r>
          </w:p>
        </w:tc>
        <w:tc>
          <w:tcPr>
            <w:tcW w:w="1418" w:type="dxa"/>
            <w:tcBorders>
              <w:top w:val="single" w:sz="4" w:space="0" w:color="auto"/>
            </w:tcBorders>
            <w:vAlign w:val="bottom"/>
          </w:tcPr>
          <w:p w:rsidR="005E16AF" w:rsidRPr="005E16AF" w:rsidRDefault="005E16AF" w:rsidP="006E3866">
            <w:pPr>
              <w:spacing w:before="60" w:line="200" w:lineRule="exact"/>
              <w:jc w:val="right"/>
              <w:rPr>
                <w:rFonts w:eastAsia="Times New Roman"/>
                <w:sz w:val="16"/>
                <w:szCs w:val="24"/>
                <w:lang w:eastAsia="sv-SE"/>
              </w:rPr>
            </w:pPr>
            <w:r w:rsidRPr="005E16AF">
              <w:rPr>
                <w:rFonts w:eastAsia="Times New Roman"/>
                <w:sz w:val="16"/>
                <w:szCs w:val="24"/>
                <w:lang w:eastAsia="sv-SE"/>
              </w:rPr>
              <w:t>26</w:t>
            </w:r>
            <w:r w:rsidR="006E3866">
              <w:rPr>
                <w:rFonts w:eastAsia="Times New Roman"/>
                <w:sz w:val="16"/>
                <w:szCs w:val="24"/>
                <w:lang w:eastAsia="sv-SE"/>
              </w:rPr>
              <w:t> </w:t>
            </w:r>
            <w:r w:rsidRPr="005E16AF">
              <w:rPr>
                <w:rFonts w:eastAsia="Times New Roman"/>
                <w:sz w:val="16"/>
                <w:szCs w:val="24"/>
                <w:lang w:eastAsia="sv-SE"/>
              </w:rPr>
              <w:t>500</w:t>
            </w:r>
          </w:p>
        </w:tc>
        <w:tc>
          <w:tcPr>
            <w:tcW w:w="1275" w:type="dxa"/>
            <w:tcBorders>
              <w:top w:val="single" w:sz="4" w:space="0" w:color="auto"/>
            </w:tcBorders>
            <w:vAlign w:val="bottom"/>
          </w:tcPr>
          <w:p w:rsidR="005E16AF" w:rsidRPr="005E16AF" w:rsidRDefault="005E16AF" w:rsidP="005E16AF">
            <w:pPr>
              <w:spacing w:before="60" w:line="200" w:lineRule="exact"/>
              <w:jc w:val="right"/>
              <w:rPr>
                <w:rFonts w:eastAsia="Times New Roman"/>
                <w:sz w:val="16"/>
                <w:szCs w:val="24"/>
                <w:lang w:eastAsia="sv-SE"/>
              </w:rPr>
            </w:pPr>
          </w:p>
        </w:tc>
        <w:tc>
          <w:tcPr>
            <w:tcW w:w="1701" w:type="dxa"/>
            <w:tcBorders>
              <w:top w:val="single" w:sz="4" w:space="0" w:color="auto"/>
            </w:tcBorders>
            <w:vAlign w:val="bottom"/>
          </w:tcPr>
          <w:p w:rsidR="005E16AF" w:rsidRPr="005E16AF" w:rsidRDefault="005E16AF" w:rsidP="005E16AF">
            <w:pPr>
              <w:spacing w:before="60" w:line="200" w:lineRule="exact"/>
              <w:jc w:val="right"/>
              <w:rPr>
                <w:rFonts w:eastAsia="Times New Roman"/>
                <w:sz w:val="16"/>
                <w:szCs w:val="24"/>
                <w:lang w:eastAsia="sv-SE"/>
              </w:rPr>
            </w:pP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1996-01-01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27</w:t>
            </w:r>
            <w:r w:rsidR="006E3866">
              <w:rPr>
                <w:rFonts w:eastAsia="Times New Roman"/>
                <w:sz w:val="16"/>
                <w:szCs w:val="24"/>
                <w:lang w:eastAsia="sv-SE"/>
              </w:rPr>
              <w:t> </w:t>
            </w:r>
            <w:r w:rsidRPr="005E16AF">
              <w:rPr>
                <w:rFonts w:eastAsia="Times New Roman"/>
                <w:sz w:val="16"/>
                <w:szCs w:val="24"/>
                <w:lang w:eastAsia="sv-SE"/>
              </w:rPr>
              <w:t>500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000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3,8</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1997-01-01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29</w:t>
            </w:r>
            <w:r w:rsidR="006E3866">
              <w:rPr>
                <w:rFonts w:eastAsia="Times New Roman"/>
                <w:sz w:val="16"/>
                <w:szCs w:val="24"/>
                <w:lang w:eastAsia="sv-SE"/>
              </w:rPr>
              <w:t> </w:t>
            </w:r>
            <w:r w:rsidRPr="005E16AF">
              <w:rPr>
                <w:rFonts w:eastAsia="Times New Roman"/>
                <w:sz w:val="16"/>
                <w:szCs w:val="24"/>
                <w:lang w:eastAsia="sv-SE"/>
              </w:rPr>
              <w:t>500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w:t>
            </w:r>
            <w:r w:rsidR="006E3866">
              <w:rPr>
                <w:rFonts w:eastAsia="Times New Roman"/>
                <w:sz w:val="16"/>
                <w:szCs w:val="24"/>
                <w:lang w:eastAsia="sv-SE"/>
              </w:rPr>
              <w:t> </w:t>
            </w:r>
            <w:r w:rsidRPr="005E16AF">
              <w:rPr>
                <w:rFonts w:eastAsia="Times New Roman"/>
                <w:sz w:val="16"/>
                <w:szCs w:val="24"/>
                <w:lang w:eastAsia="sv-SE"/>
              </w:rPr>
              <w:t>000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6,8</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1998-01-01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30</w:t>
            </w:r>
            <w:r w:rsidR="006E3866">
              <w:rPr>
                <w:rFonts w:eastAsia="Times New Roman"/>
                <w:sz w:val="16"/>
                <w:szCs w:val="24"/>
                <w:lang w:eastAsia="sv-SE"/>
              </w:rPr>
              <w:t> </w:t>
            </w:r>
            <w:r w:rsidRPr="005E16AF">
              <w:rPr>
                <w:rFonts w:eastAsia="Times New Roman"/>
                <w:sz w:val="16"/>
                <w:szCs w:val="24"/>
                <w:lang w:eastAsia="sv-SE"/>
              </w:rPr>
              <w:t>300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800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2,7</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1999-01-01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36</w:t>
            </w:r>
            <w:r w:rsidR="006E3866">
              <w:rPr>
                <w:rFonts w:eastAsia="Times New Roman"/>
                <w:sz w:val="16"/>
                <w:szCs w:val="24"/>
                <w:lang w:eastAsia="sv-SE"/>
              </w:rPr>
              <w:t> </w:t>
            </w:r>
            <w:r w:rsidRPr="005E16AF">
              <w:rPr>
                <w:rFonts w:eastAsia="Times New Roman"/>
                <w:sz w:val="16"/>
                <w:szCs w:val="24"/>
                <w:lang w:eastAsia="sv-SE"/>
              </w:rPr>
              <w:t>000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w:t>
            </w:r>
            <w:r w:rsidR="006E3866">
              <w:rPr>
                <w:rFonts w:eastAsia="Times New Roman"/>
                <w:sz w:val="16"/>
                <w:szCs w:val="24"/>
                <w:lang w:eastAsia="sv-SE"/>
              </w:rPr>
              <w:t> </w:t>
            </w:r>
            <w:r w:rsidRPr="005E16AF">
              <w:rPr>
                <w:rFonts w:eastAsia="Times New Roman"/>
                <w:sz w:val="16"/>
                <w:szCs w:val="24"/>
                <w:lang w:eastAsia="sv-SE"/>
              </w:rPr>
              <w:t>700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12,2</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1999-10-01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38</w:t>
            </w:r>
            <w:r w:rsidR="006E3866">
              <w:rPr>
                <w:rFonts w:eastAsia="Times New Roman"/>
                <w:sz w:val="16"/>
                <w:szCs w:val="24"/>
                <w:lang w:eastAsia="sv-SE"/>
              </w:rPr>
              <w:t> </w:t>
            </w:r>
            <w:r w:rsidRPr="005E16AF">
              <w:rPr>
                <w:rFonts w:eastAsia="Times New Roman"/>
                <w:sz w:val="16"/>
                <w:szCs w:val="24"/>
                <w:lang w:eastAsia="sv-SE"/>
              </w:rPr>
              <w:t>000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w:t>
            </w:r>
            <w:r w:rsidR="006E3866">
              <w:rPr>
                <w:rFonts w:eastAsia="Times New Roman"/>
                <w:sz w:val="16"/>
                <w:szCs w:val="24"/>
                <w:lang w:eastAsia="sv-SE"/>
              </w:rPr>
              <w:t> </w:t>
            </w:r>
            <w:r w:rsidRPr="005E16AF">
              <w:rPr>
                <w:rFonts w:eastAsia="Times New Roman"/>
                <w:sz w:val="16"/>
                <w:szCs w:val="24"/>
                <w:lang w:eastAsia="sv-SE"/>
              </w:rPr>
              <w:t>000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5,5</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2000-10-01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40</w:t>
            </w:r>
            <w:r w:rsidR="006E3866">
              <w:rPr>
                <w:rFonts w:eastAsia="Times New Roman"/>
                <w:sz w:val="16"/>
                <w:szCs w:val="24"/>
                <w:lang w:eastAsia="sv-SE"/>
              </w:rPr>
              <w:t> </w:t>
            </w:r>
            <w:r w:rsidRPr="005E16AF">
              <w:rPr>
                <w:rFonts w:eastAsia="Times New Roman"/>
                <w:sz w:val="16"/>
                <w:szCs w:val="24"/>
                <w:lang w:eastAsia="sv-SE"/>
              </w:rPr>
              <w:t>000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w:t>
            </w:r>
            <w:r w:rsidR="006E3866">
              <w:rPr>
                <w:rFonts w:eastAsia="Times New Roman"/>
                <w:sz w:val="16"/>
                <w:szCs w:val="24"/>
                <w:lang w:eastAsia="sv-SE"/>
              </w:rPr>
              <w:t> </w:t>
            </w:r>
            <w:r w:rsidRPr="005E16AF">
              <w:rPr>
                <w:rFonts w:eastAsia="Times New Roman"/>
                <w:sz w:val="16"/>
                <w:szCs w:val="24"/>
                <w:lang w:eastAsia="sv-SE"/>
              </w:rPr>
              <w:t>000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5,2</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2001-10-01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41</w:t>
            </w:r>
            <w:r w:rsidR="006E3866">
              <w:rPr>
                <w:rFonts w:eastAsia="Times New Roman"/>
                <w:sz w:val="16"/>
                <w:szCs w:val="24"/>
                <w:lang w:eastAsia="sv-SE"/>
              </w:rPr>
              <w:t> </w:t>
            </w:r>
            <w:r w:rsidRPr="005E16AF">
              <w:rPr>
                <w:rFonts w:eastAsia="Times New Roman"/>
                <w:sz w:val="16"/>
                <w:szCs w:val="24"/>
                <w:lang w:eastAsia="sv-SE"/>
              </w:rPr>
              <w:t>500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500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3,7</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2002-11-01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43</w:t>
            </w:r>
            <w:r w:rsidR="006E3866">
              <w:rPr>
                <w:rFonts w:eastAsia="Times New Roman"/>
                <w:sz w:val="16"/>
                <w:szCs w:val="24"/>
                <w:lang w:eastAsia="sv-SE"/>
              </w:rPr>
              <w:t> </w:t>
            </w:r>
            <w:r w:rsidRPr="005E16AF">
              <w:rPr>
                <w:rFonts w:eastAsia="Times New Roman"/>
                <w:sz w:val="16"/>
                <w:szCs w:val="24"/>
                <w:lang w:eastAsia="sv-SE"/>
              </w:rPr>
              <w:t>200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700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4,1</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2003-11-01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45</w:t>
            </w:r>
            <w:r w:rsidR="006E3866">
              <w:rPr>
                <w:rFonts w:eastAsia="Times New Roman"/>
                <w:sz w:val="16"/>
                <w:szCs w:val="24"/>
                <w:lang w:eastAsia="sv-SE"/>
              </w:rPr>
              <w:t> </w:t>
            </w:r>
            <w:r w:rsidRPr="005E16AF">
              <w:rPr>
                <w:rFonts w:eastAsia="Times New Roman"/>
                <w:sz w:val="16"/>
                <w:szCs w:val="24"/>
                <w:lang w:eastAsia="sv-SE"/>
              </w:rPr>
              <w:t>000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800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4,2</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2004-11-01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46 400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400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3,1</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2005-11-01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48</w:t>
            </w:r>
            <w:r w:rsidR="006E3866">
              <w:rPr>
                <w:rFonts w:eastAsia="Times New Roman"/>
                <w:sz w:val="16"/>
                <w:szCs w:val="24"/>
                <w:lang w:eastAsia="sv-SE"/>
              </w:rPr>
              <w:t> </w:t>
            </w:r>
            <w:r w:rsidRPr="005E16AF">
              <w:rPr>
                <w:rFonts w:eastAsia="Times New Roman"/>
                <w:sz w:val="16"/>
                <w:szCs w:val="24"/>
                <w:lang w:eastAsia="sv-SE"/>
              </w:rPr>
              <w:t>000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600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3,5</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2006-11-01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49</w:t>
            </w:r>
            <w:r w:rsidR="006E3866">
              <w:rPr>
                <w:rFonts w:eastAsia="Times New Roman"/>
                <w:sz w:val="16"/>
                <w:szCs w:val="24"/>
                <w:lang w:eastAsia="sv-SE"/>
              </w:rPr>
              <w:t> </w:t>
            </w:r>
            <w:r w:rsidRPr="005E16AF">
              <w:rPr>
                <w:rFonts w:eastAsia="Times New Roman"/>
                <w:sz w:val="16"/>
                <w:szCs w:val="24"/>
                <w:lang w:eastAsia="sv-SE"/>
              </w:rPr>
              <w:t>200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200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2,5</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2006-10-02</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51</w:t>
            </w:r>
            <w:r w:rsidR="006E3866">
              <w:rPr>
                <w:rFonts w:eastAsia="Times New Roman"/>
                <w:sz w:val="16"/>
                <w:szCs w:val="24"/>
                <w:lang w:eastAsia="sv-SE"/>
              </w:rPr>
              <w:t> </w:t>
            </w:r>
            <w:r w:rsidRPr="005E16AF">
              <w:rPr>
                <w:rFonts w:eastAsia="Times New Roman"/>
                <w:sz w:val="16"/>
                <w:szCs w:val="24"/>
                <w:lang w:eastAsia="sv-SE"/>
              </w:rPr>
              <w:t>200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w:t>
            </w:r>
            <w:r w:rsidR="006E3866">
              <w:rPr>
                <w:rFonts w:eastAsia="Times New Roman"/>
                <w:sz w:val="16"/>
                <w:szCs w:val="24"/>
                <w:lang w:eastAsia="sv-SE"/>
              </w:rPr>
              <w:t> </w:t>
            </w:r>
            <w:r w:rsidRPr="005E16AF">
              <w:rPr>
                <w:rFonts w:eastAsia="Times New Roman"/>
                <w:sz w:val="16"/>
                <w:szCs w:val="24"/>
                <w:lang w:eastAsia="sv-SE"/>
              </w:rPr>
              <w:t>000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4,1</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2007-11-01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52</w:t>
            </w:r>
            <w:r w:rsidR="006E3866">
              <w:rPr>
                <w:rFonts w:eastAsia="Times New Roman"/>
                <w:sz w:val="16"/>
                <w:szCs w:val="24"/>
                <w:lang w:eastAsia="sv-SE"/>
              </w:rPr>
              <w:t> </w:t>
            </w:r>
            <w:r w:rsidRPr="005E16AF">
              <w:rPr>
                <w:rFonts w:eastAsia="Times New Roman"/>
                <w:sz w:val="16"/>
                <w:szCs w:val="24"/>
                <w:lang w:eastAsia="sv-SE"/>
              </w:rPr>
              <w:t>900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700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3,2</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2008-11-01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54</w:t>
            </w:r>
            <w:r w:rsidR="006E3866">
              <w:rPr>
                <w:rFonts w:eastAsia="Times New Roman"/>
                <w:sz w:val="16"/>
                <w:szCs w:val="24"/>
                <w:lang w:eastAsia="sv-SE"/>
              </w:rPr>
              <w:t> </w:t>
            </w:r>
            <w:r w:rsidRPr="005E16AF">
              <w:rPr>
                <w:rFonts w:eastAsia="Times New Roman"/>
                <w:sz w:val="16"/>
                <w:szCs w:val="24"/>
                <w:lang w:eastAsia="sv-SE"/>
              </w:rPr>
              <w:t>500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1 600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3,0</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2009-11-01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55</w:t>
            </w:r>
            <w:r w:rsidR="006E3866">
              <w:rPr>
                <w:rFonts w:eastAsia="Times New Roman"/>
                <w:sz w:val="16"/>
                <w:szCs w:val="24"/>
                <w:lang w:eastAsia="sv-SE"/>
              </w:rPr>
              <w:t> </w:t>
            </w:r>
            <w:r w:rsidRPr="005E16AF">
              <w:rPr>
                <w:rFonts w:eastAsia="Times New Roman"/>
                <w:sz w:val="16"/>
                <w:szCs w:val="24"/>
                <w:lang w:eastAsia="sv-SE"/>
              </w:rPr>
              <w:t>000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0,9</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2010-11-01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56</w:t>
            </w:r>
            <w:r w:rsidR="006E3866">
              <w:rPr>
                <w:rFonts w:eastAsia="Times New Roman"/>
                <w:sz w:val="16"/>
                <w:szCs w:val="24"/>
                <w:lang w:eastAsia="sv-SE"/>
              </w:rPr>
              <w:t> </w:t>
            </w:r>
            <w:r w:rsidRPr="005E16AF">
              <w:rPr>
                <w:rFonts w:eastAsia="Times New Roman"/>
                <w:sz w:val="16"/>
                <w:szCs w:val="24"/>
                <w:lang w:eastAsia="sv-SE"/>
              </w:rPr>
              <w:t>000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000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1,8</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2011-11-01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57</w:t>
            </w:r>
            <w:r w:rsidR="006E3866">
              <w:rPr>
                <w:rFonts w:eastAsia="Times New Roman"/>
                <w:sz w:val="16"/>
                <w:szCs w:val="24"/>
                <w:lang w:eastAsia="sv-SE"/>
              </w:rPr>
              <w:t> </w:t>
            </w:r>
            <w:r w:rsidRPr="005E16AF">
              <w:rPr>
                <w:rFonts w:eastAsia="Times New Roman"/>
                <w:sz w:val="16"/>
                <w:szCs w:val="24"/>
                <w:lang w:eastAsia="sv-SE"/>
              </w:rPr>
              <w:t>000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000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1,8</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2012-11-01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58</w:t>
            </w:r>
            <w:r w:rsidR="006E3866">
              <w:rPr>
                <w:rFonts w:eastAsia="Times New Roman"/>
                <w:sz w:val="16"/>
                <w:szCs w:val="24"/>
                <w:lang w:eastAsia="sv-SE"/>
              </w:rPr>
              <w:t> </w:t>
            </w:r>
            <w:r w:rsidRPr="005E16AF">
              <w:rPr>
                <w:rFonts w:eastAsia="Times New Roman"/>
                <w:sz w:val="16"/>
                <w:szCs w:val="24"/>
                <w:lang w:eastAsia="sv-SE"/>
              </w:rPr>
              <w:t>300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300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2,3</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2013-11-01</w:t>
            </w:r>
          </w:p>
        </w:tc>
        <w:tc>
          <w:tcPr>
            <w:tcW w:w="1418" w:type="dxa"/>
            <w:vAlign w:val="bottom"/>
          </w:tcPr>
          <w:p w:rsidR="005E16AF" w:rsidRPr="005E16AF" w:rsidRDefault="006E3866" w:rsidP="005E16AF">
            <w:pPr>
              <w:spacing w:before="60" w:line="200" w:lineRule="exact"/>
              <w:jc w:val="right"/>
              <w:rPr>
                <w:rFonts w:eastAsia="Times New Roman"/>
                <w:sz w:val="16"/>
                <w:szCs w:val="24"/>
                <w:lang w:eastAsia="sv-SE"/>
              </w:rPr>
            </w:pPr>
            <w:r>
              <w:rPr>
                <w:rFonts w:eastAsia="Times New Roman"/>
                <w:sz w:val="16"/>
                <w:szCs w:val="24"/>
                <w:lang w:eastAsia="sv-SE"/>
              </w:rPr>
              <w:t>59 </w:t>
            </w:r>
            <w:r w:rsidR="005E16AF" w:rsidRPr="005E16AF">
              <w:rPr>
                <w:rFonts w:eastAsia="Times New Roman"/>
                <w:sz w:val="16"/>
                <w:szCs w:val="24"/>
                <w:lang w:eastAsia="sv-SE"/>
              </w:rPr>
              <w:t>800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500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2,6</w:t>
            </w:r>
          </w:p>
        </w:tc>
      </w:tr>
      <w:tr w:rsidR="005E16AF" w:rsidRPr="005E16AF" w:rsidTr="000F102C">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2014-11-01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61</w:t>
            </w:r>
            <w:r w:rsidR="006E3866">
              <w:rPr>
                <w:rFonts w:eastAsia="Times New Roman"/>
                <w:sz w:val="16"/>
                <w:szCs w:val="24"/>
                <w:lang w:eastAsia="sv-SE"/>
              </w:rPr>
              <w:t> </w:t>
            </w:r>
            <w:r w:rsidRPr="005E16AF">
              <w:rPr>
                <w:rFonts w:eastAsia="Times New Roman"/>
                <w:sz w:val="16"/>
                <w:szCs w:val="24"/>
                <w:lang w:eastAsia="sv-SE"/>
              </w:rPr>
              <w:t>000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200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2,0</w:t>
            </w:r>
          </w:p>
        </w:tc>
      </w:tr>
      <w:tr w:rsidR="005E16AF" w:rsidRPr="005E16AF" w:rsidTr="005E16AF">
        <w:trPr>
          <w:cantSplit/>
        </w:trPr>
        <w:tc>
          <w:tcPr>
            <w:tcW w:w="1560" w:type="dxa"/>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2015-11-01</w:t>
            </w:r>
          </w:p>
        </w:tc>
        <w:tc>
          <w:tcPr>
            <w:tcW w:w="1418"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62</w:t>
            </w:r>
            <w:r w:rsidR="006E3866">
              <w:rPr>
                <w:rFonts w:eastAsia="Times New Roman"/>
                <w:sz w:val="16"/>
                <w:szCs w:val="24"/>
                <w:lang w:eastAsia="sv-SE"/>
              </w:rPr>
              <w:t> </w:t>
            </w:r>
            <w:r w:rsidRPr="005E16AF">
              <w:rPr>
                <w:rFonts w:eastAsia="Times New Roman"/>
                <w:sz w:val="16"/>
                <w:szCs w:val="24"/>
                <w:lang w:eastAsia="sv-SE"/>
              </w:rPr>
              <w:t>400</w:t>
            </w:r>
          </w:p>
        </w:tc>
        <w:tc>
          <w:tcPr>
            <w:tcW w:w="1275"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400</w:t>
            </w:r>
          </w:p>
        </w:tc>
        <w:tc>
          <w:tcPr>
            <w:tcW w:w="1701" w:type="dxa"/>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2,3</w:t>
            </w:r>
          </w:p>
        </w:tc>
      </w:tr>
      <w:tr w:rsidR="005E16AF" w:rsidRPr="005E16AF" w:rsidTr="000F102C">
        <w:trPr>
          <w:cantSplit/>
        </w:trPr>
        <w:tc>
          <w:tcPr>
            <w:tcW w:w="1560" w:type="dxa"/>
            <w:tcBorders>
              <w:bottom w:val="single" w:sz="4" w:space="0" w:color="auto"/>
            </w:tcBorders>
            <w:vAlign w:val="bottom"/>
          </w:tcPr>
          <w:p w:rsidR="005E16AF" w:rsidRPr="005E16AF" w:rsidRDefault="005E16AF" w:rsidP="005E16AF">
            <w:pPr>
              <w:spacing w:before="60" w:line="200" w:lineRule="exact"/>
              <w:jc w:val="left"/>
              <w:rPr>
                <w:rFonts w:eastAsia="Times New Roman"/>
                <w:sz w:val="16"/>
                <w:szCs w:val="24"/>
                <w:lang w:eastAsia="sv-SE"/>
              </w:rPr>
            </w:pPr>
            <w:r w:rsidRPr="005E16AF">
              <w:rPr>
                <w:rFonts w:eastAsia="Times New Roman"/>
                <w:sz w:val="16"/>
                <w:szCs w:val="24"/>
                <w:lang w:eastAsia="sv-SE"/>
              </w:rPr>
              <w:t>201</w:t>
            </w:r>
            <w:r>
              <w:rPr>
                <w:rFonts w:eastAsia="Times New Roman"/>
                <w:sz w:val="16"/>
                <w:szCs w:val="24"/>
                <w:lang w:eastAsia="sv-SE"/>
              </w:rPr>
              <w:t>6</w:t>
            </w:r>
            <w:r w:rsidRPr="005E16AF">
              <w:rPr>
                <w:rFonts w:eastAsia="Times New Roman"/>
                <w:sz w:val="16"/>
                <w:szCs w:val="24"/>
                <w:lang w:eastAsia="sv-SE"/>
              </w:rPr>
              <w:t>-11-01</w:t>
            </w:r>
          </w:p>
        </w:tc>
        <w:tc>
          <w:tcPr>
            <w:tcW w:w="1418" w:type="dxa"/>
            <w:tcBorders>
              <w:bottom w:val="single" w:sz="4" w:space="0" w:color="auto"/>
            </w:tcBorders>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6</w:t>
            </w:r>
            <w:r>
              <w:rPr>
                <w:rFonts w:eastAsia="Times New Roman"/>
                <w:sz w:val="16"/>
                <w:szCs w:val="24"/>
                <w:lang w:eastAsia="sv-SE"/>
              </w:rPr>
              <w:t>3</w:t>
            </w:r>
            <w:r w:rsidR="006E3866">
              <w:rPr>
                <w:rFonts w:eastAsia="Times New Roman"/>
                <w:sz w:val="16"/>
                <w:szCs w:val="24"/>
                <w:lang w:eastAsia="sv-SE"/>
              </w:rPr>
              <w:t> </w:t>
            </w:r>
            <w:r>
              <w:rPr>
                <w:rFonts w:eastAsia="Times New Roman"/>
                <w:sz w:val="16"/>
                <w:szCs w:val="24"/>
                <w:lang w:eastAsia="sv-SE"/>
              </w:rPr>
              <w:t>8</w:t>
            </w:r>
            <w:r w:rsidRPr="005E16AF">
              <w:rPr>
                <w:rFonts w:eastAsia="Times New Roman"/>
                <w:sz w:val="16"/>
                <w:szCs w:val="24"/>
                <w:lang w:eastAsia="sv-SE"/>
              </w:rPr>
              <w:t>00</w:t>
            </w:r>
          </w:p>
        </w:tc>
        <w:tc>
          <w:tcPr>
            <w:tcW w:w="1275" w:type="dxa"/>
            <w:tcBorders>
              <w:bottom w:val="single" w:sz="4" w:space="0" w:color="auto"/>
            </w:tcBorders>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1</w:t>
            </w:r>
            <w:r w:rsidR="006E3866">
              <w:rPr>
                <w:rFonts w:eastAsia="Times New Roman"/>
                <w:sz w:val="16"/>
                <w:szCs w:val="24"/>
                <w:lang w:eastAsia="sv-SE"/>
              </w:rPr>
              <w:t> </w:t>
            </w:r>
            <w:r w:rsidRPr="005E16AF">
              <w:rPr>
                <w:rFonts w:eastAsia="Times New Roman"/>
                <w:sz w:val="16"/>
                <w:szCs w:val="24"/>
                <w:lang w:eastAsia="sv-SE"/>
              </w:rPr>
              <w:t>400</w:t>
            </w:r>
          </w:p>
        </w:tc>
        <w:tc>
          <w:tcPr>
            <w:tcW w:w="1701" w:type="dxa"/>
            <w:tcBorders>
              <w:bottom w:val="single" w:sz="4" w:space="0" w:color="auto"/>
            </w:tcBorders>
            <w:vAlign w:val="bottom"/>
          </w:tcPr>
          <w:p w:rsidR="005E16AF" w:rsidRPr="005E16AF" w:rsidRDefault="005E16AF" w:rsidP="005E16AF">
            <w:pPr>
              <w:spacing w:before="60" w:line="200" w:lineRule="exact"/>
              <w:jc w:val="right"/>
              <w:rPr>
                <w:rFonts w:eastAsia="Times New Roman"/>
                <w:sz w:val="16"/>
                <w:szCs w:val="24"/>
                <w:lang w:eastAsia="sv-SE"/>
              </w:rPr>
            </w:pPr>
            <w:r w:rsidRPr="005E16AF">
              <w:rPr>
                <w:rFonts w:eastAsia="Times New Roman"/>
                <w:sz w:val="16"/>
                <w:szCs w:val="24"/>
                <w:lang w:eastAsia="sv-SE"/>
              </w:rPr>
              <w:t>2,</w:t>
            </w:r>
            <w:r>
              <w:rPr>
                <w:rFonts w:eastAsia="Times New Roman"/>
                <w:sz w:val="16"/>
                <w:szCs w:val="24"/>
                <w:lang w:eastAsia="sv-SE"/>
              </w:rPr>
              <w:t>2</w:t>
            </w:r>
          </w:p>
        </w:tc>
      </w:tr>
    </w:tbl>
    <w:p w:rsidR="00912CBB" w:rsidRPr="00912CBB" w:rsidRDefault="00912CBB" w:rsidP="00912CBB">
      <w:pPr>
        <w:spacing w:before="120"/>
        <w:rPr>
          <w:lang w:eastAsia="ar-SA"/>
        </w:rPr>
      </w:pPr>
      <w:r w:rsidRPr="00912CBB">
        <w:rPr>
          <w:lang w:eastAsia="ar-SA"/>
        </w:rPr>
        <w:t xml:space="preserve">Innan Riksdagens arvodesnämnd inrättades den 1 januari 1994 beslutade riksdagen själv om nivån på de ersättningar som skulle </w:t>
      </w:r>
      <w:r w:rsidR="00D33257">
        <w:rPr>
          <w:lang w:eastAsia="ar-SA"/>
        </w:rPr>
        <w:t xml:space="preserve">betalas </w:t>
      </w:r>
      <w:r w:rsidRPr="00912CBB">
        <w:rPr>
          <w:lang w:eastAsia="ar-SA"/>
        </w:rPr>
        <w:t>ut</w:t>
      </w:r>
      <w:r w:rsidR="00D33257">
        <w:rPr>
          <w:lang w:eastAsia="ar-SA"/>
        </w:rPr>
        <w:t xml:space="preserve"> till riksdagens ledamöter.</w:t>
      </w:r>
    </w:p>
    <w:p w:rsidR="00912CBB" w:rsidRPr="00912CBB" w:rsidRDefault="00912CBB" w:rsidP="00912CBB">
      <w:pPr>
        <w:pStyle w:val="Normaltindrag"/>
        <w:rPr>
          <w:lang w:eastAsia="ar-SA"/>
        </w:rPr>
      </w:pPr>
      <w:r w:rsidRPr="00912CBB">
        <w:rPr>
          <w:lang w:eastAsia="ar-SA"/>
        </w:rPr>
        <w:t>Beslutet om höjningen per den 1 januari 1999 fattades av riksdagen i samband med en översyn av riksdagsledamöternas arvodering. Av höjningen utgjorde 2 000 kr</w:t>
      </w:r>
      <w:r w:rsidR="00D33257">
        <w:rPr>
          <w:lang w:eastAsia="ar-SA"/>
        </w:rPr>
        <w:t>onor</w:t>
      </w:r>
      <w:r w:rsidRPr="00912CBB">
        <w:rPr>
          <w:lang w:eastAsia="ar-SA"/>
        </w:rPr>
        <w:t xml:space="preserve"> en växling från </w:t>
      </w:r>
      <w:r w:rsidR="00D33257">
        <w:rPr>
          <w:lang w:eastAsia="ar-SA"/>
        </w:rPr>
        <w:t>kostnadsersättning till arvode.</w:t>
      </w:r>
    </w:p>
    <w:p w:rsidR="00912CBB" w:rsidRPr="00912CBB" w:rsidRDefault="00912CBB" w:rsidP="00912CBB">
      <w:pPr>
        <w:pStyle w:val="Normaltindrag"/>
        <w:rPr>
          <w:lang w:eastAsia="ar-SA"/>
        </w:rPr>
      </w:pPr>
      <w:r w:rsidRPr="00912CBB">
        <w:rPr>
          <w:lang w:eastAsia="ar-SA"/>
        </w:rPr>
        <w:t>Beslutet om en höjning per den 2 oktober 2006 fattades under våren 2007 med retroaktiv verkan. Det motiverades av att den skattepliktiga ersättningen om 3 771 kr</w:t>
      </w:r>
      <w:r w:rsidR="00D33257">
        <w:rPr>
          <w:lang w:eastAsia="ar-SA"/>
        </w:rPr>
        <w:t>onor och</w:t>
      </w:r>
      <w:r w:rsidRPr="00912CBB">
        <w:rPr>
          <w:lang w:eastAsia="ar-SA"/>
        </w:rPr>
        <w:t xml:space="preserve"> 50 öre som utgått till riksdagens ledamöter a</w:t>
      </w:r>
      <w:r w:rsidR="00D33257">
        <w:rPr>
          <w:lang w:eastAsia="ar-SA"/>
        </w:rPr>
        <w:t>vskaffades fr.o.m. samma datum.</w:t>
      </w:r>
    </w:p>
    <w:p w:rsidR="00B864B5" w:rsidRDefault="00695BE4" w:rsidP="00D33257">
      <w:pPr>
        <w:pStyle w:val="Normaltindrag"/>
      </w:pP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3240405</wp:posOffset>
                </wp:positionH>
                <wp:positionV relativeFrom="page">
                  <wp:posOffset>8203565</wp:posOffset>
                </wp:positionV>
                <wp:extent cx="1799590" cy="179705"/>
                <wp:effectExtent l="0" t="0" r="10160" b="10795"/>
                <wp:wrapNone/>
                <wp:docPr id="4"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95BE4" w:rsidRDefault="00695BE4" w:rsidP="00695BE4">
                            <w:pPr>
                              <w:pStyle w:val="Fotnotstext"/>
                              <w:jc w:val="righ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255.15pt;margin-top:645.95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" filled="f" stroked="f" strokeweight=".5pt">
                <v:fill o:detectmouseclick="t"/>
                <v:textbox inset="0,0,0,0">
                  <w:txbxContent>
                    <w:p w:rsidR="00695BE4" w:rsidRDefault="00695BE4" w:rsidP="00695BE4">
                      <w:pPr>
                        <w:pStyle w:val="Fotnotstext"/>
                        <w:jc w:val="right"/>
                      </w:pPr>
                      <w:r>
                        <w:t>Tryck: Elanders, Vällingby 2017</w:t>
                      </w:r>
                    </w:p>
                  </w:txbxContent>
                </v:textbox>
                <w10:wrap anchorx="page" anchory="page"/>
              </v:shape>
            </w:pict>
          </mc:Fallback>
        </mc:AlternateContent>
      </w:r>
      <w:r w:rsidR="00912CBB" w:rsidRPr="00912CBB">
        <w:rPr>
          <w:lang w:eastAsia="ar-SA"/>
        </w:rPr>
        <w:t xml:space="preserve">De höjningar som skett sedan 1994 innebär att arvodet ökat med 119 </w:t>
      </w:r>
      <w:r w:rsidR="00D33257">
        <w:rPr>
          <w:lang w:eastAsia="ar-SA"/>
        </w:rPr>
        <w:t>procent</w:t>
      </w:r>
      <w:r w:rsidR="00912CBB" w:rsidRPr="00912CBB">
        <w:rPr>
          <w:lang w:eastAsia="ar-SA"/>
        </w:rPr>
        <w:t>. I den siffran har de höjningar som beror på förändringar i kostnadsersättningen räknats bort. Om den förändringen inte räknas bort blir höjnin</w:t>
      </w:r>
      <w:r w:rsidR="00D33257">
        <w:rPr>
          <w:lang w:eastAsia="ar-SA"/>
        </w:rPr>
        <w:t>gen sedan 1994 i stället 140,8 procent</w:t>
      </w:r>
      <w:r w:rsidR="00912CBB" w:rsidRPr="00912CBB">
        <w:rPr>
          <w:lang w:eastAsia="ar-SA"/>
        </w:rPr>
        <w:t>.</w:t>
      </w:r>
    </w:p>
    <w:sectPr w:rsidR="00B864B5" w:rsidSect="005C61AA">
      <w:headerReference w:type="even" r:id="rId18"/>
      <w:headerReference w:type="default" r:id="rId19"/>
      <w:headerReference w:type="first" r:id="rId20"/>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E4" w:rsidRDefault="004D39E4" w:rsidP="00A82541">
      <w:pPr>
        <w:spacing w:line="240" w:lineRule="auto"/>
      </w:pPr>
      <w:r>
        <w:separator/>
      </w:r>
    </w:p>
  </w:endnote>
  <w:endnote w:type="continuationSeparator" w:id="0">
    <w:p w:rsidR="004D39E4" w:rsidRDefault="004D39E4"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821D87">
          <w:rPr>
            <w:noProof/>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821D87">
          <w:rPr>
            <w:noProof/>
          </w:rPr>
          <w:t>7</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A53649">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EndPr/>
    <w:sdtContent>
      <w:p w:rsidR="00B7395D" w:rsidRDefault="00B7395D" w:rsidP="00CA12D9">
        <w:pPr>
          <w:pStyle w:val="Sidfot"/>
          <w:tabs>
            <w:tab w:val="clear" w:pos="4536"/>
            <w:tab w:val="clear" w:pos="9072"/>
          </w:tabs>
          <w:ind w:right="86"/>
          <w:jc w:val="left"/>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E4" w:rsidRDefault="004D39E4" w:rsidP="00A82541">
      <w:pPr>
        <w:spacing w:line="240" w:lineRule="auto"/>
      </w:pPr>
      <w:r>
        <w:separator/>
      </w:r>
    </w:p>
  </w:footnote>
  <w:footnote w:type="continuationSeparator" w:id="0">
    <w:p w:rsidR="004D39E4" w:rsidRDefault="004D39E4"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53649" w:rsidRPr="00A53649">
                            <w:rPr>
                              <w:bCs/>
                            </w:rPr>
                            <w:t>2016/17:RAR1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53649" w:rsidRPr="00A53649">
                      <w:rPr>
                        <w:bCs/>
                      </w:rPr>
                      <w:t>2016/17:RAR1</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53649" w:rsidRPr="00A53649">
                            <w:rPr>
                              <w:bCs/>
                            </w:rPr>
                            <w:t>2016/17:RAR1</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A53649" w:rsidRPr="00A53649">
                      <w:rPr>
                        <w:bCs/>
                      </w:rPr>
                      <w:t>2016/17:RAR1</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21109" w:rsidRDefault="006008C9" w:rsidP="00D561D4">
    <w:pPr>
      <w:pStyle w:val="Sidhuvudvnsterstlld"/>
    </w:pPr>
    <w:r w:rsidRPr="006008C9">
      <w:t>Verksamhetsredogörelse Riksdagens arvodesnämnd 2016</w:t>
    </w:r>
    <w:r w:rsidR="00B7395D" w:rsidRPr="00F21109">
      <w:rPr>
        <w:noProof/>
        <w:lang w:eastAsia="sv-SE"/>
      </w:rPr>
      <mc:AlternateContent>
        <mc:Choice Requires="wps">
          <w:drawing>
            <wp:anchor distT="0" distB="0" distL="114300" distR="114300" simplePos="0" relativeHeight="251671552" behindDoc="0" locked="0" layoutInCell="1" allowOverlap="1" wp14:anchorId="69CEBA47" wp14:editId="3928180A">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A53649">
                            <w:rPr>
                              <w:szCs w:val="24"/>
                            </w:rPr>
                            <w:t>2016/17:RAR1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47"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rsidR="00B7395D" w:rsidRPr="00F21109" w:rsidRDefault="00853EFB" w:rsidP="00517B25">
                    <w:pPr>
                      <w:pStyle w:val="Kantrubrik"/>
                      <w:jc w:val="left"/>
                    </w:pPr>
                    <w:r w:rsidRPr="00F21109">
                      <w:rPr>
                        <w:szCs w:val="24"/>
                      </w:rPr>
                      <w:fldChar w:fldCharType="begin"/>
                    </w:r>
                    <w:r w:rsidR="007D0BA8">
                      <w:rPr>
                        <w:szCs w:val="24"/>
                      </w:rPr>
                      <w:instrText xml:space="preserve"> DOCPROPERTY</w:instrText>
                    </w:r>
                    <w:r w:rsidRPr="00F21109">
                      <w:rPr>
                        <w:szCs w:val="24"/>
                      </w:rPr>
                      <w:instrText xml:space="preserve"> Dokbeteckning  \* MERGEFORMAT </w:instrText>
                    </w:r>
                    <w:r w:rsidRPr="00F21109">
                      <w:rPr>
                        <w:szCs w:val="24"/>
                      </w:rPr>
                      <w:fldChar w:fldCharType="separate"/>
                    </w:r>
                    <w:r w:rsidR="00A53649">
                      <w:rPr>
                        <w:szCs w:val="24"/>
                      </w:rPr>
                      <w:t>2016/17:RAR1</w:t>
                    </w:r>
                    <w:r w:rsidRPr="00F21109">
                      <w:rPr>
                        <w:szCs w:val="24"/>
                      </w:rPr>
                      <w:fldChar w:fldCharType="end"/>
                    </w:r>
                  </w:p>
                </w:txbxContent>
              </v:textbox>
            </v:shape>
          </w:pict>
        </mc:Fallback>
      </mc:AlternateContent>
    </w:r>
    <w:r w:rsidR="002B2B9D">
      <w:fldChar w:fldCharType="begin"/>
    </w:r>
    <w:r w:rsidR="007D0BA8">
      <w:instrText xml:space="preserve"> STYLEREF "Kapitelrubrik" </w:instrText>
    </w:r>
    <w:r w:rsidR="002B2B9D">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6008C9" w:rsidP="00155F98">
    <w:pPr>
      <w:pStyle w:val="Sidhuvudhgerstlld"/>
    </w:pPr>
    <w:r w:rsidRPr="006008C9">
      <w:t>Verksamhetsredogörelse Riksdagens arvodesnämnd 2016</w:t>
    </w:r>
    <w:r w:rsidR="00B7395D">
      <w:rPr>
        <w:smallCaps w:val="0"/>
        <w:lang w:eastAsia="sv-SE"/>
      </w:rPr>
      <mc:AlternateContent>
        <mc:Choice Requires="wps">
          <w:drawing>
            <wp:anchor distT="0" distB="0" distL="114300" distR="114300" simplePos="0" relativeHeight="251663360" behindDoc="0" locked="0" layoutInCell="1" allowOverlap="1" wp14:anchorId="67174AD4" wp14:editId="200F8BBC">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A53649">
                            <w:rPr>
                              <w:szCs w:val="24"/>
                            </w:rPr>
                            <w:t>2016/17:RAR1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74AD4"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w:instrText>
                    </w:r>
                    <w:r w:rsidRPr="00F21109">
                      <w:rPr>
                        <w:szCs w:val="24"/>
                      </w:rPr>
                      <w:instrText xml:space="preserve">Dokbeteckning \* MERGEFORMAT </w:instrText>
                    </w:r>
                    <w:r w:rsidRPr="00F21109">
                      <w:rPr>
                        <w:szCs w:val="24"/>
                      </w:rPr>
                      <w:fldChar w:fldCharType="separate"/>
                    </w:r>
                    <w:r w:rsidR="00A53649">
                      <w:rPr>
                        <w:szCs w:val="24"/>
                      </w:rPr>
                      <w:t>2016/17:RAR1</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rsidRPr="0003697B">
      <w:instrText xml:space="preserve"> </w:instrText>
    </w:r>
    <w:r w:rsidR="00B7395D"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2B2B9D" w:rsidP="00D561D4">
    <w:pPr>
      <w:pStyle w:val="Sidhuvudvnsterstlld"/>
    </w:pPr>
    <w:r>
      <w:fldChar w:fldCharType="begin"/>
    </w:r>
    <w:r w:rsidR="007D0BA8">
      <w:instrText xml:space="preserve"> STYLEREF "bilagerubrik"</w:instrText>
    </w:r>
    <w:r>
      <w:instrText xml:space="preserve"> </w:instrText>
    </w:r>
    <w:r>
      <w:fldChar w:fldCharType="separate"/>
    </w:r>
    <w:r w:rsidR="00821D87">
      <w:rPr>
        <w:noProof/>
      </w:rPr>
      <w:t>Bilaga</w:t>
    </w:r>
    <w:r>
      <w:rPr>
        <w:noProof/>
      </w:rPr>
      <w:fldChar w:fldCharType="end"/>
    </w:r>
    <w:r w:rsidR="0047189C">
      <w:fldChar w:fldCharType="begin"/>
    </w:r>
    <w:r w:rsidR="0047189C">
      <w:instrText xml:space="preserve"> IF </w:instrText>
    </w:r>
    <w:r>
      <w:fldChar w:fldCharType="begin"/>
    </w:r>
    <w:r>
      <w:instrText xml:space="preserve"> STYLEREF</w:instrText>
    </w:r>
    <w:r w:rsidR="007D0BA8">
      <w:instrText xml:space="preserve"> "bilagerubrik"</w:instrText>
    </w:r>
    <w:r>
      <w:instrText xml:space="preserve"> </w:instrText>
    </w:r>
    <w:r>
      <w:fldChar w:fldCharType="separate"/>
    </w:r>
    <w:r w:rsidR="00821D87">
      <w:rPr>
        <w:noProof/>
      </w:rPr>
      <w:instrText>Bilaga</w:instrText>
    </w:r>
    <w:r>
      <w:rPr>
        <w:noProof/>
      </w:rPr>
      <w:fldChar w:fldCharType="end"/>
    </w:r>
    <w:r w:rsidR="0047189C" w:rsidRPr="001406B6">
      <w:instrText xml:space="preserve"> = "Bil*" ": " "" </w:instrText>
    </w:r>
    <w:r w:rsidR="0047189C">
      <w:fldChar w:fldCharType="separate"/>
    </w:r>
    <w:r w:rsidR="00821D87" w:rsidRPr="001406B6">
      <w:rPr>
        <w:noProof/>
      </w:rPr>
      <w:t xml:space="preserve">: </w:t>
    </w:r>
    <w:r w:rsidR="0047189C">
      <w:fldChar w:fldCharType="end"/>
    </w:r>
    <w:r w:rsidR="00415080" w:rsidRPr="006008C9">
      <w:t>Verksamhetsredogörelse Riksdagens arvodesnämnd 2016</w:t>
    </w:r>
    <w:r w:rsidR="00B7395D"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53649">
                            <w:rPr>
                              <w:szCs w:val="24"/>
                            </w:rPr>
                            <w:t>2016/17:RAR1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53649">
                      <w:rPr>
                        <w:szCs w:val="24"/>
                      </w:rPr>
                      <w:t>2016/17:RAR1</w:t>
                    </w:r>
                    <w:r w:rsidRPr="00F21109">
                      <w:rPr>
                        <w:szCs w:val="24"/>
                      </w:rPr>
                      <w:fldChar w:fldCharType="end"/>
                    </w:r>
                  </w:p>
                </w:txbxContent>
              </v:textbox>
            </v:shape>
          </w:pict>
        </mc:Fallback>
      </mc:AlternateContent>
    </w:r>
    <w:r>
      <w:fldChar w:fldCharType="begin"/>
    </w:r>
    <w:r w:rsidR="007D0BA8">
      <w:instrText xml:space="preserve"> STYLEREF "Kapitelrubrik" </w:instrTex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8035A9" w:rsidP="00155F98">
    <w:pPr>
      <w:pStyle w:val="Sidhuvudhgerstlld"/>
    </w:pPr>
    <w:r w:rsidRPr="001406B6">
      <w:fldChar w:fldCharType="begin"/>
    </w:r>
    <w:r w:rsidR="007D0BA8">
      <w:instrText xml:space="preserve"> STYLEREF "bilagerubrik" </w:instrText>
    </w:r>
    <w:r w:rsidRPr="001406B6">
      <w:fldChar w:fldCharType="separate"/>
    </w:r>
    <w:r w:rsidR="00A53649">
      <w:t>Bilaga</w:t>
    </w:r>
    <w:r w:rsidRPr="001406B6">
      <w:fldChar w:fldCharType="end"/>
    </w:r>
    <w:r w:rsidR="001406B6" w:rsidRPr="001406B6">
      <w:fldChar w:fldCharType="begin"/>
    </w:r>
    <w:r w:rsidR="001406B6" w:rsidRPr="001406B6">
      <w:instrText xml:space="preserve"> IF </w:instrText>
    </w:r>
    <w:r w:rsidR="001406B6" w:rsidRPr="001406B6">
      <w:fldChar w:fldCharType="begin"/>
    </w:r>
    <w:r w:rsidR="001406B6" w:rsidRPr="001406B6">
      <w:instrText xml:space="preserve"> ST</w:instrText>
    </w:r>
    <w:r w:rsidR="007D0BA8">
      <w:instrText xml:space="preserve">YLEREF "bilagerubrik" </w:instrText>
    </w:r>
    <w:r w:rsidR="001406B6" w:rsidRPr="001406B6">
      <w:fldChar w:fldCharType="separate"/>
    </w:r>
    <w:r w:rsidR="00A53649">
      <w:instrText>Bilaga</w:instrText>
    </w:r>
    <w:r w:rsidR="001406B6" w:rsidRPr="001406B6">
      <w:fldChar w:fldCharType="end"/>
    </w:r>
    <w:r w:rsidR="007D0BA8">
      <w:instrText xml:space="preserve"> = "Bil*" ": " ""</w:instrText>
    </w:r>
    <w:r w:rsidR="001406B6" w:rsidRPr="001406B6">
      <w:instrText xml:space="preserve"> </w:instrText>
    </w:r>
    <w:r w:rsidR="001406B6" w:rsidRPr="001406B6">
      <w:fldChar w:fldCharType="separate"/>
    </w:r>
    <w:r w:rsidR="00A53649">
      <w:t xml:space="preserve">: </w:t>
    </w:r>
    <w:r w:rsidR="001406B6"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53649">
                            <w:rPr>
                              <w:szCs w:val="24"/>
                            </w:rPr>
                            <w:t>2016/17:RAR1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A53649">
                      <w:rPr>
                        <w:szCs w:val="24"/>
                      </w:rPr>
                      <w:t>2016/17:RAR1</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19"/>
  </w:num>
  <w:num w:numId="14">
    <w:abstractNumId w:val="16"/>
  </w:num>
  <w:num w:numId="15">
    <w:abstractNumId w:val="15"/>
  </w:num>
  <w:num w:numId="16">
    <w:abstractNumId w:val="11"/>
  </w:num>
  <w:num w:numId="17">
    <w:abstractNumId w:val="18"/>
  </w:num>
  <w:num w:numId="18">
    <w:abstractNumId w:val="17"/>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97"/>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4D4"/>
    <w:rsid w:val="00074A4D"/>
    <w:rsid w:val="000767DD"/>
    <w:rsid w:val="00076A04"/>
    <w:rsid w:val="0007724C"/>
    <w:rsid w:val="0007781E"/>
    <w:rsid w:val="00080771"/>
    <w:rsid w:val="00080CDE"/>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25EE"/>
    <w:rsid w:val="00093774"/>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033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638"/>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81F"/>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6B9"/>
    <w:rsid w:val="0022538D"/>
    <w:rsid w:val="0022581A"/>
    <w:rsid w:val="002263E2"/>
    <w:rsid w:val="0022671A"/>
    <w:rsid w:val="00227652"/>
    <w:rsid w:val="0023044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2D2"/>
    <w:rsid w:val="0024553F"/>
    <w:rsid w:val="002459AD"/>
    <w:rsid w:val="00245DA0"/>
    <w:rsid w:val="00246454"/>
    <w:rsid w:val="00246711"/>
    <w:rsid w:val="00247C57"/>
    <w:rsid w:val="00250C61"/>
    <w:rsid w:val="00251072"/>
    <w:rsid w:val="002524F0"/>
    <w:rsid w:val="0025266E"/>
    <w:rsid w:val="002529DF"/>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72AB"/>
    <w:rsid w:val="002E76CD"/>
    <w:rsid w:val="002E7C0F"/>
    <w:rsid w:val="002F25EC"/>
    <w:rsid w:val="002F3973"/>
    <w:rsid w:val="002F47C3"/>
    <w:rsid w:val="002F47E1"/>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1B9"/>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6AB9"/>
    <w:rsid w:val="003370BE"/>
    <w:rsid w:val="00337641"/>
    <w:rsid w:val="003377E0"/>
    <w:rsid w:val="00340A39"/>
    <w:rsid w:val="003415CA"/>
    <w:rsid w:val="00341B22"/>
    <w:rsid w:val="00342C92"/>
    <w:rsid w:val="003443F1"/>
    <w:rsid w:val="00344797"/>
    <w:rsid w:val="0034494E"/>
    <w:rsid w:val="00345716"/>
    <w:rsid w:val="00345BFB"/>
    <w:rsid w:val="0034631F"/>
    <w:rsid w:val="003468CC"/>
    <w:rsid w:val="00346E43"/>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67788"/>
    <w:rsid w:val="00371248"/>
    <w:rsid w:val="0037147D"/>
    <w:rsid w:val="003714DD"/>
    <w:rsid w:val="003718DD"/>
    <w:rsid w:val="00371AEB"/>
    <w:rsid w:val="00373479"/>
    <w:rsid w:val="00375F30"/>
    <w:rsid w:val="00376291"/>
    <w:rsid w:val="003769B2"/>
    <w:rsid w:val="003776F9"/>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6E"/>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080"/>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4A04"/>
    <w:rsid w:val="00434A17"/>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971"/>
    <w:rsid w:val="00480DE6"/>
    <w:rsid w:val="00482782"/>
    <w:rsid w:val="00482887"/>
    <w:rsid w:val="004842B6"/>
    <w:rsid w:val="004842F9"/>
    <w:rsid w:val="00485745"/>
    <w:rsid w:val="00486B9D"/>
    <w:rsid w:val="00487C0D"/>
    <w:rsid w:val="00490B52"/>
    <w:rsid w:val="004966DE"/>
    <w:rsid w:val="00497EAD"/>
    <w:rsid w:val="004A003F"/>
    <w:rsid w:val="004A0830"/>
    <w:rsid w:val="004A0BEB"/>
    <w:rsid w:val="004A1D69"/>
    <w:rsid w:val="004A2492"/>
    <w:rsid w:val="004A29C4"/>
    <w:rsid w:val="004A32E4"/>
    <w:rsid w:val="004A3F1D"/>
    <w:rsid w:val="004A4A89"/>
    <w:rsid w:val="004A4CAB"/>
    <w:rsid w:val="004A5686"/>
    <w:rsid w:val="004A5B43"/>
    <w:rsid w:val="004A5CC9"/>
    <w:rsid w:val="004A5FA1"/>
    <w:rsid w:val="004A6770"/>
    <w:rsid w:val="004A6F97"/>
    <w:rsid w:val="004A73AE"/>
    <w:rsid w:val="004B1114"/>
    <w:rsid w:val="004B13F4"/>
    <w:rsid w:val="004B251F"/>
    <w:rsid w:val="004B2FEF"/>
    <w:rsid w:val="004B3663"/>
    <w:rsid w:val="004B3B48"/>
    <w:rsid w:val="004B5064"/>
    <w:rsid w:val="004B55F5"/>
    <w:rsid w:val="004B728A"/>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9E4"/>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AD1"/>
    <w:rsid w:val="004E6B01"/>
    <w:rsid w:val="004E7550"/>
    <w:rsid w:val="004F02B2"/>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5856"/>
    <w:rsid w:val="00545CF5"/>
    <w:rsid w:val="005464A2"/>
    <w:rsid w:val="00546841"/>
    <w:rsid w:val="00546967"/>
    <w:rsid w:val="00547919"/>
    <w:rsid w:val="00547959"/>
    <w:rsid w:val="00550687"/>
    <w:rsid w:val="00550F28"/>
    <w:rsid w:val="00551276"/>
    <w:rsid w:val="0055144E"/>
    <w:rsid w:val="005519FF"/>
    <w:rsid w:val="0055240B"/>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6C9B"/>
    <w:rsid w:val="0058702F"/>
    <w:rsid w:val="00590539"/>
    <w:rsid w:val="00591C61"/>
    <w:rsid w:val="00592409"/>
    <w:rsid w:val="005924C7"/>
    <w:rsid w:val="005942EF"/>
    <w:rsid w:val="00595837"/>
    <w:rsid w:val="005958A3"/>
    <w:rsid w:val="0059591F"/>
    <w:rsid w:val="005965AA"/>
    <w:rsid w:val="0059793C"/>
    <w:rsid w:val="005A0622"/>
    <w:rsid w:val="005A0D0A"/>
    <w:rsid w:val="005A0E8C"/>
    <w:rsid w:val="005A150B"/>
    <w:rsid w:val="005A3403"/>
    <w:rsid w:val="005A405F"/>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1AA"/>
    <w:rsid w:val="005C65F3"/>
    <w:rsid w:val="005C6FEF"/>
    <w:rsid w:val="005C740B"/>
    <w:rsid w:val="005D24F2"/>
    <w:rsid w:val="005D28EC"/>
    <w:rsid w:val="005D37DC"/>
    <w:rsid w:val="005D3E31"/>
    <w:rsid w:val="005D44E2"/>
    <w:rsid w:val="005D45A1"/>
    <w:rsid w:val="005D4645"/>
    <w:rsid w:val="005D710B"/>
    <w:rsid w:val="005D77F0"/>
    <w:rsid w:val="005D7D0F"/>
    <w:rsid w:val="005E0844"/>
    <w:rsid w:val="005E08CE"/>
    <w:rsid w:val="005E144D"/>
    <w:rsid w:val="005E16AF"/>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8C9"/>
    <w:rsid w:val="00600BF4"/>
    <w:rsid w:val="006010BF"/>
    <w:rsid w:val="006013A5"/>
    <w:rsid w:val="00604B89"/>
    <w:rsid w:val="00604DA8"/>
    <w:rsid w:val="00604F51"/>
    <w:rsid w:val="00605031"/>
    <w:rsid w:val="0060520D"/>
    <w:rsid w:val="00606192"/>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BE4"/>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297"/>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3866"/>
    <w:rsid w:val="006E481D"/>
    <w:rsid w:val="006E5032"/>
    <w:rsid w:val="006E5FC8"/>
    <w:rsid w:val="006E61FA"/>
    <w:rsid w:val="006F2BA6"/>
    <w:rsid w:val="006F474D"/>
    <w:rsid w:val="006F5402"/>
    <w:rsid w:val="006F54A3"/>
    <w:rsid w:val="006F602C"/>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5725"/>
    <w:rsid w:val="00716A47"/>
    <w:rsid w:val="00716D5B"/>
    <w:rsid w:val="00716FE2"/>
    <w:rsid w:val="00717FD6"/>
    <w:rsid w:val="007218C8"/>
    <w:rsid w:val="00721E4E"/>
    <w:rsid w:val="00722705"/>
    <w:rsid w:val="00722A3B"/>
    <w:rsid w:val="00722F04"/>
    <w:rsid w:val="007239FB"/>
    <w:rsid w:val="00724560"/>
    <w:rsid w:val="00724857"/>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9A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45EE"/>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F004E"/>
    <w:rsid w:val="007F0BEB"/>
    <w:rsid w:val="007F0CCE"/>
    <w:rsid w:val="007F187A"/>
    <w:rsid w:val="007F28B8"/>
    <w:rsid w:val="007F3B4A"/>
    <w:rsid w:val="007F3BA5"/>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1D87"/>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1C8B"/>
    <w:rsid w:val="00882E64"/>
    <w:rsid w:val="00883574"/>
    <w:rsid w:val="0088378C"/>
    <w:rsid w:val="00883CF7"/>
    <w:rsid w:val="00883E20"/>
    <w:rsid w:val="00884634"/>
    <w:rsid w:val="008848D3"/>
    <w:rsid w:val="00887CC7"/>
    <w:rsid w:val="00890B9A"/>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5E3C"/>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2CBB"/>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CD1"/>
    <w:rsid w:val="009D26E6"/>
    <w:rsid w:val="009D2D95"/>
    <w:rsid w:val="009D2FB2"/>
    <w:rsid w:val="009D551F"/>
    <w:rsid w:val="009D5E18"/>
    <w:rsid w:val="009D6309"/>
    <w:rsid w:val="009D6D47"/>
    <w:rsid w:val="009E0787"/>
    <w:rsid w:val="009E1EF4"/>
    <w:rsid w:val="009E2C0F"/>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3649"/>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D05"/>
    <w:rsid w:val="00AB3FB9"/>
    <w:rsid w:val="00AB40B7"/>
    <w:rsid w:val="00AB4926"/>
    <w:rsid w:val="00AB5027"/>
    <w:rsid w:val="00AB70E8"/>
    <w:rsid w:val="00AB7EF3"/>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0FB8"/>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66FE"/>
    <w:rsid w:val="00B673C6"/>
    <w:rsid w:val="00B67625"/>
    <w:rsid w:val="00B67BE6"/>
    <w:rsid w:val="00B70C92"/>
    <w:rsid w:val="00B723A8"/>
    <w:rsid w:val="00B72D3E"/>
    <w:rsid w:val="00B72D70"/>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42C3"/>
    <w:rsid w:val="00BD60EF"/>
    <w:rsid w:val="00BD75FE"/>
    <w:rsid w:val="00BE02BE"/>
    <w:rsid w:val="00BE1520"/>
    <w:rsid w:val="00BE2490"/>
    <w:rsid w:val="00BE2772"/>
    <w:rsid w:val="00BE3B2E"/>
    <w:rsid w:val="00BE3BE0"/>
    <w:rsid w:val="00BE3CBD"/>
    <w:rsid w:val="00BE4465"/>
    <w:rsid w:val="00BE694B"/>
    <w:rsid w:val="00BF0D91"/>
    <w:rsid w:val="00BF130E"/>
    <w:rsid w:val="00BF3D58"/>
    <w:rsid w:val="00BF4503"/>
    <w:rsid w:val="00BF46EA"/>
    <w:rsid w:val="00BF55C3"/>
    <w:rsid w:val="00BF5748"/>
    <w:rsid w:val="00BF5D0B"/>
    <w:rsid w:val="00BF742C"/>
    <w:rsid w:val="00BF747A"/>
    <w:rsid w:val="00C00C45"/>
    <w:rsid w:val="00C03535"/>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B2C"/>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6631"/>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3B9"/>
    <w:rsid w:val="00D157D4"/>
    <w:rsid w:val="00D160B2"/>
    <w:rsid w:val="00D16549"/>
    <w:rsid w:val="00D168AF"/>
    <w:rsid w:val="00D17BA3"/>
    <w:rsid w:val="00D17E10"/>
    <w:rsid w:val="00D20574"/>
    <w:rsid w:val="00D20C59"/>
    <w:rsid w:val="00D214A1"/>
    <w:rsid w:val="00D21547"/>
    <w:rsid w:val="00D21713"/>
    <w:rsid w:val="00D22C04"/>
    <w:rsid w:val="00D22E0A"/>
    <w:rsid w:val="00D23631"/>
    <w:rsid w:val="00D243AA"/>
    <w:rsid w:val="00D250BE"/>
    <w:rsid w:val="00D2722E"/>
    <w:rsid w:val="00D27738"/>
    <w:rsid w:val="00D30964"/>
    <w:rsid w:val="00D31215"/>
    <w:rsid w:val="00D31BDE"/>
    <w:rsid w:val="00D3211B"/>
    <w:rsid w:val="00D32752"/>
    <w:rsid w:val="00D33257"/>
    <w:rsid w:val="00D34466"/>
    <w:rsid w:val="00D3494F"/>
    <w:rsid w:val="00D34B6F"/>
    <w:rsid w:val="00D35428"/>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2EF3"/>
    <w:rsid w:val="00D62FB6"/>
    <w:rsid w:val="00D63331"/>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AEB"/>
    <w:rsid w:val="00DA5199"/>
    <w:rsid w:val="00DA51A7"/>
    <w:rsid w:val="00DA5931"/>
    <w:rsid w:val="00DA6151"/>
    <w:rsid w:val="00DA775B"/>
    <w:rsid w:val="00DB0C5B"/>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862"/>
    <w:rsid w:val="00DC6B55"/>
    <w:rsid w:val="00DC7027"/>
    <w:rsid w:val="00DC72B5"/>
    <w:rsid w:val="00DC7B70"/>
    <w:rsid w:val="00DD0607"/>
    <w:rsid w:val="00DD0E49"/>
    <w:rsid w:val="00DD287A"/>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48A"/>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84C"/>
    <w:rsid w:val="00EA7FE6"/>
    <w:rsid w:val="00EB00C0"/>
    <w:rsid w:val="00EB0245"/>
    <w:rsid w:val="00EB21EB"/>
    <w:rsid w:val="00EB2227"/>
    <w:rsid w:val="00EB4021"/>
    <w:rsid w:val="00EB499E"/>
    <w:rsid w:val="00EB4C3F"/>
    <w:rsid w:val="00EB5348"/>
    <w:rsid w:val="00EB5E7A"/>
    <w:rsid w:val="00EB5E9A"/>
    <w:rsid w:val="00EB60A8"/>
    <w:rsid w:val="00EB64BA"/>
    <w:rsid w:val="00EB735E"/>
    <w:rsid w:val="00EB7562"/>
    <w:rsid w:val="00EC0D45"/>
    <w:rsid w:val="00EC1BA0"/>
    <w:rsid w:val="00EC2CCD"/>
    <w:rsid w:val="00EC3764"/>
    <w:rsid w:val="00EC50BA"/>
    <w:rsid w:val="00EC518A"/>
    <w:rsid w:val="00EC52C0"/>
    <w:rsid w:val="00EC69CE"/>
    <w:rsid w:val="00EC739D"/>
    <w:rsid w:val="00ED00AF"/>
    <w:rsid w:val="00ED0264"/>
    <w:rsid w:val="00ED07CD"/>
    <w:rsid w:val="00ED09B1"/>
    <w:rsid w:val="00ED0C01"/>
    <w:rsid w:val="00ED2039"/>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B3B"/>
    <w:rsid w:val="00EF3FFE"/>
    <w:rsid w:val="00EF5A3F"/>
    <w:rsid w:val="00EF5DB4"/>
    <w:rsid w:val="00EF6764"/>
    <w:rsid w:val="00F00331"/>
    <w:rsid w:val="00F00582"/>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1DFD"/>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table" w:customStyle="1" w:styleId="Tabellrutnt1">
    <w:name w:val="Tabellrutnät1"/>
    <w:basedOn w:val="Normaltabell"/>
    <w:next w:val="Tabellrutnt"/>
    <w:uiPriority w:val="59"/>
    <w:rsid w:val="00E244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rutnt2">
    <w:name w:val="Tabellrutnät2"/>
    <w:basedOn w:val="Normaltabell"/>
    <w:next w:val="Tabellrutnt"/>
    <w:uiPriority w:val="59"/>
    <w:rsid w:val="00E24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59"/>
    <w:rsid w:val="001A46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rutnt4">
    <w:name w:val="Tabellrutnät4"/>
    <w:basedOn w:val="Normaltabell"/>
    <w:next w:val="Tabellrutnt"/>
    <w:uiPriority w:val="59"/>
    <w:rsid w:val="001A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uiPriority w:val="59"/>
    <w:rsid w:val="0023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uiPriority w:val="59"/>
    <w:rsid w:val="005E1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4E981C2F3A4EB48CD8ECAA9EA108C1"/>
        <w:category>
          <w:name w:val="Allmänt"/>
          <w:gallery w:val="placeholder"/>
        </w:category>
        <w:types>
          <w:type w:val="bbPlcHdr"/>
        </w:types>
        <w:behaviors>
          <w:behavior w:val="content"/>
        </w:behaviors>
        <w:guid w:val="{6C312C5A-9A74-472E-8D35-A46D30DF5A43}"/>
      </w:docPartPr>
      <w:docPartBody>
        <w:p w:rsidR="00E40B8F" w:rsidRDefault="004C2E38">
          <w:pPr>
            <w:pStyle w:val="BA4E981C2F3A4EB48CD8ECAA9EA108C1"/>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8F"/>
    <w:rsid w:val="004C2E38"/>
    <w:rsid w:val="0098083B"/>
    <w:rsid w:val="00E40B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4E981C2F3A4EB48CD8ECAA9EA108C1">
    <w:name w:val="BA4E981C2F3A4EB48CD8ECAA9EA10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FCEFB-23EA-4111-93F7-E4DB5A7B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8</Pages>
  <Words>2172</Words>
  <Characters>12860</Characters>
  <Application>Microsoft Office Word</Application>
  <DocSecurity>0</DocSecurity>
  <Lines>378</Lines>
  <Paragraphs>231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3.2</cp:keywords>
  <cp:lastModifiedBy/>
  <cp:revision>1</cp:revision>
  <cp:lastPrinted>2014-07-16T13:27:00Z</cp:lastPrinted>
  <dcterms:created xsi:type="dcterms:W3CDTF">2017-02-15T09:20:00Z</dcterms:created>
  <dcterms:modified xsi:type="dcterms:W3CDTF">2017-02-15T09:20:00Z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redogörelse</vt:lpwstr>
  </property>
  <property fmtid="{D5CDD505-2E9C-101B-9397-08002B2CF9AE}" pid="3" name="Organ">
    <vt:lpwstr>Riksdagens arvodesnämnd</vt:lpwstr>
  </property>
  <property fmtid="{D5CDD505-2E9C-101B-9397-08002B2CF9AE}" pid="4" name="Nummer">
    <vt:lpwstr>1</vt:lpwstr>
  </property>
  <property fmtid="{D5CDD505-2E9C-101B-9397-08002B2CF9AE}" pid="5" name="RiksmöteÅr">
    <vt:lpwstr>2016/17</vt:lpwstr>
  </property>
  <property fmtid="{D5CDD505-2E9C-101B-9397-08002B2CF9AE}" pid="6" name="Dokbeteckning">
    <vt:lpwstr>2016/17:RAR1</vt:lpwstr>
  </property>
  <property fmtid="{D5CDD505-2E9C-101B-9397-08002B2CF9AE}" pid="7" name="Dokrubrik">
    <vt:lpwstr>Verksamhetsredogörelse Riksdagens arvodesnämnd 2016</vt:lpwstr>
  </property>
  <property fmtid="{D5CDD505-2E9C-101B-9397-08002B2CF9AE}" pid="8" name="VIS">
    <vt:lpwstr>0</vt:lpwstr>
  </property>
  <property fmtid="{D5CDD505-2E9C-101B-9397-08002B2CF9AE}" pid="9" name="VIR">
    <vt:lpwstr>0</vt:lpwstr>
  </property>
  <property fmtid="{D5CDD505-2E9C-101B-9397-08002B2CF9AE}" pid="10" name="Typrubrik">
    <vt:lpwstr>Redogörelse till riksdagen</vt:lpwstr>
  </property>
</Properties>
</file>