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32F" w:rsidRPr="004B332F" w:rsidRDefault="004B332F">
      <w:pPr>
        <w:pStyle w:val="Frslagsrubrik"/>
      </w:pPr>
      <w:r w:rsidRPr="004B332F">
        <w:t>Förslag till riksdagsbeslut</w:t>
      </w:r>
    </w:p>
    <w:p w:rsidR="004B332F" w:rsidRPr="004B332F" w:rsidRDefault="004B332F">
      <w:pPr>
        <w:pStyle w:val="Hemstlatt"/>
        <w:ind w:left="0"/>
      </w:pPr>
      <w:r w:rsidRPr="004B332F">
        <w:t>Riksdagen tillkännager för regeringen som sin mening vad som anförs i motionen om vikten av ett skyndsamt införande av tonnag</w:t>
      </w:r>
      <w:r w:rsidRPr="004B332F">
        <w:t>e</w:t>
      </w:r>
      <w:r w:rsidRPr="004B332F">
        <w:t>skatten i Sverige.</w:t>
      </w:r>
    </w:p>
    <w:p w:rsidR="004B332F" w:rsidRPr="004B332F" w:rsidRDefault="004B332F">
      <w:pPr>
        <w:pStyle w:val="Rubrik1"/>
      </w:pPr>
      <w:r w:rsidRPr="004B332F">
        <w:t>Bakgrund</w:t>
      </w:r>
    </w:p>
    <w:p w:rsidR="004B332F" w:rsidRPr="004B332F" w:rsidRDefault="004B332F">
      <w:r w:rsidRPr="004B332F">
        <w:t>Tonnageskatt är en beskattningsmetod där inkomsten för ett rederi bestäms schablonmässigt utifrån fartygens nettodräktighet, vilket anses ge ett mått på fartygets lastkapacitet och därmed intjäningsförmåga. Den tonnagebeskattade inkomsten från den del av rederiets verksamhet som rör transport av gods eller passagerare skall läggas samman med rederiets övriga inkomster. Däre</w:t>
      </w:r>
      <w:r w:rsidRPr="004B332F">
        <w:t>f</w:t>
      </w:r>
      <w:r w:rsidRPr="004B332F">
        <w:t>ter skall den totala inkomsten beskattas med den bolagsskattesats som gäller för näringsverksamhet.</w:t>
      </w:r>
    </w:p>
    <w:p w:rsidR="004B332F" w:rsidRPr="004B332F" w:rsidRDefault="004B332F">
      <w:pPr>
        <w:pStyle w:val="Normaltindrag"/>
      </w:pPr>
      <w:r w:rsidRPr="004B332F">
        <w:t>Inom den internationella sjöfarten förekommer en omfattande skatteko</w:t>
      </w:r>
      <w:r w:rsidRPr="004B332F">
        <w:t>n</w:t>
      </w:r>
      <w:r w:rsidRPr="004B332F">
        <w:t>kurrens mellan olika länder. För Sveriges del innebar detta att vi under 1990-talet befann oss i en situation där i stort sett hela den svenska handelsflottan var på väg att flaggas ut. Det visade sig då finnas en mycket bred politisk enighet om värdet av att ha en betydande Sverigebaserad handelsflotta. Detta ledde till en radikal omläggning som var kopplad till beskattningen av ersät</w:t>
      </w:r>
      <w:r w:rsidRPr="004B332F">
        <w:t>t</w:t>
      </w:r>
      <w:r w:rsidRPr="004B332F">
        <w:t>ningen till de ombordanställda med syfte att ge den svenska sjöfartsnäringen konkurrensvillkor som var likvärdiga med övri</w:t>
      </w:r>
      <w:r w:rsidRPr="004B332F">
        <w:t>ga EU-länders villkor. O</w:t>
      </w:r>
      <w:r w:rsidRPr="004B332F">
        <w:t>m</w:t>
      </w:r>
      <w:r w:rsidRPr="004B332F">
        <w:t>läggningen skedde år 2001. Den låg i linje med de riktlinjer för statligt stöd till sjötransport som utfärdats av EU 1997. Förändringen ledde till att de tot</w:t>
      </w:r>
      <w:r w:rsidRPr="004B332F">
        <w:t>a</w:t>
      </w:r>
      <w:r w:rsidRPr="004B332F">
        <w:t>la lönekostnaderna blev mer konkurrenskraftiga för de svenska rederierna. De därmed ändrade konkurrensförutsättningarna för den svenska sjöfartsnäringen gjorde att rederier med fartyg flaggade i Sverige åter kunde möta den intern</w:t>
      </w:r>
      <w:r w:rsidRPr="004B332F">
        <w:t>a</w:t>
      </w:r>
      <w:r w:rsidRPr="004B332F">
        <w:t>tionella konkurrensen på relativt lika villkor vad gäller den totala lönekostn</w:t>
      </w:r>
      <w:r w:rsidRPr="004B332F">
        <w:t>a</w:t>
      </w:r>
      <w:r w:rsidRPr="004B332F">
        <w:t>den.</w:t>
      </w:r>
    </w:p>
    <w:p w:rsidR="004B332F" w:rsidRPr="004B332F" w:rsidRDefault="004B332F">
      <w:pPr>
        <w:pStyle w:val="Normaltindrag"/>
      </w:pPr>
      <w:r w:rsidRPr="004B332F">
        <w:lastRenderedPageBreak/>
        <w:t>Bolagsbeskattni</w:t>
      </w:r>
      <w:r w:rsidRPr="004B332F">
        <w:t>ngen för svenska rederier var också förmånlig i den m</w:t>
      </w:r>
      <w:r w:rsidRPr="004B332F">
        <w:t>e</w:t>
      </w:r>
      <w:r w:rsidRPr="004B332F">
        <w:t>ningen att den effektiva beskattningen kunde hållas låg med hjälp av avdrag</w:t>
      </w:r>
      <w:r w:rsidRPr="004B332F">
        <w:t>s</w:t>
      </w:r>
      <w:r w:rsidRPr="004B332F">
        <w:t>regler som också i ett internationellt perspektiv var gynnsamma.</w:t>
      </w:r>
    </w:p>
    <w:p w:rsidR="004B332F" w:rsidRPr="004B332F" w:rsidRDefault="004B332F">
      <w:pPr>
        <w:pStyle w:val="Normaltindrag"/>
      </w:pPr>
      <w:r w:rsidRPr="004B332F">
        <w:t>Under den tid rederierna världen över beskattades med traditionell bolag</w:t>
      </w:r>
      <w:r w:rsidRPr="004B332F">
        <w:t>s</w:t>
      </w:r>
      <w:r w:rsidRPr="004B332F">
        <w:t>skatt torde i alla länder den effektiva skattesatsen ha varit väsentligt lägre än den nominella skattesatsen. Den vinst som skulle beskattas uppkom dels g</w:t>
      </w:r>
      <w:r w:rsidRPr="004B332F">
        <w:t>e</w:t>
      </w:r>
      <w:r w:rsidRPr="004B332F">
        <w:t>nom den löpande vinsten i verksamheten, dels genom de köp och försäljnin</w:t>
      </w:r>
      <w:r w:rsidRPr="004B332F">
        <w:t>g</w:t>
      </w:r>
      <w:r w:rsidRPr="004B332F">
        <w:t>ar som gjordes i rederiets flotta. Alla länder arbetade med generösa avskri</w:t>
      </w:r>
      <w:r w:rsidRPr="004B332F">
        <w:t>v</w:t>
      </w:r>
      <w:r w:rsidRPr="004B332F">
        <w:t>ningsregler som tillät nedskrivningar av investeringar (huvudsakligen fartyg) som var väsentligt snabbare än vad den verkliga livslängden skulle motivera. För rederiernas del innebar detta att det blev möjli</w:t>
      </w:r>
      <w:r w:rsidRPr="004B332F">
        <w:t>gt att uppskjuta skattebeta</w:t>
      </w:r>
      <w:r w:rsidRPr="004B332F">
        <w:t>l</w:t>
      </w:r>
      <w:r w:rsidRPr="004B332F">
        <w:t>ningarna i stort sett hur länge som helst genom att hålla uppe investeringsn</w:t>
      </w:r>
      <w:r w:rsidRPr="004B332F">
        <w:t>i</w:t>
      </w:r>
      <w:r w:rsidRPr="004B332F">
        <w:t>våerna. Också här kan man sålunda säga att det fanns en viss skattekonku</w:t>
      </w:r>
      <w:r w:rsidRPr="004B332F">
        <w:t>r</w:t>
      </w:r>
      <w:r w:rsidRPr="004B332F">
        <w:t>rens mellan länderna. För rederinäringen finns det dock betydande nackdelar med just denna typ av skattekonkurrens. De höga investeringar som skattes</w:t>
      </w:r>
      <w:r w:rsidRPr="004B332F">
        <w:t>y</w:t>
      </w:r>
      <w:r w:rsidRPr="004B332F">
        <w:t>stemet driver fram tenderar att ge företagen en alltför smal kapitalbas. De cykliska variationerna i vinstbeskattningen tenderar att bli betydande, vilket försvårar planeringen för för</w:t>
      </w:r>
      <w:r w:rsidRPr="004B332F">
        <w:t>etagen och minskar rederiernas flexibilitet när det gäller anpassningen till nya ekonomiska förutsättningar. Kvaliteten på kapit</w:t>
      </w:r>
      <w:r w:rsidRPr="004B332F">
        <w:t>a</w:t>
      </w:r>
      <w:r w:rsidRPr="004B332F">
        <w:t>let i branschen blir sämre när både volym och tidsförläggning av investeringar blir så hårt styrda av skattehänsyn som är fallet i detta system.</w:t>
      </w:r>
    </w:p>
    <w:p w:rsidR="004B332F" w:rsidRPr="004B332F" w:rsidRDefault="004B332F">
      <w:pPr>
        <w:pStyle w:val="Normaltindrag"/>
      </w:pPr>
      <w:r w:rsidRPr="004B332F">
        <w:t>De för rederierna specifika problemen med en traditionell bolagsbeskat</w:t>
      </w:r>
      <w:r w:rsidRPr="004B332F">
        <w:t>t</w:t>
      </w:r>
      <w:r w:rsidRPr="004B332F">
        <w:t>ning ledde till att några länder med Nederländerna i spetsen övergick till en så kallad tonnageskatt. Där räknas vinsten fram schablonmässigt med utgång</w:t>
      </w:r>
      <w:r w:rsidRPr="004B332F">
        <w:t>s</w:t>
      </w:r>
      <w:r w:rsidRPr="004B332F">
        <w:t>punkt i det tonnage som rederierna använder i verksamheten. Denna omläg</w:t>
      </w:r>
      <w:r w:rsidRPr="004B332F">
        <w:t>g</w:t>
      </w:r>
      <w:r w:rsidRPr="004B332F">
        <w:t xml:space="preserve">ning fick snabbt efterföljare i flera länder. Enligt Svensk Sjöfarts Tidning är för närvarande 85 procent av världshandelsflottan registrerad i länder med tonnageskatt eller liknande system. Under processen har också EU-kommissionen rekommenderat länderna inom EU att öppna möjligheten </w:t>
      </w:r>
      <w:r w:rsidRPr="004B332F">
        <w:t>för de egna rederierna att beskattas enligt detta system. Numera har också alla sjöfartsnationer inom EU, utom Sverige, tonnageskatt.</w:t>
      </w:r>
    </w:p>
    <w:p w:rsidR="004B332F" w:rsidRPr="004B332F" w:rsidRDefault="004B332F">
      <w:pPr>
        <w:pStyle w:val="Normaltindrag"/>
      </w:pPr>
      <w:r w:rsidRPr="004B332F">
        <w:t>Den statliga utredningen Tonnageskatt (SOU 2006:20) har föreslagit att en så kallad tonnageskatt införs i Sverige. Utredningen tillsattes mot bakgrund av den ökande internationella konkurrensen inom sjöfartsområdet. För att stödja sina sjöfartsnäringar har nästan alla EU-länder infört system med to</w:t>
      </w:r>
      <w:r w:rsidRPr="004B332F">
        <w:t>n</w:t>
      </w:r>
      <w:r w:rsidRPr="004B332F">
        <w:t>nageskatt. Sämre konkurrensvillkor gentemot omvärlden innebär en risk för verksamhetsflykt från Sverige.</w:t>
      </w:r>
    </w:p>
    <w:p w:rsidR="004B332F" w:rsidRPr="004B332F" w:rsidRDefault="004B332F">
      <w:pPr>
        <w:pStyle w:val="Rubrik1"/>
      </w:pPr>
      <w:r w:rsidRPr="004B332F">
        <w:t>Värdet av en svenskflaggad handelsflotta</w:t>
      </w:r>
    </w:p>
    <w:p w:rsidR="004B332F" w:rsidRPr="004B332F" w:rsidRDefault="004B332F">
      <w:r w:rsidRPr="004B332F">
        <w:t>Alla sjöfarande industriländer har gjort bedömningen att de bör försöka behå</w:t>
      </w:r>
      <w:r w:rsidRPr="004B332F">
        <w:t>l</w:t>
      </w:r>
      <w:r w:rsidRPr="004B332F">
        <w:t>la en betydande rederinäring. I större eller mindre grad deltar alla dessa länder i den internationella skattekonkurrensen. Det kan också konstateras att EU-kommissionen, som generellt sett är mycket negativ till branschsubventioner, har accepterat det stöd, som skattelättnader till branschen innebär. Faktum är att EU-kommissionen också har rekommenderat medlemsländerna att införa en tonnageskatt.</w:t>
      </w:r>
    </w:p>
    <w:p w:rsidR="004B332F" w:rsidRPr="004B332F" w:rsidRDefault="004B332F">
      <w:pPr>
        <w:pStyle w:val="Normaltindrag"/>
      </w:pPr>
      <w:r w:rsidRPr="004B332F">
        <w:t>Till stöd för vår uppfattning att Sverige skall behålla en livskraftig ha</w:t>
      </w:r>
      <w:r w:rsidRPr="004B332F">
        <w:t>n</w:t>
      </w:r>
      <w:r w:rsidRPr="004B332F">
        <w:t>delsflotta kan anföras följande:</w:t>
      </w:r>
    </w:p>
    <w:p w:rsidR="004B332F" w:rsidRPr="004B332F" w:rsidRDefault="004B332F">
      <w:pPr>
        <w:pStyle w:val="PunktlistaBomb"/>
      </w:pPr>
      <w:r w:rsidRPr="004B332F">
        <w:t>Den nationella säkerheten. Vid internationella kriser som direkt berör Sverige finns det ett betydande värde i att ha en egen handelsflotta som kan bidra till att säkra transportvägar till och från Sverige.</w:t>
      </w:r>
    </w:p>
    <w:p w:rsidR="004B332F" w:rsidRPr="004B332F" w:rsidRDefault="004B332F">
      <w:pPr>
        <w:pStyle w:val="PunktlistaBomb"/>
        <w:spacing w:before="0"/>
      </w:pPr>
      <w:r w:rsidRPr="004B332F">
        <w:t>Sjösäkerhet och miljö. Den svenska regeringen och svenska myndigheter arbetar i internationella forum för att skapa regelverk som förhindrar en osund utveckling på detta område. Svensk rederinäring ställer i hög grad upp på detta arbete. Utan en svensk rederinäring skulle detta arbete ha små möjligheter att vinna gehör.</w:t>
      </w:r>
    </w:p>
    <w:p w:rsidR="004B332F" w:rsidRPr="004B332F" w:rsidRDefault="004B332F">
      <w:pPr>
        <w:pStyle w:val="PunktlistaBomb"/>
        <w:spacing w:before="0"/>
      </w:pPr>
      <w:r w:rsidRPr="004B332F">
        <w:t>Sjöfarten är en mycket viktig del av den svenska ekonomin. Drygt 80 pr</w:t>
      </w:r>
      <w:r w:rsidRPr="004B332F">
        <w:t>o</w:t>
      </w:r>
      <w:r w:rsidRPr="004B332F">
        <w:t>cent av allt gods till och från Sverige transporteras på fartyg. Sjöfartsnä</w:t>
      </w:r>
      <w:r w:rsidRPr="004B332F">
        <w:t>r</w:t>
      </w:r>
      <w:r w:rsidRPr="004B332F">
        <w:t>ingen utgör, enligt en studie publicerad 2006 vid Internationella Handel</w:t>
      </w:r>
      <w:r w:rsidRPr="004B332F">
        <w:t>s</w:t>
      </w:r>
      <w:r w:rsidRPr="004B332F">
        <w:t>högskolan i Jönköping, navet i ett industriellt kluster med cirka 220 000 anställda. Klustrets kärna utgörs av de 13 000 personer som är sysselsatta inom rederinäringen och de ytterligare 5 000 som arbetar i de svenska hamnarna. Förädlingsvärdet per sjöfartsanställd var 700 000 kronor år 2001, vilket kan jämföras med genomsnittet för privatanställda i svensk e</w:t>
      </w:r>
      <w:r w:rsidRPr="004B332F">
        <w:t>konomi som var 470 000 kronor vid samma tidpunkt.</w:t>
      </w:r>
    </w:p>
    <w:p w:rsidR="004B332F" w:rsidRPr="004B332F" w:rsidRDefault="004B332F">
      <w:pPr>
        <w:pStyle w:val="PunktlistaBomb"/>
        <w:spacing w:before="0"/>
      </w:pPr>
      <w:r w:rsidRPr="004B332F">
        <w:t>Kvalificerad utbildning kräver långsiktig stabilitet. I Sverige finns en bet</w:t>
      </w:r>
      <w:r w:rsidRPr="004B332F">
        <w:t>y</w:t>
      </w:r>
      <w:r w:rsidRPr="004B332F">
        <w:t>dande utbildning av kvalificerad sjöpersonal. Utbildningen har god til</w:t>
      </w:r>
      <w:r w:rsidRPr="004B332F">
        <w:t>l</w:t>
      </w:r>
      <w:r w:rsidRPr="004B332F">
        <w:t>strömning och har stor betydelse för kvaliteten i den svenska sjöfarten. U</w:t>
      </w:r>
      <w:r w:rsidRPr="004B332F">
        <w:t>t</w:t>
      </w:r>
      <w:r w:rsidRPr="004B332F">
        <w:t>bildningen sker i intimt samarbete med den svenska rederinäringen. Vid en utflyttning av svenska rederier skulle denna koppling försvinna. Detta skulle leda till att utbildningen blev mindre attraktiv genom sämre kvalitet och genom en väsentligt större osäkerhet kring den framtida anställningen för dem som examineras från utbildningen.</w:t>
      </w:r>
    </w:p>
    <w:p w:rsidR="004B332F" w:rsidRPr="004B332F" w:rsidRDefault="004B332F">
      <w:pPr>
        <w:pStyle w:val="Rubrik1"/>
      </w:pPr>
      <w:r w:rsidRPr="004B332F">
        <w:t>Jämbördiga villkor mellan s</w:t>
      </w:r>
      <w:r w:rsidRPr="004B332F">
        <w:t>venska och utländska rederier</w:t>
      </w:r>
    </w:p>
    <w:p w:rsidR="004B332F" w:rsidRPr="004B332F" w:rsidRDefault="004B332F">
      <w:r w:rsidRPr="004B332F">
        <w:t>Sverige är i en total internationell jämförelse ett utpräglat högskatteland. Någon direkt intäktssida i konkurrensen med andra länder finns för de sven</w:t>
      </w:r>
      <w:r w:rsidRPr="004B332F">
        <w:t>s</w:t>
      </w:r>
      <w:r w:rsidRPr="004B332F">
        <w:t>ka rederiernas del inte här. Redan en konkurrenssituation, där länderna på sjön tillämpade sina inhemska skatter skulle därför bli mycket svår för sven</w:t>
      </w:r>
      <w:r w:rsidRPr="004B332F">
        <w:t>s</w:t>
      </w:r>
      <w:r w:rsidRPr="004B332F">
        <w:t>ka fartyg. Därtill kommer att i stort sett alla länder tillämpar särskilda skatt</w:t>
      </w:r>
      <w:r w:rsidRPr="004B332F">
        <w:t>e</w:t>
      </w:r>
      <w:r w:rsidRPr="004B332F">
        <w:t>regler för sin sjöfartsnäring för att förbättra sin internationella konkurren</w:t>
      </w:r>
      <w:r w:rsidRPr="004B332F">
        <w:t>s</w:t>
      </w:r>
      <w:r w:rsidRPr="004B332F">
        <w:t>kraft. Här finns i praktiken en omfattande skattekonkurrens. I ett fall när ko</w:t>
      </w:r>
      <w:r w:rsidRPr="004B332F">
        <w:t>n</w:t>
      </w:r>
      <w:r w:rsidRPr="004B332F">
        <w:t>kurrenssituationen är så pass öppen som i sjöfartsnäringen får man vad som i skattelitteraturen brukar kallas ett ”race t</w:t>
      </w:r>
      <w:r w:rsidRPr="004B332F">
        <w:t>o the bottom”. Den effektiva b</w:t>
      </w:r>
      <w:r w:rsidRPr="004B332F">
        <w:t>e</w:t>
      </w:r>
      <w:r w:rsidRPr="004B332F">
        <w:t>skattningen tenderar hela tiden att pressas ned. Det blir för ett enskilt land svårt att ta ut annat en mycket blygsam skatt. Beskattningen av flygbensin erbjuder ett annat exempel på en sådan beskattningssituation.</w:t>
      </w:r>
    </w:p>
    <w:p w:rsidR="004B332F" w:rsidRPr="004B332F" w:rsidRDefault="004B332F">
      <w:pPr>
        <w:pStyle w:val="Normaltindrag"/>
      </w:pPr>
      <w:r w:rsidRPr="004B332F">
        <w:t>Om den svenska sjöfartsnäringen ska få konkurrenskraftiga villkor är det nödvändigt att införa en tonnageskatt. Det är angeläget att Sverige kan behålla ett fartygsbestånd som ägs av svenska rederier, trygga sysselsättningen inom den svenska sjöfarten och bevara yr</w:t>
      </w:r>
      <w:r w:rsidRPr="004B332F">
        <w:t>keskunnandet i Sverige. Det krävs därför att ett system för tonnagebeskattning införs i enlighet med utredningens fö</w:t>
      </w:r>
      <w:r w:rsidRPr="004B332F">
        <w:t>r</w:t>
      </w:r>
      <w:r w:rsidRPr="004B332F">
        <w:t>slag. Det är mycket viktigt att svenska rederier får konkurrera på jämförbara villkor och att skatteberäkningen motsvarar den som finns i jämförbara lä</w:t>
      </w:r>
      <w:r w:rsidRPr="004B332F">
        <w:t>n</w:t>
      </w:r>
      <w:r w:rsidRPr="004B332F">
        <w:t>der. För att undvika att svenska rederier flaggar ut till länder med bättre vil</w:t>
      </w:r>
      <w:r w:rsidRPr="004B332F">
        <w:t>l</w:t>
      </w:r>
      <w:r w:rsidRPr="004B332F">
        <w:t>kor, måste Sverige anpassa sina skatter, lagar och regelverk.</w:t>
      </w:r>
    </w:p>
    <w:p w:rsidR="004B332F" w:rsidRPr="004B332F" w:rsidRDefault="004B332F">
      <w:pPr>
        <w:pStyle w:val="Normaltindrag"/>
      </w:pPr>
      <w:r w:rsidRPr="004B332F">
        <w:t>Som en följd av Sveriges senfärdighet när det gäller att införa tonnageska</w:t>
      </w:r>
      <w:r w:rsidRPr="004B332F">
        <w:t>t</w:t>
      </w:r>
      <w:r w:rsidRPr="004B332F">
        <w:t>ten, har den svenska handelsflottan nu börjat lämna vårt land. Exempelvis registrerar inte de svenska rederierna Broströms och ACL längre några nya fartyg i Sverige. Det första Donsörederiet, Tärntank, har redan flaggat ut sina fartyg till Danmark och fler är på gång.</w:t>
      </w:r>
    </w:p>
    <w:p w:rsidR="004B332F" w:rsidRPr="004B332F" w:rsidRDefault="004B332F">
      <w:pPr>
        <w:pStyle w:val="Rubrik1"/>
      </w:pPr>
      <w:r w:rsidRPr="004B332F">
        <w:t>Konsekvensen av att inte införa tonnageskatt i Sverige</w:t>
      </w:r>
    </w:p>
    <w:p w:rsidR="004B332F" w:rsidRPr="004B332F" w:rsidRDefault="004B332F">
      <w:r w:rsidRPr="004B332F">
        <w:t>Lokaliseringen av sjöfartsnäringen påverkas av vilka länder som har eller inte har tonnageskatt. EU-kommissionen skriver i sina riktlinjer för stöd till sjöfa</w:t>
      </w:r>
      <w:r w:rsidRPr="004B332F">
        <w:t>r</w:t>
      </w:r>
      <w:r w:rsidRPr="004B332F">
        <w:t>ten: ”Enligt medlemsstaternas svar på kommissionens enkät från mitten av 2002, och enligt de senaste statistiska uppgifterna, har en betydande tonnag</w:t>
      </w:r>
      <w:r w:rsidRPr="004B332F">
        <w:t>e</w:t>
      </w:r>
      <w:r w:rsidRPr="004B332F">
        <w:t>volym återregistrerats under nationell flagg (alla register sammantagna) i de medlemsstater som vidtagit stödåtgärder, särskilt i form av skattelättn</w:t>
      </w:r>
      <w:r w:rsidRPr="004B332F">
        <w:t>a</w:t>
      </w:r>
      <w:r w:rsidRPr="004B332F">
        <w:t>der.” Vidare skriver kommissionen: ”Sammanfattningsvis kan det konstateras att man i de fall där det vidtagits åtgärder i enlighet med 1997 års riktlinjer har lyckats stoppa gemenskapsregistrens och gemenskapsfl</w:t>
      </w:r>
      <w:r w:rsidRPr="004B332F">
        <w:t>ottans strukturella nedgång, och att man åtminstone delvis uppnått kommissionens mål.”</w:t>
      </w:r>
    </w:p>
    <w:p w:rsidR="004B332F" w:rsidRPr="004B332F" w:rsidRDefault="004B332F">
      <w:pPr>
        <w:pStyle w:val="Normaltindrag"/>
      </w:pPr>
      <w:r w:rsidRPr="004B332F">
        <w:t>Kommissionen intar således en försiktigt optimistisk syn på utvecklingen och effekterna av åtgärderna.</w:t>
      </w:r>
    </w:p>
    <w:p w:rsidR="004B332F" w:rsidRPr="004B332F" w:rsidRDefault="004B332F">
      <w:pPr>
        <w:pStyle w:val="Normaltindrag"/>
      </w:pPr>
      <w:r w:rsidRPr="004B332F">
        <w:t>Om Sverige även fortsättningsvis avstår från att införa tonnageskatt ko</w:t>
      </w:r>
      <w:r w:rsidRPr="004B332F">
        <w:t>m</w:t>
      </w:r>
      <w:r w:rsidRPr="004B332F">
        <w:t>mer konsekvenserna att bli allvarliga. En omregistrering av den svenska ha</w:t>
      </w:r>
      <w:r w:rsidRPr="004B332F">
        <w:t>n</w:t>
      </w:r>
      <w:r w:rsidRPr="004B332F">
        <w:t>delsflottan kommer att ske till andra, företrädesvis europeiska länder, och på sikt kan man förvänta sig att även rederiernas huvudkontor flyttar efter. Den personal som nu arbetar på de svenska fartygen kommer sannolikt att följa med. Mest påtagliga skulle de negativa effekterna givetvis bli i sjöfartsregi</w:t>
      </w:r>
      <w:r w:rsidRPr="004B332F">
        <w:t>o</w:t>
      </w:r>
      <w:r w:rsidRPr="004B332F">
        <w:t>nerna, främst Göteborgsområdet. Det är således uppenbart att storleken på det maritima klustret i Sverige skulle minska avsevär</w:t>
      </w:r>
      <w:r w:rsidRPr="004B332F">
        <w:t>t. Kvaliteten i klustret skulle också försämras avsevärt. Kärnverksamheten skulle i stort sett försvinna, medan de mest specialiserade delarna i de omgivande verksamheterna skulle decimeras avsevärt.</w:t>
      </w:r>
    </w:p>
    <w:p w:rsidR="004B332F" w:rsidRPr="004B332F" w:rsidRDefault="004B332F">
      <w:pPr>
        <w:pStyle w:val="Rubrik1"/>
      </w:pPr>
      <w:r w:rsidRPr="004B332F">
        <w:t>Statsfinansiell neutralitet</w:t>
      </w:r>
    </w:p>
    <w:p w:rsidR="004B332F" w:rsidRPr="004B332F" w:rsidRDefault="004B332F">
      <w:r w:rsidRPr="004B332F">
        <w:t>Meningen är att införandet av en tonnageskatt skall vara neutral ut statsfina</w:t>
      </w:r>
      <w:r w:rsidRPr="004B332F">
        <w:t>n</w:t>
      </w:r>
      <w:r w:rsidRPr="004B332F">
        <w:t>siell synpunkt. Det handlar alltså inte om ett sänkt skattetryck på sjöfarten. Tonnageskatten anses ändå vara mer fördelaktig för rederinäringen eftersom den medför incitament att återinvestera i Sverige. Med utredningens förslag på beräkning av tonnageinkomst bedöms statens skatteinkomster i ett längre tidsperspektiv ligga i paritet med dagens skatteinkomster.</w:t>
      </w:r>
    </w:p>
    <w:p w:rsidR="004B332F" w:rsidRPr="004B332F" w:rsidRDefault="004B332F">
      <w:pPr>
        <w:pStyle w:val="Rubrik1"/>
      </w:pPr>
      <w:r w:rsidRPr="004B332F">
        <w:t>Tidsfönster för tonnageskattens införande</w:t>
      </w:r>
    </w:p>
    <w:p w:rsidR="004B332F" w:rsidRPr="004B332F" w:rsidRDefault="004B332F">
      <w:r w:rsidRPr="004B332F">
        <w:t>När de utländska tonnageskattesystemen infördes fastställde man ett tidsfön</w:t>
      </w:r>
      <w:r w:rsidRPr="004B332F">
        <w:t>s</w:t>
      </w:r>
      <w:r w:rsidRPr="004B332F">
        <w:t>ter inom vilket rederierna har haft möjlighet att välja att övergå till tonnag</w:t>
      </w:r>
      <w:r w:rsidRPr="004B332F">
        <w:t>e</w:t>
      </w:r>
      <w:r w:rsidRPr="004B332F">
        <w:t>beskattning. Utredningen anser att ett sådant tidsfönster också bör finnas vid införandet av en tonnageskatt i Sverige och att detta tidsfönster bör vara tre år. Utredningen, som lades fram i februari 2006, föreslog att tidsfönstret sku</w:t>
      </w:r>
      <w:r w:rsidRPr="004B332F">
        <w:t>l</w:t>
      </w:r>
      <w:r w:rsidRPr="004B332F">
        <w:t>le utgöras av åren 2005–2007. Senast i självdeklarationen vid 2008 års tax</w:t>
      </w:r>
      <w:r w:rsidRPr="004B332F">
        <w:t>e</w:t>
      </w:r>
      <w:r w:rsidRPr="004B332F">
        <w:t>ring föreslogs rederierna kunna begära tonnagebeskattning. Utredningen för</w:t>
      </w:r>
      <w:r w:rsidRPr="004B332F">
        <w:t>e</w:t>
      </w:r>
      <w:r w:rsidRPr="004B332F">
        <w:t>slog alltså en retroaktiv tillämpning av tonn</w:t>
      </w:r>
      <w:r w:rsidRPr="004B332F">
        <w:t>ageskatten.</w:t>
      </w:r>
    </w:p>
    <w:p w:rsidR="004B332F" w:rsidRPr="004B332F" w:rsidRDefault="004B332F">
      <w:pPr>
        <w:pStyle w:val="Normaltindrag"/>
      </w:pPr>
      <w:r w:rsidRPr="004B332F">
        <w:t>Jag anser att regeringen bör lägga fram ett förslag om tonnageskatt snarast för beslut i riksdagen under våren 2011. Det tidsfönster från vilket rederierna har möjlighet att välja tonnageskatt blir då 2009–2011. Detta möjliggörs pra</w:t>
      </w:r>
      <w:r w:rsidRPr="004B332F">
        <w:t>k</w:t>
      </w:r>
      <w:r w:rsidRPr="004B332F">
        <w:t>tiskt av att det inte är förrän i maj 2012 som rederierna skulle behöva anhålla om att få ingå i tonnageskattesystemet. Det blir alltså möjligt för ett rederi att gå med i tonnageskattesystemet från och med år 2009, 2010 eller 2011.</w:t>
      </w:r>
    </w:p>
    <w:p w:rsidR="004B332F" w:rsidRPr="004B332F" w:rsidRDefault="004B332F">
      <w:pPr>
        <w:pStyle w:val="Rubrik1"/>
      </w:pPr>
      <w:r w:rsidRPr="004B332F">
        <w:t>Hantering av rederiernas obeskattade reserver</w:t>
      </w:r>
    </w:p>
    <w:p w:rsidR="004B332F" w:rsidRPr="004B332F" w:rsidRDefault="004B332F">
      <w:r w:rsidRPr="004B332F">
        <w:t>En synpunkt som förekommit på tonnageskatteutredningens förslag rör ha</w:t>
      </w:r>
      <w:r w:rsidRPr="004B332F">
        <w:t>n</w:t>
      </w:r>
      <w:r w:rsidRPr="004B332F">
        <w:t>teringen av den latenta skatteskulden för de rederier som ansluter sig till to</w:t>
      </w:r>
      <w:r w:rsidRPr="004B332F">
        <w:t>n</w:t>
      </w:r>
      <w:r w:rsidRPr="004B332F">
        <w:t>nageskattesystemet. Det har hävdats att den ”övergångsmodell” för behan</w:t>
      </w:r>
      <w:r w:rsidRPr="004B332F">
        <w:t>d</w:t>
      </w:r>
      <w:r w:rsidRPr="004B332F">
        <w:t>ling av de latenta skatteskulderna under den första tioårsperioden i tonnageb</w:t>
      </w:r>
      <w:r w:rsidRPr="004B332F">
        <w:t>e</w:t>
      </w:r>
      <w:r w:rsidRPr="004B332F">
        <w:t xml:space="preserve">skattningen innebär att rederiet får hela den latenta skatteskulden efterskänkt. Det är svårt att hålla med om detta. Ett rederi som säljer fartyg under perioden och därmed minskar sin verksamhet kommer enligt övergångsmodellen att få ta fram resterande överavskrivning på fartyget </w:t>
      </w:r>
      <w:r w:rsidRPr="004B332F">
        <w:t>till beskattning. Därmed går det knappast att hävda att hela skatteskulden efterskänks. Däremot kan öve</w:t>
      </w:r>
      <w:r w:rsidRPr="004B332F">
        <w:t>r</w:t>
      </w:r>
      <w:r w:rsidRPr="004B332F">
        <w:t>gångsreglerna i vissa avseenden betraktas som förmånliga för rederinäringen. Om ett rederi som säljer fartyg i motsvarande utsträckning anskaffar nya fartyg befrias det från beskattning av de obeskattade reserverna. I praktiken uppstår ett liknande förhållande med nuvarande traditionella bolagsbeskat</w:t>
      </w:r>
      <w:r w:rsidRPr="004B332F">
        <w:t>t</w:t>
      </w:r>
      <w:r w:rsidRPr="004B332F">
        <w:t>ning. Skillnaden är dock att efter en tioårsperiod i tonnageskattesystemet är den upparbetade skatteskulde</w:t>
      </w:r>
      <w:r w:rsidRPr="004B332F">
        <w:t>n borta. I det traditionella systemet skulle en skatteskuld kvarstå efter tioårsperioden. Man måste dock vara klar över att rederier som med rimlig nyanskaffning behåller storleken på sin verksamhet i det traditionella systemet kan skjuta en betydande skatteskuld framför sig under obegränsad tid.</w:t>
      </w:r>
    </w:p>
    <w:p w:rsidR="004B332F" w:rsidRPr="004B332F" w:rsidRDefault="004B332F">
      <w:pPr>
        <w:pStyle w:val="Normaltindrag"/>
      </w:pPr>
      <w:r w:rsidRPr="004B332F">
        <w:t>De flesta EU-länder har infört ett system liknande det holländska. Geno</w:t>
      </w:r>
      <w:r w:rsidRPr="004B332F">
        <w:t>m</w:t>
      </w:r>
      <w:r w:rsidRPr="004B332F">
        <w:t>gående har man i dessa länder valt en lösning på problematiken med de ob</w:t>
      </w:r>
      <w:r w:rsidRPr="004B332F">
        <w:t>e</w:t>
      </w:r>
      <w:r w:rsidRPr="004B332F">
        <w:t>skattade reserverna som liknar den som föreslagits i den svenska tonnageska</w:t>
      </w:r>
      <w:r w:rsidRPr="004B332F">
        <w:t>t</w:t>
      </w:r>
      <w:r w:rsidRPr="004B332F">
        <w:t>teutredningen. Innebörden av denna är att under den första tioårsperioden påverkar den ingående skattekrediten beskattningen vid nettoutförsäljning av fartyg. Ett rederi med stora skattekrediter skall alltså inte kunna krympa eller lägga ned verksamheten utan skattemässiga följder. Efter den första tioårsp</w:t>
      </w:r>
      <w:r w:rsidRPr="004B332F">
        <w:t>e</w:t>
      </w:r>
      <w:r w:rsidRPr="004B332F">
        <w:t>rioden är dock skattekrediten avskriven.</w:t>
      </w:r>
    </w:p>
    <w:p w:rsidR="004B332F" w:rsidRPr="004B332F" w:rsidRDefault="004B332F">
      <w:pPr>
        <w:pStyle w:val="Normaltindrag"/>
        <w:rPr>
          <w:szCs w:val="24"/>
        </w:rPr>
      </w:pPr>
      <w:r w:rsidRPr="004B332F">
        <w:t>Danmark och F</w:t>
      </w:r>
      <w:r w:rsidRPr="004B332F">
        <w:t>inland har valt något mera restriktiva modeller. I den dan</w:t>
      </w:r>
      <w:r w:rsidRPr="004B332F">
        <w:t>s</w:t>
      </w:r>
      <w:r w:rsidRPr="004B332F">
        <w:t>ka modellen blir behandlingen av de obeskattade reserverna beroende på rederiets investeringsvolymer. I normalfallet med fortgående investeringar spelar skattereserverna ingen roll. Systemet blir mycket komplicerat och för</w:t>
      </w:r>
      <w:r w:rsidRPr="004B332F">
        <w:t>e</w:t>
      </w:r>
      <w:r w:rsidRPr="004B332F">
        <w:t>faller i praktiken för lång tid framöver bli ett system där väsentliga inslag från det gamla investeringsdrivande bolagsskattesystemet hänger kvar. Även det finska systemet är mycket komplicerat, därigenom att det kräver en mar</w:t>
      </w:r>
      <w:r w:rsidRPr="004B332F">
        <w:t>k</w:t>
      </w:r>
      <w:r w:rsidRPr="004B332F">
        <w:t>na</w:t>
      </w:r>
      <w:r w:rsidRPr="004B332F">
        <w:t>dsvärdering av rederiets hela flotta innan det går in i systemet. I båda fallen får man räkna med att skattekrediterna fin</w:t>
      </w:r>
      <w:r w:rsidRPr="004B332F">
        <w:rPr>
          <w:szCs w:val="24"/>
        </w:rPr>
        <w:t>ns kvar också efter den första ti</w:t>
      </w:r>
      <w:r w:rsidRPr="004B332F">
        <w:rPr>
          <w:szCs w:val="24"/>
        </w:rPr>
        <w:t>o</w:t>
      </w:r>
      <w:r w:rsidRPr="004B332F">
        <w:rPr>
          <w:szCs w:val="24"/>
        </w:rPr>
        <w:t>årsperioden.</w:t>
      </w:r>
    </w:p>
    <w:p w:rsidR="004B332F" w:rsidRPr="004B332F" w:rsidRDefault="004B332F">
      <w:pPr>
        <w:pStyle w:val="Rubrik1"/>
      </w:pPr>
      <w:r w:rsidRPr="004B332F">
        <w:t>Hantering av tonnageskatt i riksdagen</w:t>
      </w:r>
    </w:p>
    <w:p w:rsidR="004B332F" w:rsidRPr="004B332F" w:rsidRDefault="004B332F">
      <w:r w:rsidRPr="004B332F">
        <w:t>Tonnageskatt har varit uppe för behandling i skatteutskottet under denna mandatperiod. Ett enigt skatteutskott (2006/07:SkU11)ställde sig bakom ett antal motioner som innebar införande av tonnageskatt i Sverige och lämnade ett tillkännagivande till regeringen att arbetet med en sådan lagstiftning måste påskyndas.</w:t>
      </w:r>
    </w:p>
    <w:p w:rsidR="004B332F" w:rsidRPr="004B332F" w:rsidRDefault="004B332F">
      <w:pPr>
        <w:pStyle w:val="Normaltindrag"/>
        <w:rPr>
          <w:szCs w:val="24"/>
        </w:rPr>
      </w:pPr>
      <w:r w:rsidRPr="004B332F">
        <w:rPr>
          <w:szCs w:val="24"/>
        </w:rPr>
        <w:t xml:space="preserve">Vidare har ett enigt skatteutskott i betänkande 2008/09:KU21 </w:t>
      </w:r>
      <w:r w:rsidRPr="004B332F">
        <w:rPr>
          <w:i/>
          <w:szCs w:val="24"/>
        </w:rPr>
        <w:t>Redogörelse för behandlingen av riksdagens skrivelse till regeringen</w:t>
      </w:r>
      <w:r w:rsidRPr="004B332F">
        <w:rPr>
          <w:szCs w:val="24"/>
        </w:rPr>
        <w:t xml:space="preserve"> lämnat följande yt</w:t>
      </w:r>
      <w:r w:rsidRPr="004B332F">
        <w:rPr>
          <w:szCs w:val="24"/>
        </w:rPr>
        <w:t>t</w:t>
      </w:r>
      <w:r w:rsidRPr="004B332F">
        <w:rPr>
          <w:szCs w:val="24"/>
        </w:rPr>
        <w:t>rande:</w:t>
      </w:r>
    </w:p>
    <w:p w:rsidR="004B332F" w:rsidRPr="004B332F" w:rsidRDefault="004B332F">
      <w:pPr>
        <w:pStyle w:val="Citatindrag"/>
        <w:spacing w:before="120"/>
        <w:rPr>
          <w:bCs/>
        </w:rPr>
      </w:pPr>
      <w:r w:rsidRPr="004B332F">
        <w:t>När det gäller tillkännagivandet om att införa en tonnageskatt bed</w:t>
      </w:r>
      <w:r w:rsidRPr="004B332F">
        <w:t>ö</w:t>
      </w:r>
      <w:r w:rsidRPr="004B332F">
        <w:t>mer utskottet att frågan om tonnageskatt är av vikt för rederinäringens utveckling i Sverige. Skatteutskottet erinrar i sitt yttrande om att det b</w:t>
      </w:r>
      <w:r w:rsidRPr="004B332F">
        <w:t>e</w:t>
      </w:r>
      <w:r w:rsidRPr="004B332F">
        <w:t>handlade frågan om tonnageskatten tidigare under våren 2009 och att u</w:t>
      </w:r>
      <w:r w:rsidRPr="004B332F">
        <w:t>t</w:t>
      </w:r>
      <w:r w:rsidRPr="004B332F">
        <w:t>skottet då dels uttalade bl.a. att det fortfarande är angeläget att bere</w:t>
      </w:r>
      <w:r w:rsidRPr="004B332F">
        <w:t>d</w:t>
      </w:r>
      <w:r w:rsidRPr="004B332F">
        <w:t>ningen av Tonnageskatteutredningens förslag kan slutföras skyndsamt, dels förutsatte att regeringen beaktar vad EU-kommissionen anfört i de strategiska målen för sjöfarten fram till 2018, dels förklarade sig utgå ifrån at</w:t>
      </w:r>
      <w:r w:rsidRPr="004B332F">
        <w:t>t frågan ska kunna få sin lösning utan att riksdagen ska behöva b</w:t>
      </w:r>
      <w:r w:rsidRPr="004B332F">
        <w:t>e</w:t>
      </w:r>
      <w:r w:rsidRPr="004B332F">
        <w:t xml:space="preserve">sluta om ännu ett tillkännagivande till regeringen (jfr bet. 2008/09:SkU23). </w:t>
      </w:r>
      <w:r w:rsidRPr="004B332F">
        <w:rPr>
          <w:bCs/>
        </w:rPr>
        <w:t>Skatteutskottet vidhåller detta ställningstagande och förutsätter att regeringen beaktar vad utskottet anfört vid fortsatta prior</w:t>
      </w:r>
      <w:r w:rsidRPr="004B332F">
        <w:rPr>
          <w:bCs/>
        </w:rPr>
        <w:t>i</w:t>
      </w:r>
      <w:r w:rsidRPr="004B332F">
        <w:rPr>
          <w:bCs/>
        </w:rPr>
        <w:t>teringar bland angelägna åtgärder på skatteområdet.</w:t>
      </w:r>
    </w:p>
    <w:p w:rsidR="004B332F" w:rsidRPr="004B332F" w:rsidRDefault="004B332F">
      <w:r w:rsidRPr="004B332F">
        <w:t>I skatteutskottets betänkande (2009/10:SkU27) upprepades att utskottet u</w:t>
      </w:r>
      <w:r w:rsidRPr="004B332F">
        <w:t>t</w:t>
      </w:r>
      <w:r w:rsidRPr="004B332F">
        <w:t>gick ifrån att regeringen följer riksdagens tidigare beslut i frågan.</w:t>
      </w:r>
    </w:p>
    <w:p w:rsidR="004B332F" w:rsidRPr="004B332F" w:rsidRDefault="004B332F">
      <w:pPr>
        <w:pStyle w:val="Normaltindrag"/>
        <w:rPr>
          <w:bCs/>
          <w:color w:val="000000"/>
          <w:szCs w:val="24"/>
        </w:rPr>
      </w:pPr>
      <w:r w:rsidRPr="004B332F">
        <w:rPr>
          <w:bCs/>
          <w:color w:val="000000"/>
          <w:szCs w:val="24"/>
        </w:rPr>
        <w:t>Regeringen har den 14 januari 2010 beslutat om direktiv till en utredning om konkurrensförutsättningarna för sjöfart under svensk flagg (dir. 2010:2). Utredaren ska, om det bedöms lämpligt, lämna förslag på åtgärder utanför skatteområdet för att stärka konkurrenskraften för fartyg under svensk flagg. Det framgår av direktiven att frågan om tonnageskatt bereds vidare inom Regeringskansliet så skyndsamt som möjligt.</w:t>
      </w:r>
    </w:p>
    <w:p w:rsidR="004B332F" w:rsidRPr="004B332F" w:rsidRDefault="004B332F">
      <w:pPr>
        <w:pStyle w:val="Normaltindrag"/>
      </w:pPr>
      <w:r w:rsidRPr="004B332F">
        <w:t>Mot bakgrund av en enig riksdags tydliga ställningstagande anser jag att regeringen skyndsamt bör återkomma med ett förslag om införande av tonn</w:t>
      </w:r>
      <w:r w:rsidRPr="004B332F">
        <w:t>a</w:t>
      </w:r>
      <w:r w:rsidRPr="004B332F">
        <w:t>geskatt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32F">
        <w:trPr>
          <w:cantSplit/>
        </w:trPr>
        <w:tc>
          <w:tcPr>
            <w:tcW w:w="3046" w:type="dxa"/>
          </w:tcPr>
          <w:p w:rsidR="004B332F" w:rsidRPr="004B332F" w:rsidRDefault="004B332F">
            <w:pPr>
              <w:pStyle w:val="UnderskriftDatum"/>
              <w:spacing w:before="240"/>
            </w:pPr>
            <w:r w:rsidRPr="004B332F">
              <w:t>Stockholm den 27 oktober 2010</w:t>
            </w:r>
          </w:p>
        </w:tc>
        <w:tc>
          <w:tcPr>
            <w:tcW w:w="3047" w:type="dxa"/>
          </w:tcPr>
          <w:p w:rsidR="004B332F" w:rsidRPr="004B332F" w:rsidRDefault="004B332F">
            <w:pPr>
              <w:pStyle w:val="Underskrifter"/>
              <w:spacing w:before="240"/>
            </w:pPr>
          </w:p>
        </w:tc>
      </w:tr>
      <w:tr w:rsidR="00000000" w:rsidRPr="004B332F">
        <w:trPr>
          <w:cantSplit/>
        </w:trPr>
        <w:tc>
          <w:tcPr>
            <w:tcW w:w="3046" w:type="dxa"/>
          </w:tcPr>
          <w:p w:rsidR="004B332F" w:rsidRPr="004B332F" w:rsidRDefault="004B332F">
            <w:pPr>
              <w:pStyle w:val="Underskrifter"/>
            </w:pPr>
            <w:r w:rsidRPr="004B332F">
              <w:t>Annelie Enochson (KD)</w:t>
            </w:r>
          </w:p>
        </w:tc>
        <w:tc>
          <w:tcPr>
            <w:tcW w:w="3046" w:type="dxa"/>
          </w:tcPr>
          <w:p w:rsidR="004B332F" w:rsidRPr="004B332F" w:rsidRDefault="004B332F">
            <w:pPr>
              <w:pStyle w:val="Underskrifter"/>
            </w:pPr>
          </w:p>
        </w:tc>
      </w:tr>
    </w:tbl>
    <w:p w:rsidR="004B332F" w:rsidRPr="004B332F" w:rsidRDefault="004B332F">
      <w:pPr>
        <w:pStyle w:val="Normaltindrag"/>
      </w:pPr>
    </w:p>
    <w:sectPr w:rsidR="00000000" w:rsidRPr="004B33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32F" w:rsidRPr="004B332F" w:rsidRDefault="004B332F">
      <w:r w:rsidRPr="004B332F">
        <w:separator/>
      </w:r>
    </w:p>
  </w:endnote>
  <w:endnote w:type="continuationSeparator" w:id="0">
    <w:p w:rsidR="004B332F" w:rsidRPr="004B332F" w:rsidRDefault="004B332F">
      <w:r w:rsidRPr="004B3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fot"/>
    </w:pPr>
    <w:r w:rsidRPr="004B3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342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32F" w:rsidRDefault="004B33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fot"/>
    </w:pPr>
    <w:r w:rsidRPr="004B3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849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32F" w:rsidRDefault="004B332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fot"/>
    </w:pPr>
    <w:r w:rsidRPr="004B3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378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32F" w:rsidRDefault="004B33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32F" w:rsidRPr="004B332F" w:rsidRDefault="004B332F">
      <w:r w:rsidRPr="004B332F">
        <w:separator/>
      </w:r>
    </w:p>
  </w:footnote>
  <w:footnote w:type="continuationSeparator" w:id="0">
    <w:p w:rsidR="004B332F" w:rsidRPr="004B332F" w:rsidRDefault="004B332F">
      <w:r w:rsidRPr="004B3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huvud"/>
    </w:pPr>
    <w:r w:rsidRPr="004B3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999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32F" w:rsidRDefault="004B33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huvud"/>
    </w:pPr>
    <w:r w:rsidRPr="004B3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512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32F" w:rsidRDefault="004B33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FSHNormal"/>
      <w:tabs>
        <w:tab w:val="right" w:pos="5840"/>
      </w:tabs>
    </w:pPr>
    <w:r w:rsidRPr="004B332F">
      <w:br/>
    </w:r>
    <w:r w:rsidRPr="004B332F">
      <w:fldChar w:fldCharType="begin" w:fldLock="1"/>
    </w:r>
    <w:r w:rsidRPr="004B332F">
      <w:instrText xml:space="preserve"> DOCPROPERTY</w:instrText>
    </w:r>
    <w:r w:rsidRPr="004B332F">
      <w:rPr>
        <w:sz w:val="18"/>
      </w:rPr>
      <w:instrText xml:space="preserve"> "YearUser" *\charformat </w:instrText>
    </w:r>
    <w:r w:rsidRPr="004B332F">
      <w:fldChar w:fldCharType="separate"/>
    </w:r>
    <w:r w:rsidRPr="004B332F">
      <w:t>2010/11</w:t>
    </w:r>
    <w:r w:rsidRPr="004B332F">
      <w:fldChar w:fldCharType="end"/>
    </w:r>
    <w:r w:rsidRPr="004B332F">
      <w:t xml:space="preserve"> </w:t>
    </w:r>
    <w:r w:rsidRPr="004B332F">
      <w:tab/>
      <w:t xml:space="preserve">mnr: </w:t>
    </w:r>
    <w:r w:rsidRPr="004B332F">
      <w:fldChar w:fldCharType="begin" w:fldLock="1"/>
    </w:r>
    <w:r w:rsidRPr="004B332F">
      <w:instrText xml:space="preserve"> DOCPROPERTY</w:instrText>
    </w:r>
    <w:r w:rsidRPr="004B332F">
      <w:rPr>
        <w:sz w:val="18"/>
      </w:rPr>
      <w:instrText xml:space="preserve"> "Motionsnummer" *\charformat </w:instrText>
    </w:r>
    <w:r w:rsidRPr="004B332F">
      <w:fldChar w:fldCharType="separate"/>
    </w:r>
    <w:r w:rsidRPr="004B332F">
      <w:t>Sk382</w:t>
    </w:r>
    <w:r w:rsidRPr="004B332F">
      <w:fldChar w:fldCharType="end"/>
    </w:r>
    <w:r w:rsidRPr="004B332F">
      <w:br/>
    </w:r>
    <w:r w:rsidRPr="004B332F">
      <w:fldChar w:fldCharType="begin" w:fldLock="1"/>
    </w:r>
    <w:r w:rsidRPr="004B332F">
      <w:instrText xml:space="preserve"> DOCPROPERTY</w:instrText>
    </w:r>
    <w:r w:rsidRPr="004B332F">
      <w:rPr>
        <w:sz w:val="18"/>
      </w:rPr>
      <w:instrText xml:space="preserve"> "Samling" *\charformat </w:instrText>
    </w:r>
    <w:r w:rsidRPr="004B332F">
      <w:fldChar w:fldCharType="end"/>
    </w:r>
    <w:r w:rsidRPr="004B332F">
      <w:tab/>
      <w:t xml:space="preserve">pnr: </w:t>
    </w:r>
    <w:r w:rsidRPr="004B332F">
      <w:fldChar w:fldCharType="begin" w:fldLock="1"/>
    </w:r>
    <w:r w:rsidRPr="004B332F">
      <w:instrText xml:space="preserve"> DOCPROPERTY</w:instrText>
    </w:r>
    <w:r w:rsidRPr="004B332F">
      <w:rPr>
        <w:sz w:val="18"/>
      </w:rPr>
      <w:instrText xml:space="preserve"> "Partinummer" *\charformat </w:instrText>
    </w:r>
    <w:r w:rsidRPr="004B332F">
      <w:fldChar w:fldCharType="separate"/>
    </w:r>
    <w:r w:rsidRPr="004B332F">
      <w:t>KD805</w:t>
    </w:r>
    <w:r w:rsidRPr="004B332F">
      <w:fldChar w:fldCharType="end"/>
    </w:r>
  </w:p>
  <w:p w:rsidR="004B332F" w:rsidRPr="004B332F" w:rsidRDefault="004B332F">
    <w:pPr>
      <w:pStyle w:val="FSHRub1"/>
    </w:pPr>
    <w:r w:rsidRPr="004B332F">
      <w:t>Motion till riksdagen</w:t>
    </w:r>
    <w:r w:rsidRPr="004B332F">
      <w:br/>
    </w:r>
    <w:r w:rsidRPr="004B332F">
      <w:fldChar w:fldCharType="begin" w:fldLock="1"/>
    </w:r>
    <w:r w:rsidRPr="004B332F">
      <w:instrText xml:space="preserve"> DOCPROPERTY "YearUser" *\charformat </w:instrText>
    </w:r>
    <w:r w:rsidRPr="004B332F">
      <w:fldChar w:fldCharType="separate"/>
    </w:r>
    <w:r w:rsidRPr="004B332F">
      <w:t>2010/11</w:t>
    </w:r>
    <w:r w:rsidRPr="004B332F">
      <w:fldChar w:fldCharType="end"/>
    </w:r>
    <w:r w:rsidRPr="004B332F">
      <w:t>:</w:t>
    </w:r>
    <w:r w:rsidRPr="004B332F">
      <w:fldChar w:fldCharType="begin" w:fldLock="1"/>
    </w:r>
    <w:r w:rsidRPr="004B332F">
      <w:instrText xml:space="preserve"> DOCPROPERTY "Motionsnummer" *\charformat </w:instrText>
    </w:r>
    <w:r w:rsidRPr="004B332F">
      <w:fldChar w:fldCharType="separate"/>
    </w:r>
    <w:r w:rsidRPr="004B332F">
      <w:t>Sk382</w:t>
    </w:r>
    <w:r w:rsidRPr="004B332F">
      <w:fldChar w:fldCharType="end"/>
    </w:r>
  </w:p>
  <w:p w:rsidR="004B332F" w:rsidRPr="004B332F" w:rsidRDefault="004B332F">
    <w:pPr>
      <w:pStyle w:val="FSHNormalS5"/>
    </w:pPr>
    <w:r w:rsidRPr="004B332F">
      <w:fldChar w:fldCharType="begin" w:fldLock="1"/>
    </w:r>
    <w:r w:rsidRPr="004B332F">
      <w:instrText xml:space="preserve"> DOCPROPERTY "MotionarText" *\charformat </w:instrText>
    </w:r>
    <w:r w:rsidRPr="004B332F">
      <w:fldChar w:fldCharType="separate"/>
    </w:r>
    <w:r w:rsidRPr="004B332F">
      <w:t>av Annelie Enochson (KD)</w:t>
    </w:r>
    <w:r w:rsidRPr="004B332F">
      <w:fldChar w:fldCharType="end"/>
    </w:r>
    <w:r w:rsidRPr="004B332F">
      <w:br/>
    </w:r>
    <w:r w:rsidRPr="004B332F">
      <w:fldChar w:fldCharType="begin" w:fldLock="1"/>
    </w:r>
    <w:r w:rsidRPr="004B332F">
      <w:instrText xml:space="preserve"> DOCPROPERTY "SvarFrasKort" *\charformat </w:instrText>
    </w:r>
    <w:r w:rsidRPr="004B332F">
      <w:fldChar w:fldCharType="end"/>
    </w:r>
  </w:p>
  <w:p w:rsidR="004B332F" w:rsidRPr="004B332F" w:rsidRDefault="004B332F">
    <w:pPr>
      <w:pStyle w:val="FSHTitel"/>
    </w:pPr>
    <w:r w:rsidRPr="004B332F">
      <w:fldChar w:fldCharType="begin" w:fldLock="1"/>
    </w:r>
    <w:r w:rsidRPr="004B332F">
      <w:instrText xml:space="preserve"> DOCPROPERTY</w:instrText>
    </w:r>
    <w:r w:rsidRPr="004B332F">
      <w:rPr>
        <w:sz w:val="18"/>
      </w:rPr>
      <w:instrText xml:space="preserve"> "RubrikSvar" *\charformat </w:instrText>
    </w:r>
    <w:r w:rsidRPr="004B332F">
      <w:fldChar w:fldCharType="separate"/>
    </w:r>
    <w:r w:rsidRPr="004B332F">
      <w:t>Övergång till tonnageskatt för den svenska sjöfarten</w:t>
    </w:r>
    <w:r w:rsidRPr="004B332F">
      <w:fldChar w:fldCharType="end"/>
    </w:r>
  </w:p>
  <w:p w:rsidR="004B332F" w:rsidRPr="004B332F" w:rsidRDefault="004B332F">
    <w:pPr>
      <w:pStyle w:val="Normal00"/>
    </w:pPr>
  </w:p>
  <w:p w:rsidR="004B332F" w:rsidRPr="004B332F" w:rsidRDefault="004B3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B5D2704"/>
    <w:multiLevelType w:val="hybridMultilevel"/>
    <w:tmpl w:val="C0BEF434"/>
    <w:lvl w:ilvl="0" w:tplc="47A04C9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E065D9"/>
    <w:multiLevelType w:val="hybridMultilevel"/>
    <w:tmpl w:val="E56635C8"/>
    <w:lvl w:ilvl="0" w:tplc="00645CB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3023D48"/>
    <w:multiLevelType w:val="hybridMultilevel"/>
    <w:tmpl w:val="541293E2"/>
    <w:lvl w:ilvl="0" w:tplc="E0B654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1666460">
    <w:abstractNumId w:val="8"/>
  </w:num>
  <w:num w:numId="2" w16cid:durableId="7878563">
    <w:abstractNumId w:val="9"/>
  </w:num>
  <w:num w:numId="3" w16cid:durableId="866874413">
    <w:abstractNumId w:val="8"/>
  </w:num>
  <w:num w:numId="4" w16cid:durableId="825053013">
    <w:abstractNumId w:val="9"/>
  </w:num>
  <w:num w:numId="5" w16cid:durableId="1199007925">
    <w:abstractNumId w:val="16"/>
  </w:num>
  <w:num w:numId="6" w16cid:durableId="976690114">
    <w:abstractNumId w:val="10"/>
  </w:num>
  <w:num w:numId="7" w16cid:durableId="296961297">
    <w:abstractNumId w:val="11"/>
  </w:num>
  <w:num w:numId="8" w16cid:durableId="1557280921">
    <w:abstractNumId w:val="14"/>
  </w:num>
  <w:num w:numId="9" w16cid:durableId="2128041748">
    <w:abstractNumId w:val="8"/>
  </w:num>
  <w:num w:numId="10" w16cid:durableId="1750424811">
    <w:abstractNumId w:val="3"/>
  </w:num>
  <w:num w:numId="11" w16cid:durableId="2089768769">
    <w:abstractNumId w:val="2"/>
  </w:num>
  <w:num w:numId="12" w16cid:durableId="581062604">
    <w:abstractNumId w:val="1"/>
  </w:num>
  <w:num w:numId="13" w16cid:durableId="12851212">
    <w:abstractNumId w:val="0"/>
  </w:num>
  <w:num w:numId="14" w16cid:durableId="938490869">
    <w:abstractNumId w:val="9"/>
  </w:num>
  <w:num w:numId="15" w16cid:durableId="1755079926">
    <w:abstractNumId w:val="7"/>
  </w:num>
  <w:num w:numId="16" w16cid:durableId="1966621897">
    <w:abstractNumId w:val="6"/>
  </w:num>
  <w:num w:numId="17" w16cid:durableId="110907737">
    <w:abstractNumId w:val="5"/>
  </w:num>
  <w:num w:numId="18" w16cid:durableId="671785">
    <w:abstractNumId w:val="4"/>
  </w:num>
  <w:num w:numId="19" w16cid:durableId="804195697">
    <w:abstractNumId w:val="12"/>
  </w:num>
  <w:num w:numId="20" w16cid:durableId="1388526707">
    <w:abstractNumId w:val="15"/>
  </w:num>
  <w:num w:numId="21" w16cid:durableId="1210266999">
    <w:abstractNumId w:val="13"/>
  </w:num>
  <w:num w:numId="22" w16cid:durableId="1666935865">
    <w:abstractNumId w:val="11"/>
  </w:num>
  <w:num w:numId="23" w16cid:durableId="360936531">
    <w:abstractNumId w:val="10"/>
  </w:num>
  <w:num w:numId="24" w16cid:durableId="1680351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0AF71C00-8FC7-4BF2-BF5D-B2252B5845A8}"/>
  </w:docVars>
  <w:rsids>
    <w:rsidRoot w:val="00D04A17"/>
    <w:rsid w:val="004B332F"/>
    <w:rsid w:val="00D04A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EEE27EB-AD89-438D-9B6E-3C1BA79D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2343</Words>
  <Characters>14600</Characters>
  <Application>Microsoft Office Word</Application>
  <DocSecurity>4</DocSecurity>
  <Lines>251</Lines>
  <Paragraphs>48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2011-01-26T12:22:00Z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mot2000_496_2009-08-18</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Övergång till tonnageskatt för den svenska 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 till tonnageskatt för den svenska 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20102011000001070100000008050069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20102011000001070100000008050069</vt:lpwstr>
  </property>
  <property fmtid="{D5CDD505-2E9C-101B-9397-08002B2CF9AE}" pid="50" name="nummer">
    <vt:lpwstr>382</vt:lpwstr>
  </property>
  <property fmtid="{D5CDD505-2E9C-101B-9397-08002B2CF9AE}" pid="51" name="utskottsbeteckning">
    <vt:lpwstr>Sk</vt:lpwstr>
  </property>
  <property fmtid="{D5CDD505-2E9C-101B-9397-08002B2CF9AE}" pid="52" name="GlobalUID">
    <vt:lpwstr>{1468333B-0743-4D9E-87F4-9FF069DABD03}</vt:lpwstr>
  </property>
  <property fmtid="{D5CDD505-2E9C-101B-9397-08002B2CF9AE}" pid="53" name="Överföringar">
    <vt:i4>0</vt:i4>
  </property>
  <property fmtid="{D5CDD505-2E9C-101B-9397-08002B2CF9AE}" pid="54" name="Checksum">
    <vt:lpwstr>*1006017153301*</vt:lpwstr>
  </property>
  <property fmtid="{D5CDD505-2E9C-101B-9397-08002B2CF9AE}" pid="55" name="skuggnummer">
    <vt:lpwstr>2287</vt:lpwstr>
  </property>
  <property fmtid="{D5CDD505-2E9C-101B-9397-08002B2CF9AE}" pid="56" name="urixVersion">
    <vt:lpwstr>4.3.2.0</vt:lpwstr>
  </property>
  <property fmtid="{D5CDD505-2E9C-101B-9397-08002B2CF9AE}" pid="57" name="urixOrigin">
    <vt:lpwstr>110126 13:22:32.687</vt:lpwstr>
  </property>
  <property fmtid="{D5CDD505-2E9C-101B-9397-08002B2CF9AE}" pid="58" name="urixGuid">
    <vt:lpwstr>{DBAC2496-61C4-457E-B99C-42656256A871}</vt:lpwstr>
  </property>
</Properties>
</file>