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2674D" w:rsidRPr="00DF1C84">
        <w:tblPrEx>
          <w:tblCellMar>
            <w:top w:w="0" w:type="dxa"/>
            <w:bottom w:w="0" w:type="dxa"/>
          </w:tblCellMar>
        </w:tblPrEx>
        <w:tc>
          <w:tcPr>
            <w:tcW w:w="2268" w:type="dxa"/>
          </w:tcPr>
          <w:p w:rsidR="00D2674D" w:rsidRPr="00DF1C84" w:rsidRDefault="00D2674D">
            <w:pPr>
              <w:framePr w:w="4400" w:h="1644" w:wrap="notBeside" w:vAnchor="page" w:hAnchor="page" w:x="6573" w:y="721"/>
              <w:rPr>
                <w:rFonts w:ascii="TradeGothic" w:hAnsi="TradeGothic"/>
                <w:i/>
                <w:sz w:val="18"/>
              </w:rPr>
            </w:pPr>
          </w:p>
        </w:tc>
        <w:tc>
          <w:tcPr>
            <w:tcW w:w="2347" w:type="dxa"/>
            <w:gridSpan w:val="2"/>
          </w:tcPr>
          <w:p w:rsidR="00D2674D" w:rsidRPr="00DF1C84" w:rsidRDefault="00D2674D">
            <w:pPr>
              <w:framePr w:w="4400" w:h="1644" w:wrap="notBeside" w:vAnchor="page" w:hAnchor="page" w:x="6573" w:y="721"/>
              <w:rPr>
                <w:rFonts w:ascii="TradeGothic" w:hAnsi="TradeGothic"/>
                <w:i/>
                <w:sz w:val="18"/>
              </w:rPr>
            </w:pPr>
          </w:p>
        </w:tc>
      </w:tr>
      <w:tr w:rsidR="00D2674D" w:rsidRPr="00DF1C84">
        <w:tblPrEx>
          <w:tblCellMar>
            <w:top w:w="0" w:type="dxa"/>
            <w:bottom w:w="0" w:type="dxa"/>
          </w:tblCellMar>
        </w:tblPrEx>
        <w:trPr>
          <w:cantSplit/>
        </w:trPr>
        <w:tc>
          <w:tcPr>
            <w:tcW w:w="4615" w:type="dxa"/>
            <w:gridSpan w:val="3"/>
          </w:tcPr>
          <w:p w:rsidR="00D2674D" w:rsidRPr="00DF1C84" w:rsidRDefault="00D2674D">
            <w:pPr>
              <w:framePr w:w="4400" w:h="1644" w:wrap="notBeside" w:vAnchor="page" w:hAnchor="page" w:x="6573" w:y="721"/>
              <w:rPr>
                <w:rFonts w:ascii="TradeGothic" w:hAnsi="TradeGothic"/>
                <w:b/>
                <w:sz w:val="22"/>
              </w:rPr>
            </w:pPr>
            <w:r w:rsidRPr="00DF1C84">
              <w:rPr>
                <w:rFonts w:ascii="TradeGothic" w:hAnsi="TradeGothic"/>
                <w:b/>
                <w:sz w:val="22"/>
              </w:rPr>
              <w:t>PM Till riksdagen</w:t>
            </w:r>
          </w:p>
        </w:tc>
      </w:tr>
      <w:tr w:rsidR="00D2674D" w:rsidRPr="00DF1C84">
        <w:tblPrEx>
          <w:tblCellMar>
            <w:top w:w="0" w:type="dxa"/>
            <w:bottom w:w="0" w:type="dxa"/>
          </w:tblCellMar>
        </w:tblPrEx>
        <w:tc>
          <w:tcPr>
            <w:tcW w:w="3402" w:type="dxa"/>
            <w:gridSpan w:val="2"/>
          </w:tcPr>
          <w:p w:rsidR="00D2674D" w:rsidRPr="00DF1C84" w:rsidRDefault="00D2674D">
            <w:pPr>
              <w:framePr w:w="4400" w:h="1644" w:wrap="notBeside" w:vAnchor="page" w:hAnchor="page" w:x="6573" w:y="721"/>
            </w:pPr>
          </w:p>
        </w:tc>
        <w:tc>
          <w:tcPr>
            <w:tcW w:w="1213" w:type="dxa"/>
          </w:tcPr>
          <w:p w:rsidR="00D2674D" w:rsidRPr="00DF1C84" w:rsidRDefault="00D2674D">
            <w:pPr>
              <w:framePr w:w="4400" w:h="1644" w:wrap="notBeside" w:vAnchor="page" w:hAnchor="page" w:x="6573" w:y="721"/>
            </w:pPr>
          </w:p>
        </w:tc>
      </w:tr>
      <w:tr w:rsidR="00D2674D" w:rsidRPr="00DF1C84">
        <w:tblPrEx>
          <w:tblCellMar>
            <w:top w:w="0" w:type="dxa"/>
            <w:bottom w:w="0" w:type="dxa"/>
          </w:tblCellMar>
        </w:tblPrEx>
        <w:tc>
          <w:tcPr>
            <w:tcW w:w="2268" w:type="dxa"/>
          </w:tcPr>
          <w:p w:rsidR="00D2674D" w:rsidRPr="00DF1C84" w:rsidRDefault="00860535">
            <w:pPr>
              <w:framePr w:w="4400" w:h="1644" w:wrap="notBeside" w:vAnchor="page" w:hAnchor="page" w:x="6573" w:y="721"/>
            </w:pPr>
            <w:r w:rsidRPr="00DF1C84">
              <w:t>2007-05-0</w:t>
            </w:r>
            <w:r w:rsidR="00B666AE" w:rsidRPr="00DF1C84">
              <w:t>8</w:t>
            </w:r>
          </w:p>
        </w:tc>
        <w:tc>
          <w:tcPr>
            <w:tcW w:w="2347" w:type="dxa"/>
            <w:gridSpan w:val="2"/>
          </w:tcPr>
          <w:p w:rsidR="00D2674D" w:rsidRPr="00DF1C84" w:rsidRDefault="00D2674D">
            <w:pPr>
              <w:framePr w:w="4400" w:h="1644" w:wrap="notBeside" w:vAnchor="page" w:hAnchor="page" w:x="6573" w:y="721"/>
            </w:pPr>
          </w:p>
        </w:tc>
      </w:tr>
      <w:tr w:rsidR="00D2674D" w:rsidRPr="00DF1C84">
        <w:tblPrEx>
          <w:tblCellMar>
            <w:top w:w="0" w:type="dxa"/>
            <w:bottom w:w="0" w:type="dxa"/>
          </w:tblCellMar>
        </w:tblPrEx>
        <w:tc>
          <w:tcPr>
            <w:tcW w:w="2268" w:type="dxa"/>
          </w:tcPr>
          <w:p w:rsidR="00D2674D" w:rsidRPr="00DF1C84" w:rsidRDefault="00D2674D">
            <w:pPr>
              <w:framePr w:w="4400" w:h="1644" w:wrap="notBeside" w:vAnchor="page" w:hAnchor="page" w:x="6573" w:y="721"/>
            </w:pPr>
          </w:p>
        </w:tc>
        <w:tc>
          <w:tcPr>
            <w:tcW w:w="2347" w:type="dxa"/>
            <w:gridSpan w:val="2"/>
          </w:tcPr>
          <w:p w:rsidR="00D2674D" w:rsidRPr="00DF1C84" w:rsidRDefault="00D2674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2674D" w:rsidRPr="00DF1C84">
        <w:tblPrEx>
          <w:tblCellMar>
            <w:top w:w="0" w:type="dxa"/>
            <w:bottom w:w="0" w:type="dxa"/>
          </w:tblCellMar>
        </w:tblPrEx>
        <w:trPr>
          <w:trHeight w:val="284"/>
        </w:trPr>
        <w:tc>
          <w:tcPr>
            <w:tcW w:w="4911" w:type="dxa"/>
          </w:tcPr>
          <w:p w:rsidR="00D2674D" w:rsidRPr="00DF1C84" w:rsidRDefault="00860535">
            <w:pPr>
              <w:pStyle w:val="Avsndare"/>
              <w:framePr w:h="2483" w:wrap="notBeside" w:x="1504"/>
              <w:rPr>
                <w:b/>
                <w:i w:val="0"/>
                <w:sz w:val="22"/>
              </w:rPr>
            </w:pPr>
            <w:r w:rsidRPr="00DF1C84">
              <w:rPr>
                <w:b/>
                <w:i w:val="0"/>
                <w:sz w:val="22"/>
              </w:rPr>
              <w:t>Närings</w:t>
            </w:r>
            <w:r w:rsidR="00D2674D" w:rsidRPr="00DF1C84">
              <w:rPr>
                <w:b/>
                <w:i w:val="0"/>
                <w:sz w:val="22"/>
              </w:rPr>
              <w:t>departementet</w:t>
            </w:r>
          </w:p>
        </w:tc>
      </w:tr>
      <w:tr w:rsidR="00D2674D" w:rsidRPr="00DF1C84">
        <w:tblPrEx>
          <w:tblCellMar>
            <w:top w:w="0" w:type="dxa"/>
            <w:bottom w:w="0" w:type="dxa"/>
          </w:tblCellMar>
        </w:tblPrEx>
        <w:trPr>
          <w:trHeight w:val="284"/>
        </w:trPr>
        <w:tc>
          <w:tcPr>
            <w:tcW w:w="4911" w:type="dxa"/>
          </w:tcPr>
          <w:p w:rsidR="00D2674D" w:rsidRPr="00DF1C84" w:rsidRDefault="00D2674D">
            <w:pPr>
              <w:pStyle w:val="Avsndare"/>
              <w:framePr w:h="2483" w:wrap="notBeside" w:x="1504"/>
              <w:rPr>
                <w:bCs/>
                <w:iCs/>
              </w:rPr>
            </w:pPr>
          </w:p>
        </w:tc>
      </w:tr>
      <w:tr w:rsidR="00D2674D" w:rsidRPr="00DF1C84">
        <w:tblPrEx>
          <w:tblCellMar>
            <w:top w:w="0" w:type="dxa"/>
            <w:bottom w:w="0" w:type="dxa"/>
          </w:tblCellMar>
        </w:tblPrEx>
        <w:trPr>
          <w:trHeight w:val="284"/>
        </w:trPr>
        <w:tc>
          <w:tcPr>
            <w:tcW w:w="4911" w:type="dxa"/>
          </w:tcPr>
          <w:p w:rsidR="00D2674D" w:rsidRPr="00DF1C84" w:rsidRDefault="00860535">
            <w:pPr>
              <w:pStyle w:val="Avsndare"/>
              <w:framePr w:h="2483" w:wrap="notBeside" w:x="1504"/>
              <w:rPr>
                <w:bCs/>
                <w:iCs/>
              </w:rPr>
            </w:pPr>
            <w:r w:rsidRPr="00DF1C84">
              <w:rPr>
                <w:bCs/>
                <w:iCs/>
              </w:rPr>
              <w:t>Entreprenörskap</w:t>
            </w:r>
          </w:p>
          <w:p w:rsidR="00D2674D" w:rsidRPr="00DF1C84" w:rsidRDefault="00860535">
            <w:pPr>
              <w:pStyle w:val="Avsndare"/>
              <w:framePr w:h="2483" w:wrap="notBeside" w:x="1504"/>
              <w:rPr>
                <w:bCs/>
                <w:iCs/>
              </w:rPr>
            </w:pPr>
            <w:r w:rsidRPr="00DF1C84">
              <w:rPr>
                <w:bCs/>
                <w:iCs/>
              </w:rPr>
              <w:t>Thomas Bengtsson</w:t>
            </w:r>
          </w:p>
        </w:tc>
      </w:tr>
      <w:tr w:rsidR="00D2674D" w:rsidRPr="00DF1C84">
        <w:tblPrEx>
          <w:tblCellMar>
            <w:top w:w="0" w:type="dxa"/>
            <w:bottom w:w="0" w:type="dxa"/>
          </w:tblCellMar>
        </w:tblPrEx>
        <w:trPr>
          <w:trHeight w:val="284"/>
        </w:trPr>
        <w:tc>
          <w:tcPr>
            <w:tcW w:w="4911" w:type="dxa"/>
          </w:tcPr>
          <w:p w:rsidR="00D2674D" w:rsidRPr="00DF1C84" w:rsidRDefault="00D2674D">
            <w:pPr>
              <w:pStyle w:val="Avsndare"/>
              <w:framePr w:h="2483" w:wrap="notBeside" w:x="1504"/>
              <w:rPr>
                <w:bCs/>
                <w:iCs/>
              </w:rPr>
            </w:pPr>
          </w:p>
        </w:tc>
      </w:tr>
      <w:tr w:rsidR="00D2674D" w:rsidRPr="00DF1C84">
        <w:tblPrEx>
          <w:tblCellMar>
            <w:top w:w="0" w:type="dxa"/>
            <w:bottom w:w="0" w:type="dxa"/>
          </w:tblCellMar>
        </w:tblPrEx>
        <w:trPr>
          <w:trHeight w:val="284"/>
        </w:trPr>
        <w:tc>
          <w:tcPr>
            <w:tcW w:w="4911" w:type="dxa"/>
          </w:tcPr>
          <w:p w:rsidR="00D2674D" w:rsidRPr="00DF1C84" w:rsidRDefault="00D2674D">
            <w:pPr>
              <w:pStyle w:val="Avsndare"/>
              <w:framePr w:h="2483" w:wrap="notBeside" w:x="1504"/>
              <w:rPr>
                <w:bCs/>
                <w:iCs/>
              </w:rPr>
            </w:pPr>
          </w:p>
        </w:tc>
      </w:tr>
      <w:tr w:rsidR="00D2674D" w:rsidRPr="00DF1C84">
        <w:tblPrEx>
          <w:tblCellMar>
            <w:top w:w="0" w:type="dxa"/>
            <w:bottom w:w="0" w:type="dxa"/>
          </w:tblCellMar>
        </w:tblPrEx>
        <w:trPr>
          <w:trHeight w:val="284"/>
        </w:trPr>
        <w:tc>
          <w:tcPr>
            <w:tcW w:w="4911" w:type="dxa"/>
          </w:tcPr>
          <w:p w:rsidR="00D2674D" w:rsidRPr="00DF1C84" w:rsidRDefault="00D2674D">
            <w:pPr>
              <w:pStyle w:val="Avsndare"/>
              <w:framePr w:h="2483" w:wrap="notBeside" w:x="1504"/>
              <w:rPr>
                <w:bCs/>
                <w:iCs/>
              </w:rPr>
            </w:pPr>
          </w:p>
        </w:tc>
      </w:tr>
      <w:tr w:rsidR="00D2674D" w:rsidRPr="00DF1C84">
        <w:tblPrEx>
          <w:tblCellMar>
            <w:top w:w="0" w:type="dxa"/>
            <w:bottom w:w="0" w:type="dxa"/>
          </w:tblCellMar>
        </w:tblPrEx>
        <w:trPr>
          <w:trHeight w:val="284"/>
        </w:trPr>
        <w:tc>
          <w:tcPr>
            <w:tcW w:w="4911" w:type="dxa"/>
          </w:tcPr>
          <w:p w:rsidR="00D2674D" w:rsidRPr="00DF1C84" w:rsidRDefault="00D2674D">
            <w:pPr>
              <w:pStyle w:val="Avsndare"/>
              <w:framePr w:h="2483" w:wrap="notBeside" w:x="1504"/>
              <w:rPr>
                <w:bCs/>
                <w:iCs/>
              </w:rPr>
            </w:pPr>
          </w:p>
        </w:tc>
      </w:tr>
      <w:tr w:rsidR="00D2674D" w:rsidRPr="00DF1C84">
        <w:tblPrEx>
          <w:tblCellMar>
            <w:top w:w="0" w:type="dxa"/>
            <w:bottom w:w="0" w:type="dxa"/>
          </w:tblCellMar>
        </w:tblPrEx>
        <w:trPr>
          <w:trHeight w:val="284"/>
        </w:trPr>
        <w:tc>
          <w:tcPr>
            <w:tcW w:w="4911" w:type="dxa"/>
          </w:tcPr>
          <w:p w:rsidR="00D2674D" w:rsidRPr="00DF1C84" w:rsidRDefault="00D2674D">
            <w:pPr>
              <w:pStyle w:val="Avsndare"/>
              <w:framePr w:h="2483" w:wrap="notBeside" w:x="1504"/>
              <w:rPr>
                <w:bCs/>
                <w:iCs/>
              </w:rPr>
            </w:pPr>
          </w:p>
        </w:tc>
      </w:tr>
      <w:tr w:rsidR="00D2674D" w:rsidRPr="00DF1C84">
        <w:tblPrEx>
          <w:tblCellMar>
            <w:top w:w="0" w:type="dxa"/>
            <w:bottom w:w="0" w:type="dxa"/>
          </w:tblCellMar>
        </w:tblPrEx>
        <w:trPr>
          <w:trHeight w:val="284"/>
        </w:trPr>
        <w:tc>
          <w:tcPr>
            <w:tcW w:w="4911" w:type="dxa"/>
          </w:tcPr>
          <w:p w:rsidR="00D2674D" w:rsidRPr="00DF1C84" w:rsidRDefault="00D2674D">
            <w:pPr>
              <w:pStyle w:val="Avsndare"/>
              <w:framePr w:h="2483" w:wrap="notBeside" w:x="1504"/>
              <w:rPr>
                <w:bCs/>
                <w:iCs/>
              </w:rPr>
            </w:pPr>
          </w:p>
        </w:tc>
      </w:tr>
    </w:tbl>
    <w:p w:rsidR="00D2674D" w:rsidRPr="00DF1C84" w:rsidRDefault="00D2674D">
      <w:pPr>
        <w:framePr w:w="4400" w:h="2523" w:wrap="notBeside" w:vAnchor="page" w:hAnchor="page" w:x="6453" w:y="2445"/>
        <w:ind w:left="142"/>
        <w:rPr>
          <w:b/>
        </w:rPr>
      </w:pPr>
    </w:p>
    <w:p w:rsidR="00D2674D" w:rsidRPr="00DF1C84" w:rsidRDefault="00DA404C">
      <w:pPr>
        <w:pStyle w:val="RKrubrik"/>
        <w:pBdr>
          <w:bottom w:val="single" w:sz="6" w:space="1" w:color="auto"/>
        </w:pBdr>
      </w:pPr>
      <w:bookmarkStart w:id="0" w:name="bRubrik"/>
      <w:bookmarkEnd w:id="0"/>
      <w:r w:rsidRPr="00DF1C84">
        <w:t>DP 6:</w:t>
      </w:r>
      <w:r w:rsidR="00860535" w:rsidRPr="00DF1C84">
        <w:t xml:space="preserve"> Industripolitik, rådsslutsatser – de horisontella delarna (sektorsspecifika delar behandlas separat)</w:t>
      </w:r>
    </w:p>
    <w:p w:rsidR="00D2674D" w:rsidRPr="00DF1C84" w:rsidRDefault="00D2674D">
      <w:pPr>
        <w:pStyle w:val="RKrubrik"/>
      </w:pPr>
      <w:r w:rsidRPr="00DF1C84">
        <w:t>Dokumentbeteckning</w:t>
      </w:r>
    </w:p>
    <w:p w:rsidR="00860535" w:rsidRPr="00DF1C84" w:rsidRDefault="00860535" w:rsidP="00860535">
      <w:pPr>
        <w:pStyle w:val="RKnormal"/>
      </w:pPr>
      <w:r w:rsidRPr="00DF1C84">
        <w:t>Draft council conclusions on industrial po</w:t>
      </w:r>
      <w:r w:rsidR="00B666AE" w:rsidRPr="00DF1C84">
        <w:t>licy (consolidated version) 9038/07.</w:t>
      </w:r>
    </w:p>
    <w:p w:rsidR="00D2674D" w:rsidRPr="00DF1C84" w:rsidRDefault="00D2674D">
      <w:pPr>
        <w:pStyle w:val="RKrubrik"/>
      </w:pPr>
      <w:r w:rsidRPr="00DF1C84">
        <w:t>Sammanfattning</w:t>
      </w:r>
    </w:p>
    <w:p w:rsidR="00860535" w:rsidRPr="00DF1C84" w:rsidRDefault="00860535" w:rsidP="00860535">
      <w:pPr>
        <w:pStyle w:val="Brdtext"/>
        <w:spacing w:line="240" w:lineRule="auto"/>
        <w:rPr>
          <w:rFonts w:ascii="OrigGarmnd BT" w:hAnsi="OrigGarmnd BT"/>
        </w:rPr>
      </w:pPr>
      <w:r w:rsidRPr="00DF1C84">
        <w:rPr>
          <w:rFonts w:ascii="OrigGarmnd BT" w:hAnsi="OrigGarmnd BT"/>
        </w:rPr>
        <w:t>Ramen för KOM:s arbete avseende industripolitik fastställdes i KOM:s  industripolitiska meddelande från oktober 2005</w:t>
      </w:r>
      <w:r w:rsidRPr="00DF1C84">
        <w:rPr>
          <w:rStyle w:val="FootnoteCharacters"/>
          <w:rFonts w:ascii="OrigGarmnd BT" w:hAnsi="OrigGarmnd BT"/>
        </w:rPr>
        <w:footnoteReference w:id="1"/>
      </w:r>
      <w:r w:rsidRPr="00DF1C84">
        <w:rPr>
          <w:rFonts w:ascii="OrigGarmnd BT" w:hAnsi="OrigGarmnd BT"/>
        </w:rPr>
        <w:t>. KOM aviserar här sju horisontella initiativ som rör flera branscher (t.ex. initiativ som rör immaterialrätt och varumärkesförfalskning, skapandet av en högnivå</w:t>
      </w:r>
      <w:r w:rsidRPr="00DF1C84">
        <w:rPr>
          <w:rFonts w:ascii="OrigGarmnd BT" w:hAnsi="OrigGarmnd BT"/>
        </w:rPr>
        <w:softHyphen/>
        <w:t xml:space="preserve">grupp för konkurrenskraft, energi och miljö och översyn av strategin för marknadstillträde) samt sju initiativ riktade mot specifika branscher (t.ex. skapande av en högnivågrupp för den kemiska industrin och arbete med EU:s rymdprogram). Rådet har under våren 2006 uttalat sitt stöd för dessa insatser och följer dess genomförande kontinuerligt. </w:t>
      </w:r>
    </w:p>
    <w:p w:rsidR="00860535" w:rsidRPr="00DF1C84" w:rsidRDefault="00860535" w:rsidP="00860535">
      <w:pPr>
        <w:pStyle w:val="Brdtext"/>
        <w:spacing w:line="240" w:lineRule="auto"/>
        <w:rPr>
          <w:rFonts w:ascii="OrigGarmnd BT" w:hAnsi="OrigGarmnd BT"/>
        </w:rPr>
      </w:pPr>
    </w:p>
    <w:p w:rsidR="00860535" w:rsidRPr="00DF1C84" w:rsidRDefault="00860535" w:rsidP="00860535">
      <w:pPr>
        <w:pStyle w:val="RKnormal"/>
      </w:pPr>
      <w:r w:rsidRPr="00DF1C84">
        <w:t xml:space="preserve">KOM presenterade den 28 mars 2007 en </w:t>
      </w:r>
      <w:r w:rsidRPr="00DF1C84">
        <w:rPr>
          <w:b/>
        </w:rPr>
        <w:t>rapport om utvecklingen inom industripolitiken</w:t>
      </w:r>
      <w:r w:rsidRPr="00DF1C84">
        <w:t xml:space="preserve"> sedan industrimeddelandet publicerades i oktober 2005. Rapporten syftar också till att identifiera nuvarande utmaningar som vägledning för kommande utveckling av industripolitiken. I rapporten betonas bl.a. arbetet inom högnivågruppen för energi, miljö och konkurrenskraft. Denna högnivågrupp presenterade i februari 2007 en tredje rapport som fokuserar på att anpassa energiintensiv industri att anpassas till förändringarna på energimarknaden och till klimatförändringarna. Stora insatser har gjorts för att stärka kunskapsbasen för industrin. Bl.a. har arbetet med kluster utvecklats i medlemsländerna och högnivågruppen för kluster haft ett möte i januari 2007. Sveriges regering omnämns som värd för europeiska klusterkonferensen i januari 2008. Ett aktivt arbete pågår vad gäller internationell konkurrenskraft och marknadstillträde. De pågående WTO-förhandlingarna är centrala. Inom området, strukturförändringar, pågår ett omfattande arbete. Insatserna under programperioden 2007 - 2013 pekas ut som centrala. Vi</w:t>
      </w:r>
      <w:r w:rsidRPr="00DF1C84">
        <w:lastRenderedPageBreak/>
        <w:t>dare beskrivs arbetet inom en mängd industrisektorer som är samlade inom ramen för industrimeddelandet.</w:t>
      </w:r>
    </w:p>
    <w:p w:rsidR="00860535" w:rsidRPr="00DF1C84" w:rsidRDefault="00860535" w:rsidP="00860535">
      <w:pPr>
        <w:pStyle w:val="Brdtext"/>
        <w:spacing w:line="240" w:lineRule="auto"/>
        <w:rPr>
          <w:rFonts w:ascii="OrigGarmnd BT" w:hAnsi="OrigGarmnd BT"/>
        </w:rPr>
      </w:pPr>
    </w:p>
    <w:p w:rsidR="00D2674D" w:rsidRPr="00DF1C84" w:rsidRDefault="00860535" w:rsidP="00860535">
      <w:pPr>
        <w:pStyle w:val="RKnormal"/>
      </w:pPr>
      <w:r w:rsidRPr="00DF1C84">
        <w:t>Det tyska ordförandeskapet avser att driva arbetet framåt och industri</w:t>
      </w:r>
      <w:r w:rsidRPr="00DF1C84">
        <w:softHyphen/>
        <w:t>politiken kommer att figurera som diskussionspunkt vid rådsmötet i maj 2007. DE ORDF har nu arbetat fram särskilda råds</w:t>
      </w:r>
      <w:r w:rsidRPr="00DF1C84">
        <w:softHyphen/>
        <w:t>slutsatser på området.</w:t>
      </w:r>
    </w:p>
    <w:p w:rsidR="00D2674D" w:rsidRPr="00DF1C84" w:rsidRDefault="00D2674D">
      <w:pPr>
        <w:pStyle w:val="RKrubrik"/>
        <w:rPr>
          <w:u w:val="single"/>
        </w:rPr>
      </w:pPr>
      <w:r w:rsidRPr="00DF1C84">
        <w:rPr>
          <w:u w:val="single"/>
        </w:rPr>
        <w:t>I Förslaget</w:t>
      </w:r>
    </w:p>
    <w:p w:rsidR="00D2674D" w:rsidRPr="00DF1C84" w:rsidRDefault="00D2674D">
      <w:pPr>
        <w:pStyle w:val="RKrubrik"/>
      </w:pPr>
      <w:r w:rsidRPr="00DF1C84">
        <w:t>1. Innehåll</w:t>
      </w:r>
    </w:p>
    <w:p w:rsidR="00860535" w:rsidRPr="00DF1C84" w:rsidRDefault="00860535" w:rsidP="00860535">
      <w:pPr>
        <w:pStyle w:val="Brdtext1"/>
        <w:spacing w:line="240" w:lineRule="auto"/>
        <w:rPr>
          <w:rFonts w:ascii="OrigGarmnd BT" w:hAnsi="OrigGarmnd BT"/>
          <w:bCs/>
        </w:rPr>
      </w:pPr>
      <w:r w:rsidRPr="00DF1C84">
        <w:rPr>
          <w:rFonts w:ascii="OrigGarmnd BT" w:hAnsi="OrigGarmnd BT"/>
          <w:bCs/>
        </w:rPr>
        <w:t>Rådsslutsatserna</w:t>
      </w:r>
      <w:r w:rsidRPr="00DF1C84">
        <w:rPr>
          <w:rFonts w:ascii="OrigGarmnd BT" w:hAnsi="OrigGarmnd BT"/>
          <w:b/>
          <w:bCs/>
        </w:rPr>
        <w:t xml:space="preserve"> </w:t>
      </w:r>
      <w:r w:rsidRPr="00DF1C84">
        <w:rPr>
          <w:rFonts w:ascii="OrigGarmnd BT" w:hAnsi="OrigGarmnd BT"/>
          <w:bCs/>
        </w:rPr>
        <w:t>kopplar till slutsatserna från Europeiska Rådet den 8/9 mars 2007 och stödjer KOM i att fortsätta arbeta integrerat med industripolitiken. Ett antal aspekter lyfts fram som särskilt betydelsefulla för industrins konkurrenskraft:</w:t>
      </w:r>
    </w:p>
    <w:p w:rsidR="00860535" w:rsidRPr="00DF1C84" w:rsidRDefault="00860535" w:rsidP="00860535">
      <w:pPr>
        <w:pStyle w:val="Brdtext1"/>
        <w:spacing w:line="240" w:lineRule="auto"/>
        <w:rPr>
          <w:rFonts w:ascii="OrigGarmnd BT" w:hAnsi="OrigGarmnd BT"/>
          <w:bCs/>
        </w:rPr>
      </w:pPr>
    </w:p>
    <w:p w:rsidR="00860535" w:rsidRPr="00DF1C84" w:rsidRDefault="00860535" w:rsidP="00860535">
      <w:pPr>
        <w:pStyle w:val="Brdtext1"/>
        <w:numPr>
          <w:ilvl w:val="0"/>
          <w:numId w:val="1"/>
        </w:numPr>
        <w:spacing w:line="240" w:lineRule="auto"/>
        <w:rPr>
          <w:rFonts w:ascii="OrigGarmnd BT" w:hAnsi="OrigGarmnd BT"/>
          <w:bCs/>
        </w:rPr>
      </w:pPr>
      <w:r w:rsidRPr="00DF1C84">
        <w:rPr>
          <w:rFonts w:ascii="OrigGarmnd BT" w:hAnsi="OrigGarmnd BT"/>
          <w:bCs/>
        </w:rPr>
        <w:t>Högnivågruppen för konkurrenskraft, energi och miljö skall fortsätta arbeta för förslag för att stärka industrin när det gäller miljövänlig teknologi och produkter.</w:t>
      </w:r>
    </w:p>
    <w:p w:rsidR="00860535" w:rsidRPr="00DF1C84" w:rsidRDefault="00860535" w:rsidP="00860535">
      <w:pPr>
        <w:pStyle w:val="Brdtext1"/>
        <w:numPr>
          <w:ilvl w:val="0"/>
          <w:numId w:val="1"/>
        </w:numPr>
        <w:spacing w:line="240" w:lineRule="auto"/>
        <w:rPr>
          <w:rFonts w:ascii="OrigGarmnd BT" w:hAnsi="OrigGarmnd BT"/>
          <w:bCs/>
        </w:rPr>
      </w:pPr>
      <w:r w:rsidRPr="00DF1C84">
        <w:rPr>
          <w:rFonts w:ascii="OrigGarmnd BT" w:hAnsi="OrigGarmnd BT"/>
          <w:bCs/>
        </w:rPr>
        <w:t>Arbetet med ”better regulation” skall fortgå och med bibehållen koppling till sektorer (t ex Cars 21).</w:t>
      </w:r>
    </w:p>
    <w:p w:rsidR="00860535" w:rsidRPr="00DF1C84" w:rsidRDefault="00860535" w:rsidP="00860535">
      <w:pPr>
        <w:pStyle w:val="Brdtext1"/>
        <w:numPr>
          <w:ilvl w:val="0"/>
          <w:numId w:val="1"/>
        </w:numPr>
        <w:spacing w:line="240" w:lineRule="auto"/>
        <w:rPr>
          <w:rFonts w:ascii="OrigGarmnd BT" w:hAnsi="OrigGarmnd BT"/>
          <w:bCs/>
        </w:rPr>
      </w:pPr>
      <w:r w:rsidRPr="00DF1C84">
        <w:rPr>
          <w:rFonts w:ascii="OrigGarmnd BT" w:hAnsi="OrigGarmnd BT"/>
          <w:bCs/>
        </w:rPr>
        <w:t>Arbetet med den interna marknaden för varor skall fortgå.</w:t>
      </w:r>
    </w:p>
    <w:p w:rsidR="00860535" w:rsidRPr="00DF1C84" w:rsidRDefault="00860535" w:rsidP="00860535">
      <w:pPr>
        <w:pStyle w:val="Brdtext1"/>
        <w:numPr>
          <w:ilvl w:val="0"/>
          <w:numId w:val="1"/>
        </w:numPr>
        <w:spacing w:line="240" w:lineRule="auto"/>
        <w:rPr>
          <w:rFonts w:ascii="OrigGarmnd BT" w:hAnsi="OrigGarmnd BT"/>
          <w:bCs/>
        </w:rPr>
      </w:pPr>
      <w:r w:rsidRPr="00DF1C84">
        <w:rPr>
          <w:rFonts w:ascii="OrigGarmnd BT" w:hAnsi="OrigGarmnd BT"/>
          <w:bCs/>
        </w:rPr>
        <w:t>Förutom det etablerade WTO arbetet behöver ytterligare insatser göras för bilateral och regional frihandel för att EU:s industri inte skall få nackdel gentemot 3:e länder. Särskilda insatser för marknadstillträde till tillväxtländer skall prioriteras.</w:t>
      </w:r>
    </w:p>
    <w:p w:rsidR="00860535" w:rsidRPr="00DF1C84" w:rsidRDefault="00860535" w:rsidP="00860535">
      <w:pPr>
        <w:pStyle w:val="Brdtext1"/>
        <w:numPr>
          <w:ilvl w:val="0"/>
          <w:numId w:val="1"/>
        </w:numPr>
        <w:spacing w:line="240" w:lineRule="auto"/>
        <w:rPr>
          <w:rFonts w:ascii="OrigGarmnd BT" w:hAnsi="OrigGarmnd BT"/>
          <w:bCs/>
        </w:rPr>
      </w:pPr>
      <w:r w:rsidRPr="00DF1C84">
        <w:rPr>
          <w:rFonts w:ascii="OrigGarmnd BT" w:hAnsi="OrigGarmnd BT"/>
          <w:bCs/>
        </w:rPr>
        <w:t>Inom FoU och innovation skall synergier mellan 7rp, CIP, och SF eftersträvas. Framtidsteknologier inklusive miljöteknik betonas.</w:t>
      </w:r>
    </w:p>
    <w:p w:rsidR="00860535" w:rsidRPr="00DF1C84" w:rsidRDefault="00860535" w:rsidP="00860535">
      <w:pPr>
        <w:pStyle w:val="Brdtext1"/>
        <w:spacing w:line="240" w:lineRule="auto"/>
        <w:rPr>
          <w:rFonts w:ascii="OrigGarmnd BT" w:hAnsi="OrigGarmnd BT"/>
          <w:bCs/>
        </w:rPr>
      </w:pPr>
    </w:p>
    <w:p w:rsidR="00860535" w:rsidRPr="00DF1C84" w:rsidRDefault="00860535" w:rsidP="00860535">
      <w:pPr>
        <w:pStyle w:val="Brdtext1"/>
        <w:spacing w:line="240" w:lineRule="auto"/>
        <w:rPr>
          <w:rFonts w:ascii="OrigGarmnd BT" w:hAnsi="OrigGarmnd BT"/>
          <w:bCs/>
        </w:rPr>
      </w:pPr>
      <w:r w:rsidRPr="00DF1C84">
        <w:rPr>
          <w:rFonts w:ascii="OrigGarmnd BT" w:hAnsi="OrigGarmnd BT"/>
          <w:bCs/>
        </w:rPr>
        <w:t>Slutsatserna betonar att KOM behöver göra särskilda insatser inom områden som</w:t>
      </w:r>
    </w:p>
    <w:p w:rsidR="00860535" w:rsidRPr="00DF1C84" w:rsidRDefault="00860535" w:rsidP="00860535">
      <w:pPr>
        <w:pStyle w:val="Brdtext1"/>
        <w:numPr>
          <w:ilvl w:val="0"/>
          <w:numId w:val="2"/>
        </w:numPr>
        <w:spacing w:line="240" w:lineRule="auto"/>
        <w:rPr>
          <w:rFonts w:ascii="OrigGarmnd BT" w:hAnsi="OrigGarmnd BT"/>
          <w:bCs/>
        </w:rPr>
      </w:pPr>
      <w:r w:rsidRPr="00DF1C84">
        <w:rPr>
          <w:rFonts w:ascii="OrigGarmnd BT" w:hAnsi="OrigGarmnd BT"/>
          <w:bCs/>
        </w:rPr>
        <w:t>skydd av intellektuella rättigheter</w:t>
      </w:r>
    </w:p>
    <w:p w:rsidR="00860535" w:rsidRPr="00DF1C84" w:rsidRDefault="00860535" w:rsidP="00860535">
      <w:pPr>
        <w:pStyle w:val="Brdtext1"/>
        <w:numPr>
          <w:ilvl w:val="0"/>
          <w:numId w:val="2"/>
        </w:numPr>
        <w:spacing w:line="240" w:lineRule="auto"/>
        <w:rPr>
          <w:rFonts w:ascii="OrigGarmnd BT" w:hAnsi="OrigGarmnd BT"/>
          <w:bCs/>
        </w:rPr>
      </w:pPr>
      <w:r w:rsidRPr="00DF1C84">
        <w:rPr>
          <w:rFonts w:ascii="OrigGarmnd BT" w:hAnsi="OrigGarmnd BT"/>
          <w:bCs/>
        </w:rPr>
        <w:t>KOM skall utveckla anpassade insatser för råmaterialförsörjning för industrin; kostnadseffektiva metoder och miljövänligt tillträde, inklusive återanvändning, till råvaror.</w:t>
      </w:r>
    </w:p>
    <w:p w:rsidR="00860535" w:rsidRPr="00DF1C84" w:rsidRDefault="00860535" w:rsidP="00860535">
      <w:pPr>
        <w:pStyle w:val="Brdtext1"/>
        <w:numPr>
          <w:ilvl w:val="0"/>
          <w:numId w:val="2"/>
        </w:numPr>
        <w:spacing w:line="240" w:lineRule="auto"/>
        <w:rPr>
          <w:rFonts w:ascii="OrigGarmnd BT" w:hAnsi="OrigGarmnd BT"/>
          <w:bCs/>
        </w:rPr>
      </w:pPr>
      <w:r w:rsidRPr="00DF1C84">
        <w:rPr>
          <w:rFonts w:ascii="OrigGarmnd BT" w:hAnsi="OrigGarmnd BT"/>
          <w:bCs/>
        </w:rPr>
        <w:t>Rådet uppmanar KOM och MS att vidta åtgärder för att sörja för tillräckligt och kvalificerat utbud av arbetskraft, inklusive sektors-specifika behov.</w:t>
      </w:r>
    </w:p>
    <w:p w:rsidR="00860535" w:rsidRPr="00DF1C84" w:rsidRDefault="00860535" w:rsidP="00860535">
      <w:pPr>
        <w:pStyle w:val="Brdtext1"/>
        <w:numPr>
          <w:ilvl w:val="0"/>
          <w:numId w:val="2"/>
        </w:numPr>
        <w:spacing w:line="240" w:lineRule="auto"/>
        <w:rPr>
          <w:rFonts w:ascii="OrigGarmnd BT" w:hAnsi="OrigGarmnd BT"/>
          <w:bCs/>
        </w:rPr>
      </w:pPr>
      <w:r w:rsidRPr="00DF1C84">
        <w:rPr>
          <w:rFonts w:ascii="OrigGarmnd BT" w:hAnsi="OrigGarmnd BT"/>
          <w:bCs/>
        </w:rPr>
        <w:t>Välkomnar de resultat som följt av sektorsinitiativ som nyligen presenterats av KOM inom bil-, biotek- och varvsindustrin. KOM inbjuds att ta initiativ till nya industripolicyinitiativ.</w:t>
      </w:r>
    </w:p>
    <w:p w:rsidR="00D2674D" w:rsidRPr="00DF1C84" w:rsidRDefault="00D2674D">
      <w:pPr>
        <w:pStyle w:val="RKnormal"/>
      </w:pPr>
    </w:p>
    <w:p w:rsidR="00D2674D" w:rsidRPr="00DF1C84" w:rsidRDefault="00D2674D">
      <w:pPr>
        <w:pStyle w:val="RKrubrik"/>
      </w:pPr>
      <w:r w:rsidRPr="00DF1C84">
        <w:t>2. Gällande svenska regler och förslagets effekt på dessa</w:t>
      </w:r>
    </w:p>
    <w:p w:rsidR="00D2674D" w:rsidRPr="00DF1C84" w:rsidRDefault="00860535">
      <w:pPr>
        <w:pStyle w:val="RKnormal"/>
      </w:pPr>
      <w:r w:rsidRPr="00DF1C84">
        <w:t>Inga. Rådsslutsatser</w:t>
      </w:r>
    </w:p>
    <w:p w:rsidR="00D2674D" w:rsidRPr="00DF1C84" w:rsidRDefault="00D2674D">
      <w:pPr>
        <w:pStyle w:val="RKrubrik"/>
      </w:pPr>
      <w:r w:rsidRPr="00DF1C84">
        <w:t xml:space="preserve">3. Budgetära konsekvenser </w:t>
      </w:r>
    </w:p>
    <w:p w:rsidR="00D2674D" w:rsidRPr="00DF1C84" w:rsidRDefault="00860535">
      <w:pPr>
        <w:pStyle w:val="RKnormal"/>
      </w:pPr>
      <w:r w:rsidRPr="00DF1C84">
        <w:t>Inga.</w:t>
      </w:r>
    </w:p>
    <w:p w:rsidR="00D2674D" w:rsidRPr="00DF1C84" w:rsidRDefault="00D2674D">
      <w:pPr>
        <w:pStyle w:val="RKrubrik"/>
        <w:rPr>
          <w:u w:val="single"/>
        </w:rPr>
      </w:pPr>
      <w:r w:rsidRPr="00DF1C84">
        <w:rPr>
          <w:u w:val="single"/>
        </w:rPr>
        <w:t>II Ståndpunkter</w:t>
      </w:r>
    </w:p>
    <w:p w:rsidR="00D2674D" w:rsidRPr="00DF1C84" w:rsidRDefault="00D2674D">
      <w:pPr>
        <w:pStyle w:val="RKrubrik"/>
      </w:pPr>
      <w:r w:rsidRPr="00DF1C84">
        <w:t xml:space="preserve">1. Svensk ståndpunkt </w:t>
      </w:r>
    </w:p>
    <w:p w:rsidR="00860535" w:rsidRPr="00DF1C84" w:rsidRDefault="00860535" w:rsidP="00860535">
      <w:pPr>
        <w:pStyle w:val="RKnormal"/>
      </w:pPr>
      <w:r w:rsidRPr="00DF1C84">
        <w:t>Sverige kan anta de horisontella delarna av rådsslutsatsern</w:t>
      </w:r>
      <w:r w:rsidR="00DA404C" w:rsidRPr="00DF1C84">
        <w:t>a efter behandling i rådsarbetsgrupp</w:t>
      </w:r>
      <w:r w:rsidRPr="00DF1C84">
        <w:t>.</w:t>
      </w:r>
    </w:p>
    <w:p w:rsidR="00D2674D" w:rsidRPr="00DF1C84" w:rsidRDefault="00D2674D">
      <w:pPr>
        <w:pStyle w:val="RKrubrik"/>
      </w:pPr>
      <w:r w:rsidRPr="00DF1C84">
        <w:t>2. Remissinstansernas ståndpunkter</w:t>
      </w:r>
    </w:p>
    <w:p w:rsidR="00D2674D" w:rsidRPr="00DF1C84" w:rsidRDefault="00860535">
      <w:pPr>
        <w:pStyle w:val="RKnormal"/>
      </w:pPr>
      <w:r w:rsidRPr="00DF1C84">
        <w:t>---</w:t>
      </w:r>
    </w:p>
    <w:p w:rsidR="00D2674D" w:rsidRPr="00DF1C84" w:rsidRDefault="00D2674D">
      <w:pPr>
        <w:pStyle w:val="RKrubrik"/>
      </w:pPr>
      <w:r w:rsidRPr="00DF1C84">
        <w:t>III Övrigt</w:t>
      </w:r>
    </w:p>
    <w:p w:rsidR="00D2674D" w:rsidRPr="00DF1C84" w:rsidRDefault="00D2674D">
      <w:pPr>
        <w:pStyle w:val="RKrubrik"/>
      </w:pPr>
      <w:r w:rsidRPr="00DF1C84">
        <w:t>1. Fortsatt behandling av ärendet</w:t>
      </w:r>
    </w:p>
    <w:p w:rsidR="00D2674D" w:rsidRPr="00DF1C84" w:rsidRDefault="00860535">
      <w:pPr>
        <w:pStyle w:val="RKnormal"/>
      </w:pPr>
      <w:r w:rsidRPr="00DF1C84">
        <w:t>Slutsatserna antas av rådet.</w:t>
      </w:r>
    </w:p>
    <w:p w:rsidR="00D2674D" w:rsidRPr="00DF1C84" w:rsidRDefault="00D2674D">
      <w:pPr>
        <w:pStyle w:val="RKrubrik"/>
      </w:pPr>
      <w:r w:rsidRPr="00DF1C84">
        <w:t>2. Rättslig grund och beslutsförfarande</w:t>
      </w:r>
    </w:p>
    <w:p w:rsidR="00860535" w:rsidRPr="00DF1C84" w:rsidRDefault="00860535" w:rsidP="00860535">
      <w:pPr>
        <w:pStyle w:val="Default"/>
        <w:rPr>
          <w:rFonts w:ascii="OrigGarmnd BT" w:hAnsi="OrigGarmnd BT" w:cs="OrigGarmnd BT"/>
          <w:color w:val="auto"/>
        </w:rPr>
      </w:pPr>
      <w:r w:rsidRPr="00DF1C84">
        <w:rPr>
          <w:rFonts w:ascii="OrigGarmnd BT" w:hAnsi="OrigGarmnd BT" w:cs="OrigGarmnd BT"/>
          <w:color w:val="auto"/>
        </w:rPr>
        <w:t>Artikel 157 i EG-fördraget ligger till grund för EU:s industripolitik. Beslut i enlighet med artikel 251. Denna behandling gäller inte förordning utan rådsslutsatser.</w:t>
      </w:r>
    </w:p>
    <w:p w:rsidR="00D2674D" w:rsidRPr="00DF1C84" w:rsidRDefault="00D2674D">
      <w:pPr>
        <w:pStyle w:val="RKrubrik"/>
      </w:pPr>
      <w:r w:rsidRPr="00DF1C84">
        <w:t>3. Fackuttryck/termer</w:t>
      </w:r>
    </w:p>
    <w:p w:rsidR="00D2674D" w:rsidRPr="00DF1C84" w:rsidRDefault="00860535">
      <w:pPr>
        <w:pStyle w:val="RKnormal"/>
      </w:pPr>
      <w:r w:rsidRPr="00DF1C84">
        <w:t xml:space="preserve">- - - - </w:t>
      </w:r>
    </w:p>
    <w:p w:rsidR="00D2674D" w:rsidRPr="00DF1C84" w:rsidRDefault="00D2674D">
      <w:pPr>
        <w:pStyle w:val="RKrubrik"/>
        <w:spacing w:before="0" w:after="0"/>
      </w:pPr>
    </w:p>
    <w:p w:rsidR="00D2674D" w:rsidRPr="00DF1C84" w:rsidRDefault="00D2674D">
      <w:pPr>
        <w:pStyle w:val="RKnormal"/>
      </w:pPr>
    </w:p>
    <w:p w:rsidR="00D2674D" w:rsidRPr="00DF1C84" w:rsidRDefault="00D2674D">
      <w:pPr>
        <w:pStyle w:val="RKnormal"/>
      </w:pPr>
    </w:p>
    <w:sectPr w:rsidR="00D2674D" w:rsidRPr="00DF1C8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93D" w:rsidRPr="00DF1C84" w:rsidRDefault="00D2193D" w:rsidP="00D2674D">
      <w:pPr>
        <w:pStyle w:val="Avsndare"/>
        <w:framePr w:wrap="notBeside"/>
      </w:pPr>
      <w:r w:rsidRPr="00DF1C84">
        <w:separator/>
      </w:r>
    </w:p>
  </w:endnote>
  <w:endnote w:type="continuationSeparator" w:id="0">
    <w:p w:rsidR="00D2193D" w:rsidRPr="00DF1C84" w:rsidRDefault="00D2193D" w:rsidP="00D2674D">
      <w:pPr>
        <w:pStyle w:val="Avsndare"/>
        <w:framePr w:wrap="notBeside"/>
      </w:pPr>
      <w:r w:rsidRPr="00DF1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93D" w:rsidRPr="00DF1C84" w:rsidRDefault="00D2193D" w:rsidP="00D2674D">
      <w:pPr>
        <w:pStyle w:val="Avsndare"/>
        <w:framePr w:wrap="notBeside"/>
      </w:pPr>
      <w:r w:rsidRPr="00DF1C84">
        <w:separator/>
      </w:r>
    </w:p>
  </w:footnote>
  <w:footnote w:type="continuationSeparator" w:id="0">
    <w:p w:rsidR="00D2193D" w:rsidRPr="00DF1C84" w:rsidRDefault="00D2193D" w:rsidP="00D2674D">
      <w:pPr>
        <w:pStyle w:val="Avsndare"/>
        <w:framePr w:wrap="notBeside"/>
      </w:pPr>
      <w:r w:rsidRPr="00DF1C84">
        <w:continuationSeparator/>
      </w:r>
    </w:p>
  </w:footnote>
  <w:footnote w:id="1">
    <w:p w:rsidR="00DA404C" w:rsidRPr="00DF1C84" w:rsidRDefault="00DA404C" w:rsidP="00860535">
      <w:pPr>
        <w:pStyle w:val="Fotnotstext"/>
      </w:pPr>
      <w:r w:rsidRPr="00DF1C84">
        <w:rPr>
          <w:rStyle w:val="FootnoteCharacters"/>
          <w:rFonts w:ascii="OrigGarmnd BT" w:hAnsi="OrigGarmnd BT"/>
        </w:rPr>
        <w:footnoteRef/>
      </w:r>
      <w:r w:rsidRPr="00DF1C84">
        <w:t xml:space="preserve"> Genomförandet av gemenskapens Lissabonprogram: En politik till stöd för EU:s tillverkningsindustri – mot en mer integrerad industripolitik [KOM(2005) 474]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4C" w:rsidRPr="00DF1C84" w:rsidRDefault="00DA404C">
    <w:pPr>
      <w:pStyle w:val="Sidhuvud"/>
      <w:framePr w:wrap="around" w:vAnchor="text" w:hAnchor="margin" w:xAlign="right" w:y="1"/>
      <w:rPr>
        <w:rStyle w:val="Sidnummer"/>
      </w:rPr>
    </w:pPr>
    <w:r w:rsidRPr="00DF1C84">
      <w:rPr>
        <w:rStyle w:val="Sidnummer"/>
      </w:rPr>
      <w:fldChar w:fldCharType="begin" w:fldLock="1"/>
    </w:r>
    <w:r w:rsidRPr="00DF1C84">
      <w:rPr>
        <w:rStyle w:val="Sidnummer"/>
      </w:rPr>
      <w:instrText xml:space="preserve">PAGE  </w:instrText>
    </w:r>
    <w:r w:rsidRPr="00DF1C84">
      <w:rPr>
        <w:rStyle w:val="Sidnummer"/>
      </w:rPr>
      <w:fldChar w:fldCharType="separate"/>
    </w:r>
    <w:r w:rsidR="00B666AE" w:rsidRPr="00DF1C84">
      <w:rPr>
        <w:rStyle w:val="Sidnummer"/>
      </w:rPr>
      <w:t>2</w:t>
    </w:r>
    <w:r w:rsidRPr="00DF1C84">
      <w:rPr>
        <w:rStyle w:val="Sidnummer"/>
      </w:rPr>
      <w:fldChar w:fldCharType="end"/>
    </w:r>
  </w:p>
  <w:p w:rsidR="00DA404C" w:rsidRPr="00DF1C84" w:rsidRDefault="00DA404C">
    <w:pPr>
      <w:pStyle w:val="Sidhuvud"/>
      <w:ind w:right="360"/>
    </w:pPr>
  </w:p>
  <w:p w:rsidR="00DA404C" w:rsidRPr="00DF1C84" w:rsidRDefault="00DA404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4C" w:rsidRPr="00DF1C84" w:rsidRDefault="00DA404C">
    <w:pPr>
      <w:pStyle w:val="Sidhuvud"/>
      <w:framePr w:wrap="around" w:vAnchor="text" w:hAnchor="margin" w:xAlign="right" w:y="1"/>
      <w:rPr>
        <w:rStyle w:val="Sidnummer"/>
      </w:rPr>
    </w:pPr>
    <w:r w:rsidRPr="00DF1C84">
      <w:rPr>
        <w:rStyle w:val="Sidnummer"/>
      </w:rPr>
      <w:fldChar w:fldCharType="begin" w:fldLock="1"/>
    </w:r>
    <w:r w:rsidRPr="00DF1C84">
      <w:rPr>
        <w:rStyle w:val="Sidnummer"/>
      </w:rPr>
      <w:instrText xml:space="preserve">PAGE  </w:instrText>
    </w:r>
    <w:r w:rsidRPr="00DF1C84">
      <w:rPr>
        <w:rStyle w:val="Sidnummer"/>
      </w:rPr>
      <w:fldChar w:fldCharType="separate"/>
    </w:r>
    <w:r w:rsidR="00B666AE" w:rsidRPr="00DF1C84">
      <w:rPr>
        <w:rStyle w:val="Sidnummer"/>
      </w:rPr>
      <w:t>3</w:t>
    </w:r>
    <w:r w:rsidRPr="00DF1C84">
      <w:rPr>
        <w:rStyle w:val="Sidnummer"/>
      </w:rPr>
      <w:fldChar w:fldCharType="end"/>
    </w:r>
  </w:p>
  <w:p w:rsidR="00DA404C" w:rsidRPr="00DF1C84" w:rsidRDefault="00DA404C">
    <w:pPr>
      <w:pStyle w:val="Sidhuvud"/>
      <w:ind w:right="360"/>
    </w:pPr>
  </w:p>
  <w:p w:rsidR="00DA404C" w:rsidRPr="00DF1C84" w:rsidRDefault="00DA404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4C" w:rsidRPr="00DF1C84" w:rsidRDefault="00DF1C84">
    <w:pPr>
      <w:framePr w:w="2948" w:h="1321" w:hRule="exact" w:wrap="notBeside" w:vAnchor="page" w:hAnchor="page" w:x="1362" w:y="653"/>
    </w:pPr>
    <w:r w:rsidRPr="00DF1C8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A404C" w:rsidRPr="00DF1C84" w:rsidRDefault="00DA404C">
    <w:pPr>
      <w:pStyle w:val="RKrubrik"/>
      <w:keepNext w:val="0"/>
      <w:tabs>
        <w:tab w:val="clear" w:pos="1134"/>
        <w:tab w:val="clear" w:pos="2835"/>
      </w:tabs>
      <w:spacing w:before="0" w:after="0" w:line="320" w:lineRule="atLeast"/>
      <w:rPr>
        <w:bCs/>
      </w:rPr>
    </w:pPr>
  </w:p>
  <w:p w:rsidR="00DA404C" w:rsidRPr="00DF1C84" w:rsidRDefault="00DA404C">
    <w:pPr>
      <w:rPr>
        <w:rFonts w:ascii="TradeGothic" w:hAnsi="TradeGothic"/>
        <w:b/>
        <w:bCs/>
        <w:spacing w:val="12"/>
        <w:sz w:val="22"/>
      </w:rPr>
    </w:pPr>
  </w:p>
  <w:p w:rsidR="00DA404C" w:rsidRPr="00DF1C84" w:rsidRDefault="00DA404C">
    <w:pPr>
      <w:pStyle w:val="RKrubrik"/>
      <w:keepNext w:val="0"/>
      <w:tabs>
        <w:tab w:val="clear" w:pos="1134"/>
        <w:tab w:val="clear" w:pos="2835"/>
      </w:tabs>
      <w:spacing w:before="0" w:after="0" w:line="320" w:lineRule="atLeast"/>
      <w:rPr>
        <w:bCs/>
      </w:rPr>
    </w:pPr>
  </w:p>
  <w:p w:rsidR="00DA404C" w:rsidRPr="00DF1C84" w:rsidRDefault="00DA404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965"/>
    <w:multiLevelType w:val="hybridMultilevel"/>
    <w:tmpl w:val="957A12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D456F"/>
    <w:multiLevelType w:val="hybridMultilevel"/>
    <w:tmpl w:val="DB66670C"/>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num w:numId="1" w16cid:durableId="1904245514">
    <w:abstractNumId w:val="0"/>
  </w:num>
  <w:num w:numId="2" w16cid:durableId="304506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60535"/>
    <w:rsid w:val="002B7B11"/>
    <w:rsid w:val="00860535"/>
    <w:rsid w:val="00B666AE"/>
    <w:rsid w:val="00D2193D"/>
    <w:rsid w:val="00D2674D"/>
    <w:rsid w:val="00DA404C"/>
    <w:rsid w:val="00DF1C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9D618-E69B-489C-9F67-64B02F6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FootnoteCharacters">
    <w:name w:val="Footnote Characters"/>
    <w:basedOn w:val="Standardstycketeckensnitt"/>
    <w:rsid w:val="00860535"/>
    <w:rPr>
      <w:vertAlign w:val="superscript"/>
    </w:rPr>
  </w:style>
  <w:style w:type="paragraph" w:styleId="Brdtext">
    <w:name w:val="Body Text"/>
    <w:basedOn w:val="Normal"/>
    <w:rsid w:val="00860535"/>
    <w:pPr>
      <w:suppressAutoHyphens/>
      <w:overflowPunct/>
      <w:autoSpaceDE/>
      <w:autoSpaceDN/>
      <w:adjustRightInd/>
      <w:spacing w:line="320" w:lineRule="exact"/>
      <w:textAlignment w:val="auto"/>
    </w:pPr>
    <w:rPr>
      <w:rFonts w:ascii="Times New Roman" w:hAnsi="Times New Roman"/>
      <w:szCs w:val="24"/>
      <w:lang w:eastAsia="ar-SA"/>
    </w:rPr>
  </w:style>
  <w:style w:type="paragraph" w:styleId="Fotnotstext">
    <w:name w:val="footnote text"/>
    <w:basedOn w:val="Normal"/>
    <w:semiHidden/>
    <w:rsid w:val="00860535"/>
    <w:pPr>
      <w:suppressAutoHyphens/>
      <w:overflowPunct/>
      <w:autoSpaceDE/>
      <w:autoSpaceDN/>
      <w:adjustRightInd/>
      <w:spacing w:line="240" w:lineRule="auto"/>
      <w:textAlignment w:val="auto"/>
    </w:pPr>
    <w:rPr>
      <w:rFonts w:ascii="Times New Roman" w:hAnsi="Times New Roman"/>
      <w:sz w:val="20"/>
      <w:lang w:eastAsia="ar-SA"/>
    </w:rPr>
  </w:style>
  <w:style w:type="paragraph" w:customStyle="1" w:styleId="Brdtext1">
    <w:name w:val="Brödtext1"/>
    <w:basedOn w:val="Normal"/>
    <w:rsid w:val="00860535"/>
    <w:pPr>
      <w:suppressAutoHyphens/>
      <w:overflowPunct/>
      <w:autoSpaceDE/>
      <w:autoSpaceDN/>
      <w:adjustRightInd/>
      <w:spacing w:line="320" w:lineRule="exact"/>
      <w:textAlignment w:val="auto"/>
    </w:pPr>
    <w:rPr>
      <w:rFonts w:ascii="Times New Roman" w:hAnsi="Times New Roman"/>
      <w:lang w:eastAsia="ar-SA"/>
    </w:rPr>
  </w:style>
  <w:style w:type="paragraph" w:customStyle="1" w:styleId="Default">
    <w:name w:val="Default"/>
    <w:rsid w:val="00860535"/>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595</Words>
  <Characters>3991</Characters>
  <Application>Microsoft Office Word</Application>
  <DocSecurity>4</DocSecurity>
  <Lines>114</Lines>
  <Paragraphs>47</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2025-12-17T04:07:00Z</dcterms:created>
  <dcterms:modified xsi:type="dcterms:W3CDTF">2025-12-17T04:07:00Z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