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F4297" w:rsidTr="00737089">
        <w:tblPrEx>
          <w:tblCellMar>
            <w:top w:w="0" w:type="dxa"/>
            <w:bottom w:w="0" w:type="dxa"/>
          </w:tblCellMar>
        </w:tblPrEx>
        <w:tc>
          <w:tcPr>
            <w:tcW w:w="2268" w:type="dxa"/>
          </w:tcPr>
          <w:p w:rsidR="006E4E11" w:rsidRPr="003F429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F4297" w:rsidRDefault="006E4E11" w:rsidP="007242A3">
            <w:pPr>
              <w:framePr w:w="5035" w:h="1644" w:wrap="notBeside" w:vAnchor="page" w:hAnchor="page" w:x="6573" w:y="721"/>
              <w:rPr>
                <w:rFonts w:ascii="TradeGothic" w:hAnsi="TradeGothic"/>
                <w:i/>
                <w:sz w:val="18"/>
              </w:rPr>
            </w:pPr>
          </w:p>
        </w:tc>
      </w:tr>
      <w:tr w:rsidR="00737089" w:rsidRPr="003F4297" w:rsidTr="00737089">
        <w:tblPrEx>
          <w:tblCellMar>
            <w:top w:w="0" w:type="dxa"/>
            <w:bottom w:w="0" w:type="dxa"/>
          </w:tblCellMar>
        </w:tblPrEx>
        <w:tc>
          <w:tcPr>
            <w:tcW w:w="5267" w:type="dxa"/>
            <w:gridSpan w:val="3"/>
          </w:tcPr>
          <w:p w:rsidR="00737089" w:rsidRPr="003F4297" w:rsidRDefault="00737089" w:rsidP="007242A3">
            <w:pPr>
              <w:framePr w:w="5035" w:h="1644" w:wrap="notBeside" w:vAnchor="page" w:hAnchor="page" w:x="6573" w:y="721"/>
              <w:rPr>
                <w:rFonts w:ascii="TradeGothic" w:hAnsi="TradeGothic"/>
                <w:b/>
                <w:sz w:val="22"/>
              </w:rPr>
            </w:pPr>
            <w:r w:rsidRPr="003F4297">
              <w:rPr>
                <w:rFonts w:ascii="TradeGothic" w:hAnsi="TradeGothic"/>
                <w:b/>
                <w:sz w:val="22"/>
              </w:rPr>
              <w:t>Rådspromemoria</w:t>
            </w:r>
          </w:p>
        </w:tc>
      </w:tr>
      <w:tr w:rsidR="006E4E11" w:rsidRPr="003F4297" w:rsidTr="00737089">
        <w:tblPrEx>
          <w:tblCellMar>
            <w:top w:w="0" w:type="dxa"/>
            <w:bottom w:w="0" w:type="dxa"/>
          </w:tblCellMar>
        </w:tblPrEx>
        <w:tc>
          <w:tcPr>
            <w:tcW w:w="3402" w:type="dxa"/>
            <w:gridSpan w:val="2"/>
          </w:tcPr>
          <w:p w:rsidR="006E4E11" w:rsidRPr="003F4297" w:rsidRDefault="006E4E11" w:rsidP="007242A3">
            <w:pPr>
              <w:framePr w:w="5035" w:h="1644" w:wrap="notBeside" w:vAnchor="page" w:hAnchor="page" w:x="6573" w:y="721"/>
            </w:pPr>
          </w:p>
        </w:tc>
        <w:tc>
          <w:tcPr>
            <w:tcW w:w="1865" w:type="dxa"/>
          </w:tcPr>
          <w:p w:rsidR="006E4E11" w:rsidRPr="003F4297" w:rsidRDefault="006E4E11" w:rsidP="007242A3">
            <w:pPr>
              <w:framePr w:w="5035" w:h="1644" w:wrap="notBeside" w:vAnchor="page" w:hAnchor="page" w:x="6573" w:y="721"/>
            </w:pPr>
          </w:p>
        </w:tc>
      </w:tr>
      <w:tr w:rsidR="006E4E11" w:rsidRPr="003F4297" w:rsidTr="00737089">
        <w:tblPrEx>
          <w:tblCellMar>
            <w:top w:w="0" w:type="dxa"/>
            <w:bottom w:w="0" w:type="dxa"/>
          </w:tblCellMar>
        </w:tblPrEx>
        <w:tc>
          <w:tcPr>
            <w:tcW w:w="2268" w:type="dxa"/>
          </w:tcPr>
          <w:p w:rsidR="006E4E11" w:rsidRPr="003F4297" w:rsidRDefault="00737089" w:rsidP="007242A3">
            <w:pPr>
              <w:framePr w:w="5035" w:h="1644" w:wrap="notBeside" w:vAnchor="page" w:hAnchor="page" w:x="6573" w:y="721"/>
            </w:pPr>
            <w:r w:rsidRPr="003F4297">
              <w:t>2011-11-1</w:t>
            </w:r>
            <w:r w:rsidR="007E778D" w:rsidRPr="003F4297">
              <w:t>6</w:t>
            </w:r>
          </w:p>
        </w:tc>
        <w:tc>
          <w:tcPr>
            <w:tcW w:w="2999" w:type="dxa"/>
            <w:gridSpan w:val="2"/>
          </w:tcPr>
          <w:p w:rsidR="006E4E11" w:rsidRPr="003F4297" w:rsidRDefault="006E4E11" w:rsidP="007242A3">
            <w:pPr>
              <w:framePr w:w="5035" w:h="1644" w:wrap="notBeside" w:vAnchor="page" w:hAnchor="page" w:x="6573" w:y="721"/>
              <w:rPr>
                <w:sz w:val="20"/>
              </w:rPr>
            </w:pPr>
          </w:p>
        </w:tc>
      </w:tr>
      <w:tr w:rsidR="006E4E11" w:rsidRPr="003F4297" w:rsidTr="00737089">
        <w:tblPrEx>
          <w:tblCellMar>
            <w:top w:w="0" w:type="dxa"/>
            <w:bottom w:w="0" w:type="dxa"/>
          </w:tblCellMar>
        </w:tblPrEx>
        <w:tc>
          <w:tcPr>
            <w:tcW w:w="2268" w:type="dxa"/>
          </w:tcPr>
          <w:p w:rsidR="006E4E11" w:rsidRPr="003F4297" w:rsidRDefault="006E4E11" w:rsidP="007242A3">
            <w:pPr>
              <w:framePr w:w="5035" w:h="1644" w:wrap="notBeside" w:vAnchor="page" w:hAnchor="page" w:x="6573" w:y="721"/>
            </w:pPr>
          </w:p>
          <w:p w:rsidR="004557B0" w:rsidRPr="003F4297" w:rsidRDefault="004557B0" w:rsidP="007242A3">
            <w:pPr>
              <w:framePr w:w="5035" w:h="1644" w:wrap="notBeside" w:vAnchor="page" w:hAnchor="page" w:x="6573" w:y="721"/>
            </w:pPr>
          </w:p>
        </w:tc>
        <w:tc>
          <w:tcPr>
            <w:tcW w:w="2999" w:type="dxa"/>
            <w:gridSpan w:val="2"/>
          </w:tcPr>
          <w:p w:rsidR="006E4E11" w:rsidRPr="003F429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F4297">
        <w:tblPrEx>
          <w:tblCellMar>
            <w:top w:w="0" w:type="dxa"/>
            <w:bottom w:w="0" w:type="dxa"/>
          </w:tblCellMar>
        </w:tblPrEx>
        <w:trPr>
          <w:trHeight w:val="284"/>
        </w:trPr>
        <w:tc>
          <w:tcPr>
            <w:tcW w:w="4911" w:type="dxa"/>
          </w:tcPr>
          <w:p w:rsidR="006E4E11" w:rsidRPr="003F4297" w:rsidRDefault="00737089">
            <w:pPr>
              <w:pStyle w:val="Avsndare"/>
              <w:framePr w:h="2483" w:wrap="notBeside" w:x="1504"/>
              <w:rPr>
                <w:b/>
                <w:i w:val="0"/>
                <w:sz w:val="22"/>
              </w:rPr>
            </w:pPr>
            <w:r w:rsidRPr="003F4297">
              <w:rPr>
                <w:b/>
                <w:i w:val="0"/>
                <w:sz w:val="22"/>
              </w:rPr>
              <w:t>Arbetsmarknadsdepartementet</w:t>
            </w:r>
          </w:p>
        </w:tc>
      </w:tr>
      <w:tr w:rsidR="006E4E11" w:rsidRPr="003F4297">
        <w:tblPrEx>
          <w:tblCellMar>
            <w:top w:w="0" w:type="dxa"/>
            <w:bottom w:w="0" w:type="dxa"/>
          </w:tblCellMar>
        </w:tblPrEx>
        <w:trPr>
          <w:trHeight w:val="284"/>
        </w:trPr>
        <w:tc>
          <w:tcPr>
            <w:tcW w:w="4911" w:type="dxa"/>
          </w:tcPr>
          <w:p w:rsidR="006E4E11" w:rsidRPr="003F4297" w:rsidRDefault="006E4E11">
            <w:pPr>
              <w:pStyle w:val="Avsndare"/>
              <w:framePr w:h="2483" w:wrap="notBeside" w:x="1504"/>
              <w:rPr>
                <w:bCs/>
                <w:iCs/>
              </w:rPr>
            </w:pPr>
          </w:p>
        </w:tc>
      </w:tr>
      <w:tr w:rsidR="006E4E11" w:rsidRPr="003F4297">
        <w:tblPrEx>
          <w:tblCellMar>
            <w:top w:w="0" w:type="dxa"/>
            <w:bottom w:w="0" w:type="dxa"/>
          </w:tblCellMar>
        </w:tblPrEx>
        <w:trPr>
          <w:trHeight w:val="284"/>
        </w:trPr>
        <w:tc>
          <w:tcPr>
            <w:tcW w:w="4911" w:type="dxa"/>
          </w:tcPr>
          <w:p w:rsidR="006E4E11" w:rsidRPr="003F4297" w:rsidRDefault="00737089">
            <w:pPr>
              <w:pStyle w:val="Avsndare"/>
              <w:framePr w:h="2483" w:wrap="notBeside" w:x="1504"/>
              <w:rPr>
                <w:bCs/>
                <w:iCs/>
              </w:rPr>
            </w:pPr>
            <w:r w:rsidRPr="003F4297">
              <w:rPr>
                <w:bCs/>
                <w:iCs/>
              </w:rPr>
              <w:t>Internationella enheten</w:t>
            </w:r>
          </w:p>
        </w:tc>
      </w:tr>
      <w:tr w:rsidR="006E4E11" w:rsidRPr="003F4297">
        <w:tblPrEx>
          <w:tblCellMar>
            <w:top w:w="0" w:type="dxa"/>
            <w:bottom w:w="0" w:type="dxa"/>
          </w:tblCellMar>
        </w:tblPrEx>
        <w:trPr>
          <w:trHeight w:val="284"/>
        </w:trPr>
        <w:tc>
          <w:tcPr>
            <w:tcW w:w="4911" w:type="dxa"/>
          </w:tcPr>
          <w:p w:rsidR="006E4E11" w:rsidRPr="003F4297" w:rsidRDefault="006E4E11">
            <w:pPr>
              <w:pStyle w:val="Avsndare"/>
              <w:framePr w:h="2483" w:wrap="notBeside" w:x="1504"/>
              <w:rPr>
                <w:bCs/>
                <w:iCs/>
              </w:rPr>
            </w:pPr>
          </w:p>
        </w:tc>
      </w:tr>
      <w:tr w:rsidR="006E4E11" w:rsidRPr="003F4297">
        <w:tblPrEx>
          <w:tblCellMar>
            <w:top w:w="0" w:type="dxa"/>
            <w:bottom w:w="0" w:type="dxa"/>
          </w:tblCellMar>
        </w:tblPrEx>
        <w:trPr>
          <w:trHeight w:val="284"/>
        </w:trPr>
        <w:tc>
          <w:tcPr>
            <w:tcW w:w="4911" w:type="dxa"/>
          </w:tcPr>
          <w:p w:rsidR="006E4E11" w:rsidRPr="003F4297" w:rsidRDefault="006E4E11">
            <w:pPr>
              <w:pStyle w:val="Avsndare"/>
              <w:framePr w:h="2483" w:wrap="notBeside" w:x="1504"/>
              <w:rPr>
                <w:bCs/>
                <w:iCs/>
              </w:rPr>
            </w:pPr>
          </w:p>
        </w:tc>
      </w:tr>
      <w:tr w:rsidR="006E4E11" w:rsidRPr="003F4297">
        <w:tblPrEx>
          <w:tblCellMar>
            <w:top w:w="0" w:type="dxa"/>
            <w:bottom w:w="0" w:type="dxa"/>
          </w:tblCellMar>
        </w:tblPrEx>
        <w:trPr>
          <w:trHeight w:val="284"/>
        </w:trPr>
        <w:tc>
          <w:tcPr>
            <w:tcW w:w="4911" w:type="dxa"/>
          </w:tcPr>
          <w:p w:rsidR="006E4E11" w:rsidRPr="003F4297" w:rsidRDefault="006E4E11">
            <w:pPr>
              <w:pStyle w:val="Avsndare"/>
              <w:framePr w:h="2483" w:wrap="notBeside" w:x="1504"/>
              <w:rPr>
                <w:bCs/>
                <w:iCs/>
              </w:rPr>
            </w:pPr>
          </w:p>
        </w:tc>
      </w:tr>
      <w:tr w:rsidR="006E4E11" w:rsidRPr="003F4297">
        <w:tblPrEx>
          <w:tblCellMar>
            <w:top w:w="0" w:type="dxa"/>
            <w:bottom w:w="0" w:type="dxa"/>
          </w:tblCellMar>
        </w:tblPrEx>
        <w:trPr>
          <w:trHeight w:val="284"/>
        </w:trPr>
        <w:tc>
          <w:tcPr>
            <w:tcW w:w="4911" w:type="dxa"/>
          </w:tcPr>
          <w:p w:rsidR="006E4E11" w:rsidRPr="003F4297" w:rsidRDefault="006E4E11">
            <w:pPr>
              <w:pStyle w:val="Avsndare"/>
              <w:framePr w:h="2483" w:wrap="notBeside" w:x="1504"/>
              <w:rPr>
                <w:bCs/>
                <w:iCs/>
              </w:rPr>
            </w:pPr>
          </w:p>
        </w:tc>
      </w:tr>
      <w:tr w:rsidR="006E4E11" w:rsidRPr="003F4297">
        <w:tblPrEx>
          <w:tblCellMar>
            <w:top w:w="0" w:type="dxa"/>
            <w:bottom w:w="0" w:type="dxa"/>
          </w:tblCellMar>
        </w:tblPrEx>
        <w:trPr>
          <w:trHeight w:val="284"/>
        </w:trPr>
        <w:tc>
          <w:tcPr>
            <w:tcW w:w="4911" w:type="dxa"/>
          </w:tcPr>
          <w:p w:rsidR="006E4E11" w:rsidRPr="003F4297" w:rsidRDefault="006E4E11">
            <w:pPr>
              <w:pStyle w:val="Avsndare"/>
              <w:framePr w:h="2483" w:wrap="notBeside" w:x="1504"/>
              <w:rPr>
                <w:bCs/>
                <w:iCs/>
              </w:rPr>
            </w:pPr>
          </w:p>
        </w:tc>
      </w:tr>
      <w:tr w:rsidR="006E4E11" w:rsidRPr="003F4297">
        <w:tblPrEx>
          <w:tblCellMar>
            <w:top w:w="0" w:type="dxa"/>
            <w:bottom w:w="0" w:type="dxa"/>
          </w:tblCellMar>
        </w:tblPrEx>
        <w:trPr>
          <w:trHeight w:val="284"/>
        </w:trPr>
        <w:tc>
          <w:tcPr>
            <w:tcW w:w="4911" w:type="dxa"/>
          </w:tcPr>
          <w:p w:rsidR="006E4E11" w:rsidRPr="003F4297" w:rsidRDefault="006E4E11">
            <w:pPr>
              <w:pStyle w:val="Avsndare"/>
              <w:framePr w:h="2483" w:wrap="notBeside" w:x="1504"/>
              <w:rPr>
                <w:bCs/>
                <w:iCs/>
              </w:rPr>
            </w:pPr>
          </w:p>
        </w:tc>
      </w:tr>
    </w:tbl>
    <w:p w:rsidR="00737089" w:rsidRPr="003F4297" w:rsidRDefault="00737089">
      <w:pPr>
        <w:pStyle w:val="RKrubrik"/>
        <w:pBdr>
          <w:bottom w:val="single" w:sz="6" w:space="1" w:color="auto"/>
        </w:pBdr>
      </w:pPr>
      <w:bookmarkStart w:id="0" w:name="bRubrik"/>
      <w:bookmarkEnd w:id="0"/>
      <w:r w:rsidRPr="003F4297">
        <w:t xml:space="preserve">Rådets möte den 1 december 2011 </w:t>
      </w:r>
      <w:r w:rsidR="00DE6D6A" w:rsidRPr="003F4297">
        <w:t xml:space="preserve">Förslag till förordning om ändring av förordning (EG) nr 1927/2006 om upprättande av Europeiska fonden för justering för globaliseringseffekter </w:t>
      </w:r>
    </w:p>
    <w:p w:rsidR="00737089" w:rsidRPr="003F4297" w:rsidRDefault="00737089">
      <w:pPr>
        <w:pStyle w:val="RKnormal"/>
      </w:pPr>
    </w:p>
    <w:p w:rsidR="00737089" w:rsidRPr="003F4297" w:rsidRDefault="00737089">
      <w:pPr>
        <w:pStyle w:val="RKnormal"/>
      </w:pPr>
      <w:r w:rsidRPr="003F4297">
        <w:t>Dagordningspunkt 5</w:t>
      </w:r>
    </w:p>
    <w:p w:rsidR="00737089" w:rsidRPr="003F4297" w:rsidRDefault="00737089">
      <w:pPr>
        <w:pStyle w:val="RKnormal"/>
      </w:pPr>
    </w:p>
    <w:p w:rsidR="00737089" w:rsidRPr="003F4297" w:rsidRDefault="00737089">
      <w:pPr>
        <w:pStyle w:val="RKnormal"/>
      </w:pPr>
      <w:r w:rsidRPr="003F4297">
        <w:t>Rubrik: Förslag till förordning om ändring av förordning (EG) nr 1927/2006 om upprättande av Europeiska fonden för justering för globaliseringseffekter</w:t>
      </w:r>
    </w:p>
    <w:p w:rsidR="00737089" w:rsidRPr="003F4297" w:rsidRDefault="00737089">
      <w:pPr>
        <w:pStyle w:val="RKnormal"/>
      </w:pPr>
    </w:p>
    <w:p w:rsidR="00737089" w:rsidRPr="003F4297" w:rsidRDefault="00737089">
      <w:pPr>
        <w:pStyle w:val="RKnormal"/>
      </w:pPr>
      <w:r w:rsidRPr="003F4297">
        <w:t xml:space="preserve">Dokument: </w:t>
      </w:r>
      <w:r w:rsidR="00497F8B" w:rsidRPr="003F4297">
        <w:rPr>
          <w:i/>
        </w:rPr>
        <w:t>kompletteras senare</w:t>
      </w:r>
      <w:r w:rsidR="00497F8B" w:rsidRPr="003F4297">
        <w:t xml:space="preserve"> </w:t>
      </w:r>
    </w:p>
    <w:p w:rsidR="00737089" w:rsidRPr="003F4297" w:rsidRDefault="00737089">
      <w:pPr>
        <w:pStyle w:val="RKnormal"/>
      </w:pPr>
    </w:p>
    <w:p w:rsidR="00737089" w:rsidRPr="003F4297" w:rsidRDefault="00737089">
      <w:pPr>
        <w:pStyle w:val="RKnormal"/>
      </w:pPr>
      <w:r w:rsidRPr="003F4297">
        <w:t>Tidigare dokument: Faktapromemoria 2010/2011:FPM133 Revidering av förordningen om Globaliseringsfonden: Förlängning av det tillfälliga krisundantaget</w:t>
      </w:r>
    </w:p>
    <w:p w:rsidR="00737089" w:rsidRPr="003F4297" w:rsidRDefault="00737089">
      <w:pPr>
        <w:pStyle w:val="RKnormal"/>
      </w:pPr>
    </w:p>
    <w:p w:rsidR="00737089" w:rsidRPr="003F4297" w:rsidRDefault="00737089">
      <w:pPr>
        <w:pStyle w:val="RKnormal"/>
      </w:pPr>
      <w:r w:rsidRPr="003F4297">
        <w:t xml:space="preserve">Tidigare behandlad vid samråd med EU-nämnden: </w:t>
      </w:r>
      <w:r w:rsidR="0049181F" w:rsidRPr="003F4297">
        <w:t>Detta förslag till revidering av förordningen</w:t>
      </w:r>
      <w:r w:rsidRPr="003F4297">
        <w:t xml:space="preserve"> har inte tidigar</w:t>
      </w:r>
      <w:r w:rsidR="00E343BB" w:rsidRPr="003F4297">
        <w:t>e</w:t>
      </w:r>
      <w:r w:rsidRPr="003F4297">
        <w:t xml:space="preserve"> behandlats i EU-nämnden. </w:t>
      </w:r>
      <w:r w:rsidR="00A452AE" w:rsidRPr="003F4297">
        <w:t>Regeringen överlade med arbetsmarknadsutskottet</w:t>
      </w:r>
      <w:r w:rsidR="005926B8" w:rsidRPr="003F4297">
        <w:t xml:space="preserve"> </w:t>
      </w:r>
      <w:r w:rsidR="00F74D7C" w:rsidRPr="003F4297">
        <w:t>om</w:t>
      </w:r>
      <w:r w:rsidR="005926B8" w:rsidRPr="003F4297">
        <w:t xml:space="preserve"> kommissionens förslag till revidering</w:t>
      </w:r>
      <w:r w:rsidR="00A452AE" w:rsidRPr="003F4297">
        <w:t xml:space="preserve"> </w:t>
      </w:r>
      <w:r w:rsidR="0049181F" w:rsidRPr="003F4297">
        <w:t xml:space="preserve">den 22 september 2011. </w:t>
      </w:r>
    </w:p>
    <w:p w:rsidR="00737089" w:rsidRPr="003F4297" w:rsidRDefault="00737089">
      <w:pPr>
        <w:pStyle w:val="RKnormal"/>
      </w:pPr>
    </w:p>
    <w:p w:rsidR="00737089" w:rsidRPr="003F4297" w:rsidRDefault="00737089">
      <w:pPr>
        <w:pStyle w:val="RKrubrik"/>
      </w:pPr>
      <w:r w:rsidRPr="003F4297">
        <w:t>Bakgrund</w:t>
      </w:r>
    </w:p>
    <w:p w:rsidR="00DE6D6A" w:rsidRPr="003F4297" w:rsidRDefault="00737089">
      <w:pPr>
        <w:pStyle w:val="RKnormal"/>
      </w:pPr>
      <w:r w:rsidRPr="003F4297">
        <w:t xml:space="preserve">Kommissionen presenterade den 10 juni </w:t>
      </w:r>
      <w:r w:rsidR="00497F8B" w:rsidRPr="003F4297">
        <w:t xml:space="preserve">2011 </w:t>
      </w:r>
      <w:r w:rsidRPr="003F4297">
        <w:t>ett förslag till revidering av förordningen om Europeiska fonden för juster</w:t>
      </w:r>
      <w:r w:rsidR="00DE6D6A" w:rsidRPr="003F4297">
        <w:t>ing för globaliseringseffekter (globaliseringsfonden)</w:t>
      </w:r>
      <w:r w:rsidRPr="003F4297">
        <w:t xml:space="preserve">. </w:t>
      </w:r>
    </w:p>
    <w:p w:rsidR="00DE6D6A" w:rsidRPr="003F4297" w:rsidRDefault="00DE6D6A">
      <w:pPr>
        <w:pStyle w:val="RKnormal"/>
      </w:pPr>
    </w:p>
    <w:p w:rsidR="00737089" w:rsidRPr="003F4297" w:rsidRDefault="00737089">
      <w:pPr>
        <w:pStyle w:val="RKnormal"/>
      </w:pPr>
      <w:r w:rsidRPr="003F4297">
        <w:t xml:space="preserve">Då </w:t>
      </w:r>
      <w:r w:rsidR="000114B8" w:rsidRPr="003F4297">
        <w:t xml:space="preserve">förordningen </w:t>
      </w:r>
      <w:r w:rsidRPr="003F4297">
        <w:t>reviderades 2009 införd</w:t>
      </w:r>
      <w:r w:rsidR="000114B8" w:rsidRPr="003F4297">
        <w:t>es två tillfälliga förändringar</w:t>
      </w:r>
      <w:r w:rsidRPr="003F4297">
        <w:t xml:space="preserve"> i regelverket, det så kallade </w:t>
      </w:r>
      <w:r w:rsidR="000114B8" w:rsidRPr="003F4297">
        <w:t xml:space="preserve">tillfälliga </w:t>
      </w:r>
      <w:r w:rsidRPr="003F4297">
        <w:t>krisundantaget. Krisundantaget innebär att globaliseringsfondens målgrupp utvidgades till att</w:t>
      </w:r>
      <w:r w:rsidR="000114B8" w:rsidRPr="003F4297">
        <w:t xml:space="preserve"> </w:t>
      </w:r>
      <w:r w:rsidR="00DE6D6A" w:rsidRPr="003F4297">
        <w:t xml:space="preserve">fram </w:t>
      </w:r>
      <w:r w:rsidR="000114B8" w:rsidRPr="003F4297">
        <w:t>till utgången av 2011</w:t>
      </w:r>
      <w:r w:rsidRPr="003F4297">
        <w:t xml:space="preserve"> inkludera arbetstagare som sagts upp på grund av den ekonomiska och finansiella krisen. Under samma period höjdes medfinansieringsgraden från fonden tillfälligt från 50 procent till 65 procent. Det förslag kommissionen lade fram den 10 juni innebär att dessa tillfälliga regler skulle förlängas i ytterligare två år, till </w:t>
      </w:r>
      <w:r w:rsidR="000114B8" w:rsidRPr="003F4297">
        <w:t>den 31 december</w:t>
      </w:r>
      <w:r w:rsidRPr="003F4297">
        <w:t xml:space="preserve"> 2013.</w:t>
      </w:r>
    </w:p>
    <w:p w:rsidR="00737089" w:rsidRPr="003F4297" w:rsidRDefault="00737089">
      <w:pPr>
        <w:pStyle w:val="RKnormal"/>
      </w:pPr>
    </w:p>
    <w:p w:rsidR="00737089" w:rsidRPr="003F4297" w:rsidRDefault="00737089">
      <w:pPr>
        <w:pStyle w:val="RKnormal"/>
      </w:pPr>
      <w:r w:rsidRPr="003F4297">
        <w:lastRenderedPageBreak/>
        <w:t xml:space="preserve">Förslaget har under hösten </w:t>
      </w:r>
      <w:r w:rsidR="00497F8B" w:rsidRPr="003F4297">
        <w:t xml:space="preserve">behandlats </w:t>
      </w:r>
      <w:r w:rsidRPr="003F4297">
        <w:t>i rådsarbetsgruppen för sociala frågor.</w:t>
      </w:r>
      <w:r w:rsidR="00497F8B" w:rsidRPr="003F4297">
        <w:t xml:space="preserve"> Det har dock inte gått att nå någon kvalificerad majoritet för </w:t>
      </w:r>
      <w:r w:rsidR="00DE6D6A" w:rsidRPr="003F4297">
        <w:t>kommissionens</w:t>
      </w:r>
      <w:r w:rsidR="00497F8B" w:rsidRPr="003F4297">
        <w:t xml:space="preserve"> förslag </w:t>
      </w:r>
      <w:r w:rsidR="007960FD" w:rsidRPr="003F4297">
        <w:t>då S</w:t>
      </w:r>
      <w:r w:rsidR="00F604EE" w:rsidRPr="003F4297">
        <w:t>verige</w:t>
      </w:r>
      <w:r w:rsidR="007960FD" w:rsidRPr="003F4297">
        <w:t xml:space="preserve"> tillsammans med ett antal andra medlemsstater reserverat sig mot förslaget. </w:t>
      </w:r>
    </w:p>
    <w:p w:rsidR="007960FD" w:rsidRPr="003F4297" w:rsidRDefault="007960FD">
      <w:pPr>
        <w:pStyle w:val="RKnormal"/>
      </w:pPr>
    </w:p>
    <w:p w:rsidR="00F604EE" w:rsidRPr="003F4297" w:rsidRDefault="007960FD">
      <w:pPr>
        <w:pStyle w:val="RKnormal"/>
      </w:pPr>
      <w:r w:rsidRPr="003F4297">
        <w:t>Ordförandeskapet har därefter presenterat två kompromissförslag, men det har inte heller funnits tillräckligt stöd för dessa.</w:t>
      </w:r>
      <w:r w:rsidR="00A452AE" w:rsidRPr="003F4297">
        <w:rPr>
          <w:rStyle w:val="Slutnotsreferens"/>
        </w:rPr>
        <w:endnoteReference w:id="1"/>
      </w:r>
      <w:r w:rsidRPr="003F4297">
        <w:t xml:space="preserve"> </w:t>
      </w:r>
      <w:r w:rsidR="00C829B7" w:rsidRPr="003F4297">
        <w:t xml:space="preserve">Ordförandeskapet tog frågan till Coreper den 9 november i syfte att få </w:t>
      </w:r>
      <w:r w:rsidR="00DE6D6A" w:rsidRPr="003F4297">
        <w:t xml:space="preserve">delegationernas </w:t>
      </w:r>
      <w:r w:rsidR="00C829B7" w:rsidRPr="003F4297">
        <w:t xml:space="preserve">vägledning </w:t>
      </w:r>
      <w:r w:rsidR="00DE6D6A" w:rsidRPr="003F4297">
        <w:t xml:space="preserve">i </w:t>
      </w:r>
      <w:r w:rsidR="00C829B7" w:rsidRPr="003F4297">
        <w:t xml:space="preserve">hur gå vidare med frågan. </w:t>
      </w:r>
      <w:r w:rsidR="00950822" w:rsidRPr="003F4297">
        <w:t xml:space="preserve">Ett kompromissförslag presenterades av </w:t>
      </w:r>
      <w:r w:rsidR="00A452AE" w:rsidRPr="003F4297">
        <w:t>en medlemsstat</w:t>
      </w:r>
      <w:r w:rsidR="00950822" w:rsidRPr="003F4297">
        <w:t xml:space="preserve"> under Coreper </w:t>
      </w:r>
      <w:r w:rsidR="001370F5" w:rsidRPr="003F4297">
        <w:t>vilket</w:t>
      </w:r>
      <w:r w:rsidR="00950822" w:rsidRPr="003F4297">
        <w:t xml:space="preserve"> </w:t>
      </w:r>
      <w:r w:rsidR="000114B8" w:rsidRPr="003F4297">
        <w:t>ska diskuteras</w:t>
      </w:r>
      <w:r w:rsidR="001370F5" w:rsidRPr="003F4297">
        <w:t xml:space="preserve"> i rådsarbetsgruppen den 17 november.</w:t>
      </w:r>
      <w:r w:rsidR="00A452AE" w:rsidRPr="003F4297">
        <w:rPr>
          <w:rStyle w:val="Slutnotsreferens"/>
        </w:rPr>
        <w:endnoteReference w:id="2"/>
      </w:r>
      <w:r w:rsidR="001370F5" w:rsidRPr="003F4297">
        <w:t xml:space="preserve"> </w:t>
      </w:r>
      <w:r w:rsidR="000114B8" w:rsidRPr="003F4297">
        <w:t>O</w:t>
      </w:r>
      <w:r w:rsidR="00F604EE" w:rsidRPr="003F4297">
        <w:t xml:space="preserve">rdförandeskapet </w:t>
      </w:r>
      <w:r w:rsidR="000114B8" w:rsidRPr="003F4297">
        <w:t>har även presenterat ett tredje kompromissförslag att diskutera vid rådsarbetsgruppsmötet den 17 november</w:t>
      </w:r>
      <w:r w:rsidR="00DE6D6A" w:rsidRPr="003F4297">
        <w:t>.</w:t>
      </w:r>
      <w:r w:rsidR="00A452AE" w:rsidRPr="003F4297">
        <w:rPr>
          <w:rStyle w:val="Slutnotsreferens"/>
        </w:rPr>
        <w:endnoteReference w:id="3"/>
      </w:r>
    </w:p>
    <w:p w:rsidR="00F604EE" w:rsidRPr="003F4297" w:rsidRDefault="00F604EE">
      <w:pPr>
        <w:pStyle w:val="RKnormal"/>
      </w:pPr>
    </w:p>
    <w:p w:rsidR="007960FD" w:rsidRPr="003F4297" w:rsidRDefault="001370F5">
      <w:pPr>
        <w:pStyle w:val="RKnormal"/>
        <w:rPr>
          <w:rFonts w:ascii="Garamond" w:hAnsi="Garamond"/>
          <w:szCs w:val="24"/>
        </w:rPr>
      </w:pPr>
      <w:r w:rsidRPr="003F4297">
        <w:t xml:space="preserve">Coreper väntas komma tillbaka till frågan den 23 november. </w:t>
      </w:r>
    </w:p>
    <w:p w:rsidR="00737089" w:rsidRPr="003F4297" w:rsidRDefault="00737089">
      <w:pPr>
        <w:pStyle w:val="RKrubrik"/>
      </w:pPr>
      <w:r w:rsidRPr="003F4297">
        <w:t>Rättslig grund och beslutsförfarande</w:t>
      </w:r>
    </w:p>
    <w:p w:rsidR="00737089" w:rsidRPr="003F4297" w:rsidRDefault="00737089" w:rsidP="00737089">
      <w:pPr>
        <w:pStyle w:val="RKnormal"/>
      </w:pPr>
      <w:r w:rsidRPr="003F4297">
        <w:t>Den rättsliga grunden för förslaget är artikel 175 särskilt tredje stycket i fördraget om europeiska unionens funktionssätt. Ar</w:t>
      </w:r>
      <w:r w:rsidR="00630AF1" w:rsidRPr="003F4297">
        <w:t>t</w:t>
      </w:r>
      <w:r w:rsidRPr="003F4297">
        <w:t xml:space="preserve">ikel 175 (3) anger att om särskilda åtgärder behöver vidtas utanför ramen för strukturfonderna och utan att det påverkar tillämpningen av de åtgärder som beslutas inom ramen för ordinarie politik kan Europaparlamentet och rådet besluta om sådana åtgärder i enlighet med det ordinarie lagstiftningsförfarandet efter att ha hört Ekonomiska och sociala kommittén och Regionkommittén. </w:t>
      </w:r>
    </w:p>
    <w:p w:rsidR="00737089" w:rsidRPr="003F4297" w:rsidRDefault="00737089" w:rsidP="00737089">
      <w:pPr>
        <w:pStyle w:val="RKnormal"/>
      </w:pPr>
    </w:p>
    <w:p w:rsidR="00737089" w:rsidRPr="003F4297" w:rsidRDefault="00737089" w:rsidP="00737089">
      <w:pPr>
        <w:pStyle w:val="RKnormal"/>
      </w:pPr>
      <w:r w:rsidRPr="003F4297">
        <w:t>Det ordinarie lagstiftningsförfarandet innebär att kommissionen ska lägga fram ett fö</w:t>
      </w:r>
      <w:r w:rsidRPr="003F4297">
        <w:t>r</w:t>
      </w:r>
      <w:r w:rsidRPr="003F4297">
        <w:t>slag till rättsakt för Europaparlamentet och rådet, vilka sedan antar rättsakten geme</w:t>
      </w:r>
      <w:r w:rsidRPr="003F4297">
        <w:t>n</w:t>
      </w:r>
      <w:r w:rsidRPr="003F4297">
        <w:t xml:space="preserve">samt. </w:t>
      </w:r>
    </w:p>
    <w:p w:rsidR="00737089" w:rsidRPr="003F4297" w:rsidRDefault="00737089" w:rsidP="00737089">
      <w:pPr>
        <w:pStyle w:val="RKnormal"/>
      </w:pPr>
    </w:p>
    <w:p w:rsidR="00737089" w:rsidRPr="003F4297" w:rsidRDefault="00737089">
      <w:pPr>
        <w:pStyle w:val="RKnormal"/>
      </w:pPr>
      <w:r w:rsidRPr="003F4297">
        <w:t xml:space="preserve">Beslut i rådet fattas med kvalificerad majoritet. </w:t>
      </w:r>
    </w:p>
    <w:p w:rsidR="00737089" w:rsidRPr="003F4297" w:rsidRDefault="00737089">
      <w:pPr>
        <w:pStyle w:val="RKrubrik"/>
        <w:rPr>
          <w:i/>
          <w:iCs/>
        </w:rPr>
      </w:pPr>
      <w:r w:rsidRPr="003F4297">
        <w:rPr>
          <w:i/>
          <w:iCs/>
        </w:rPr>
        <w:t>Svensk ståndpunkt</w:t>
      </w:r>
    </w:p>
    <w:p w:rsidR="001D0C72" w:rsidRPr="003F4297" w:rsidRDefault="001D0C72" w:rsidP="001D0C72">
      <w:pPr>
        <w:pStyle w:val="RKnormal"/>
        <w:rPr>
          <w:i/>
        </w:rPr>
      </w:pPr>
      <w:r w:rsidRPr="003F4297">
        <w:rPr>
          <w:i/>
        </w:rPr>
        <w:t>Kommissionens ursprungliga förslag</w:t>
      </w:r>
    </w:p>
    <w:p w:rsidR="00630AF1" w:rsidRPr="003F4297" w:rsidRDefault="00630AF1" w:rsidP="00630AF1">
      <w:r w:rsidRPr="003F4297">
        <w:t xml:space="preserve">Regeringen anser inte att möjligheten för fonden att ingripa till förmån för arbetstagare som sagts upp på grund av den ekonomiska krisen bör förlängas. Regeringen anser inte heller att den tillfälligt höjda medfinansieringsgraden på 65 procent bör förlängas. </w:t>
      </w:r>
    </w:p>
    <w:p w:rsidR="00630AF1" w:rsidRPr="003F4297" w:rsidRDefault="00630AF1" w:rsidP="00630AF1">
      <w:pPr>
        <w:pStyle w:val="RKnormal"/>
        <w:spacing w:line="240" w:lineRule="auto"/>
        <w:jc w:val="both"/>
      </w:pPr>
    </w:p>
    <w:p w:rsidR="00630AF1" w:rsidRPr="003F4297" w:rsidRDefault="00630AF1" w:rsidP="00630AF1">
      <w:pPr>
        <w:pStyle w:val="RKnormal"/>
        <w:spacing w:line="240" w:lineRule="auto"/>
        <w:rPr>
          <w:rFonts w:cs="EUAlbertina"/>
          <w:szCs w:val="24"/>
          <w:lang w:eastAsia="sv-SE"/>
        </w:rPr>
      </w:pPr>
      <w:r w:rsidRPr="003F4297">
        <w:t xml:space="preserve">Regeringen anser inte att undantaget, som gör det möjligt för fonden att ingripa till förmån för arbetstagare som sagts upp på grund av krisen, till slutet av fondens genomförandeperiod, bör förlängas. </w:t>
      </w:r>
      <w:r w:rsidRPr="003F4297">
        <w:rPr>
          <w:szCs w:val="24"/>
          <w:lang w:eastAsia="sv-SE"/>
        </w:rPr>
        <w:t xml:space="preserve">Regeringens principiella uppfattning är att endast </w:t>
      </w:r>
      <w:r w:rsidRPr="003F4297">
        <w:t xml:space="preserve">genomgripande förändringar i världshandeln </w:t>
      </w:r>
      <w:r w:rsidRPr="003F4297">
        <w:rPr>
          <w:rFonts w:cs="EUAlbertina"/>
          <w:szCs w:val="24"/>
          <w:lang w:eastAsia="sv-SE"/>
        </w:rPr>
        <w:t xml:space="preserve">bör kvalificera för ekonomiskt stöd från fonden.  </w:t>
      </w:r>
    </w:p>
    <w:p w:rsidR="00630AF1" w:rsidRPr="003F4297" w:rsidRDefault="00630AF1" w:rsidP="00630AF1">
      <w:pPr>
        <w:pStyle w:val="RKnormal"/>
        <w:spacing w:line="240" w:lineRule="auto"/>
        <w:rPr>
          <w:szCs w:val="24"/>
          <w:lang w:eastAsia="sv-SE"/>
        </w:rPr>
      </w:pPr>
    </w:p>
    <w:p w:rsidR="00630AF1" w:rsidRPr="003F4297" w:rsidRDefault="00630AF1" w:rsidP="00630AF1">
      <w:pPr>
        <w:pStyle w:val="RKnormal"/>
        <w:spacing w:line="240" w:lineRule="auto"/>
      </w:pPr>
      <w:r w:rsidRPr="003F4297">
        <w:rPr>
          <w:szCs w:val="24"/>
          <w:lang w:eastAsia="sv-SE"/>
        </w:rPr>
        <w:t xml:space="preserve">Regeringen anser </w:t>
      </w:r>
      <w:r w:rsidRPr="003F4297">
        <w:rPr>
          <w:rFonts w:cs="EUAlbertina"/>
          <w:szCs w:val="24"/>
          <w:lang w:eastAsia="sv-SE"/>
        </w:rPr>
        <w:t xml:space="preserve">att den tillfälliga stödandelen på 65 procent inte bör förlängas. Stödandelen bör återgå till de ursprungliga 50 procent. Fondens syfte är att ge medlemsstaterna kompletterande stöd. </w:t>
      </w:r>
      <w:r w:rsidRPr="003F4297">
        <w:t>Regeringens principiella uppfattning är att huvudansvaret för att möta globaliseringens effekter ligger på medlemsstaterna och att detta bör återspeglas i EU:s stödandel.</w:t>
      </w:r>
    </w:p>
    <w:p w:rsidR="001D0C72" w:rsidRPr="003F4297" w:rsidRDefault="001D0C72" w:rsidP="00630AF1">
      <w:pPr>
        <w:pStyle w:val="RKnormal"/>
        <w:spacing w:line="240" w:lineRule="auto"/>
      </w:pPr>
    </w:p>
    <w:p w:rsidR="00737089" w:rsidRPr="003F4297" w:rsidRDefault="001D0C72">
      <w:pPr>
        <w:pStyle w:val="RKnormal"/>
        <w:rPr>
          <w:i/>
        </w:rPr>
      </w:pPr>
      <w:r w:rsidRPr="003F4297">
        <w:rPr>
          <w:i/>
        </w:rPr>
        <w:t>Lägesrapporten</w:t>
      </w:r>
    </w:p>
    <w:p w:rsidR="001D0C72" w:rsidRPr="003F4297" w:rsidRDefault="001D0C72">
      <w:pPr>
        <w:pStyle w:val="RKnormal"/>
      </w:pPr>
      <w:r w:rsidRPr="003F4297">
        <w:t xml:space="preserve">Kompletteras då lägesrapporten inkommit. </w:t>
      </w:r>
    </w:p>
    <w:p w:rsidR="00737089" w:rsidRPr="003F4297" w:rsidRDefault="00737089">
      <w:pPr>
        <w:pStyle w:val="RKrubrik"/>
      </w:pPr>
      <w:r w:rsidRPr="003F4297">
        <w:t>Europaparlamentets inställning</w:t>
      </w:r>
    </w:p>
    <w:p w:rsidR="00737089" w:rsidRPr="003F4297" w:rsidRDefault="00497F8B">
      <w:pPr>
        <w:pStyle w:val="RKnormal"/>
      </w:pPr>
      <w:r w:rsidRPr="003F4297">
        <w:t>Vid plenarsessionen den 29 september 2011 antog E</w:t>
      </w:r>
      <w:r w:rsidR="00DE6D6A" w:rsidRPr="003F4297">
        <w:t>uropaparlamentet</w:t>
      </w:r>
      <w:r w:rsidRPr="003F4297">
        <w:t xml:space="preserve"> genom förenklat förfarande kommissionens förslag utan ändringar. </w:t>
      </w:r>
    </w:p>
    <w:p w:rsidR="00737089" w:rsidRPr="003F4297" w:rsidRDefault="00737089">
      <w:pPr>
        <w:pStyle w:val="RKrubrik"/>
        <w:rPr>
          <w:i/>
          <w:iCs/>
        </w:rPr>
      </w:pPr>
      <w:r w:rsidRPr="003F4297">
        <w:rPr>
          <w:i/>
          <w:iCs/>
        </w:rPr>
        <w:t>Förslaget</w:t>
      </w:r>
    </w:p>
    <w:p w:rsidR="00737089" w:rsidRPr="003F4297" w:rsidRDefault="00E343BB">
      <w:pPr>
        <w:pStyle w:val="RKnormal"/>
      </w:pPr>
      <w:r w:rsidRPr="003F4297">
        <w:t xml:space="preserve">Kommissionens förslag innebär att artikel 1.1a andra stycket i förordning (EG) nr 1927/2006 ändras på så sätt att datumet ändras från 30 december 2011 till 31 december 2013. Genom denna ändring förlängs samtidigt den </w:t>
      </w:r>
      <w:r w:rsidR="009C3DB6" w:rsidRPr="003F4297">
        <w:t>höjda</w:t>
      </w:r>
      <w:r w:rsidRPr="003F4297">
        <w:t xml:space="preserve"> medfinansieringsgraden på 65 procent till </w:t>
      </w:r>
      <w:r w:rsidR="00DE6D6A" w:rsidRPr="003F4297">
        <w:t xml:space="preserve">den </w:t>
      </w:r>
      <w:r w:rsidRPr="003F4297">
        <w:t xml:space="preserve">31 december 2013 i enlighet med artikel 10.1 i förordning (EG) nr 1927/2006. </w:t>
      </w:r>
    </w:p>
    <w:p w:rsidR="00737089" w:rsidRPr="003F4297" w:rsidRDefault="00737089">
      <w:pPr>
        <w:pStyle w:val="RKrubrik"/>
        <w:rPr>
          <w:i/>
          <w:iCs/>
        </w:rPr>
      </w:pPr>
      <w:r w:rsidRPr="003F4297">
        <w:rPr>
          <w:i/>
          <w:iCs/>
        </w:rPr>
        <w:t>Gällande svenska regler och förslagets effekter på dessa</w:t>
      </w:r>
    </w:p>
    <w:p w:rsidR="00737089" w:rsidRPr="003F4297" w:rsidRDefault="00E343BB">
      <w:pPr>
        <w:pStyle w:val="RKnormal"/>
      </w:pPr>
      <w:r w:rsidRPr="003F4297">
        <w:t xml:space="preserve">- </w:t>
      </w:r>
    </w:p>
    <w:p w:rsidR="00737089" w:rsidRPr="003F4297" w:rsidRDefault="00737089">
      <w:pPr>
        <w:pStyle w:val="RKrubrik"/>
      </w:pPr>
      <w:r w:rsidRPr="003F4297">
        <w:t>Ekonomiska konsekvenser</w:t>
      </w:r>
    </w:p>
    <w:p w:rsidR="00737089" w:rsidRPr="003F4297" w:rsidRDefault="00E343BB">
      <w:pPr>
        <w:pStyle w:val="RKnormal"/>
      </w:pPr>
      <w:r w:rsidRPr="003F4297">
        <w:t xml:space="preserve">De budgetära konsekvenserna av förslaget är beroende av antalet ansökningar till fonden, vilka i sin tur är beroende av kriteriernas utformning.  Om fonden under ett år utnyttjas upp till det angivna taket om 500 miljoner euro per år kan den svenska statsbudgeten komma att belastas med cirka 140 miljoner. Hittills har fonden som mest utnyttjats med 133 miljoner euro under ett år (2010). </w:t>
      </w:r>
    </w:p>
    <w:p w:rsidR="00737089" w:rsidRPr="003F4297" w:rsidRDefault="00737089">
      <w:pPr>
        <w:pStyle w:val="RKrubrik"/>
      </w:pPr>
      <w:r w:rsidRPr="003F4297">
        <w:t>Övrigt</w:t>
      </w:r>
    </w:p>
    <w:p w:rsidR="00737089" w:rsidRPr="003F4297" w:rsidRDefault="00737089">
      <w:pPr>
        <w:pStyle w:val="RKnormal"/>
      </w:pPr>
    </w:p>
    <w:p w:rsidR="00737089" w:rsidRPr="003F4297" w:rsidRDefault="00737089">
      <w:pPr>
        <w:pStyle w:val="RKnormal"/>
        <w:rPr>
          <w:i/>
          <w:iCs/>
        </w:rPr>
      </w:pPr>
    </w:p>
    <w:p w:rsidR="00737089" w:rsidRPr="003F4297" w:rsidRDefault="00737089">
      <w:pPr>
        <w:pStyle w:val="RKnormal"/>
        <w:ind w:left="-1134"/>
      </w:pPr>
    </w:p>
    <w:p w:rsidR="006E4E11" w:rsidRPr="003F4297" w:rsidRDefault="006E4E11">
      <w:pPr>
        <w:pStyle w:val="RKrubrik"/>
        <w:spacing w:before="0" w:after="0"/>
      </w:pPr>
    </w:p>
    <w:p w:rsidR="006E4E11" w:rsidRPr="003F4297" w:rsidRDefault="006E4E11">
      <w:pPr>
        <w:pStyle w:val="RKnormal"/>
      </w:pPr>
    </w:p>
    <w:p w:rsidR="00737089" w:rsidRPr="003F4297" w:rsidRDefault="00737089">
      <w:pPr>
        <w:pStyle w:val="RKnormal"/>
      </w:pPr>
    </w:p>
    <w:p w:rsidR="00DE6D6A" w:rsidRPr="003F4297" w:rsidRDefault="00DE6D6A">
      <w:pPr>
        <w:pStyle w:val="RKnormal"/>
      </w:pPr>
    </w:p>
    <w:p w:rsidR="00DE6D6A" w:rsidRPr="003F4297" w:rsidRDefault="00DE6D6A">
      <w:pPr>
        <w:pStyle w:val="RKnormal"/>
      </w:pPr>
    </w:p>
    <w:p w:rsidR="00DE6D6A" w:rsidRPr="003F4297" w:rsidRDefault="00DE6D6A">
      <w:pPr>
        <w:pStyle w:val="RKnormal"/>
      </w:pPr>
    </w:p>
    <w:p w:rsidR="00DE6D6A" w:rsidRPr="003F4297" w:rsidRDefault="00DE6D6A">
      <w:pPr>
        <w:pStyle w:val="RKnormal"/>
      </w:pPr>
    </w:p>
    <w:sectPr w:rsidR="00DE6D6A" w:rsidRPr="003F429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342" w:rsidRPr="003F4297" w:rsidRDefault="00C46342">
      <w:r w:rsidRPr="003F4297">
        <w:separator/>
      </w:r>
    </w:p>
  </w:endnote>
  <w:endnote w:type="continuationSeparator" w:id="0">
    <w:p w:rsidR="00C46342" w:rsidRPr="003F4297" w:rsidRDefault="00C46342">
      <w:r w:rsidRPr="003F4297">
        <w:continuationSeparator/>
      </w:r>
    </w:p>
  </w:endnote>
  <w:endnote w:id="1">
    <w:p w:rsidR="00D60129" w:rsidRPr="003F4297" w:rsidRDefault="00D60129" w:rsidP="00A452AE">
      <w:pPr>
        <w:pStyle w:val="RKnormal"/>
      </w:pPr>
      <w:r w:rsidRPr="003F4297">
        <w:rPr>
          <w:rStyle w:val="Slutnotsreferens"/>
          <w:szCs w:val="24"/>
        </w:rPr>
        <w:endnoteRef/>
      </w:r>
      <w:r w:rsidRPr="003F4297">
        <w:t xml:space="preserve"> </w:t>
      </w:r>
      <w:r w:rsidRPr="003F4297">
        <w:rPr>
          <w:b/>
        </w:rPr>
        <w:t>ORDF första kompromissförslag:</w:t>
      </w:r>
      <w:r w:rsidRPr="003F4297">
        <w:t xml:space="preserve"> </w:t>
      </w:r>
    </w:p>
    <w:p w:rsidR="00D60129" w:rsidRPr="003F4297" w:rsidRDefault="00D60129" w:rsidP="00A452AE">
      <w:pPr>
        <w:pStyle w:val="RKnormal"/>
        <w:rPr>
          <w:b/>
        </w:rPr>
      </w:pPr>
      <w:r w:rsidRPr="003F4297">
        <w:t xml:space="preserve">In Article 1(1a) of Regulation (EC) No 1927/2006 the second subparagraph is replaced by the following: "This derogation shall apply </w:t>
      </w:r>
      <w:r w:rsidRPr="003F4297">
        <w:rPr>
          <w:b/>
        </w:rPr>
        <w:t xml:space="preserve">to all applications submitted no later than by 31 December 2012." </w:t>
      </w:r>
    </w:p>
    <w:p w:rsidR="00D60129" w:rsidRPr="003F4297" w:rsidRDefault="00D60129" w:rsidP="00A452AE">
      <w:pPr>
        <w:pStyle w:val="RKnormal"/>
        <w:rPr>
          <w:rFonts w:cs="Arial"/>
          <w:b/>
          <w:lang w:eastAsia="sv-SE"/>
        </w:rPr>
      </w:pPr>
      <w:r w:rsidRPr="003F4297">
        <w:rPr>
          <w:b/>
        </w:rPr>
        <w:t xml:space="preserve">ORDF andra kompromissförslag: </w:t>
      </w:r>
    </w:p>
    <w:p w:rsidR="00D60129" w:rsidRPr="003F4297" w:rsidRDefault="00D60129" w:rsidP="00A452AE">
      <w:pPr>
        <w:pStyle w:val="RKnormal"/>
        <w:rPr>
          <w:rFonts w:cs="Arial"/>
          <w:lang w:eastAsia="sv-SE"/>
        </w:rPr>
      </w:pPr>
      <w:r w:rsidRPr="003F4297">
        <w:rPr>
          <w:rFonts w:cs="Arial"/>
          <w:lang w:eastAsia="sv-SE"/>
        </w:rPr>
        <w:t>In Article 1(a) of Regulation (EC) No 192712006 The second subparagraph is replaced by the following: "This derogation shall apply to all applications submitted no later than 31 December 2013." The first paragraph of Article 10 of Regulation (EC) No 192712006 is replaced by the following: " The Commission shall, on the basis of the assessment carried out in accordance with Article 5(5), particularly taking into account the number of workers to be supported, the proposed actions and the estimated costs, evaluate and propose as quickly as possible the amount of financial contribution, if any, that may be made within the limits of the resources available.</w:t>
      </w:r>
    </w:p>
    <w:p w:rsidR="00D60129" w:rsidRPr="003F4297" w:rsidRDefault="00D60129" w:rsidP="00A452AE">
      <w:pPr>
        <w:pStyle w:val="RKnormal"/>
        <w:rPr>
          <w:rFonts w:cs="Arial"/>
          <w:lang w:eastAsia="sv-SE"/>
        </w:rPr>
      </w:pPr>
    </w:p>
    <w:p w:rsidR="00D60129" w:rsidRPr="003F4297" w:rsidRDefault="00D60129" w:rsidP="00A452AE">
      <w:pPr>
        <w:pStyle w:val="RKnormal"/>
        <w:rPr>
          <w:rFonts w:cs="Arial"/>
          <w:lang w:eastAsia="sv-SE"/>
        </w:rPr>
      </w:pPr>
      <w:r w:rsidRPr="003F4297">
        <w:rPr>
          <w:rFonts w:cs="Arial"/>
          <w:lang w:eastAsia="sv-SE"/>
        </w:rPr>
        <w:t>For applications submitted before I May 2009 the amount may not exceed 50 % of the total of the estimated costs referred to in Article 5(2)(d). For applications submitted from 1 May 2009 and before 31 December 2011, the amount may not exceed 65 % of the total estimated costs referred to in Article 5(2)(d). For applications submitted from 31 December 2011 until 31 December 2013 the amount</w:t>
      </w:r>
    </w:p>
    <w:p w:rsidR="00D60129" w:rsidRPr="003F4297" w:rsidRDefault="00D60129" w:rsidP="00A452AE">
      <w:pPr>
        <w:pStyle w:val="RKnormal"/>
        <w:rPr>
          <w:rFonts w:cs="Arial"/>
          <w:lang w:eastAsia="sv-SE"/>
        </w:rPr>
      </w:pPr>
      <w:r w:rsidRPr="003F4297">
        <w:rPr>
          <w:rFonts w:cs="Arial"/>
          <w:lang w:eastAsia="sv-SE"/>
        </w:rPr>
        <w:t>may not exceed 50 %  of the total of the estimated costs referred to in Article 5(2)(d) or 65 % of these costs in the case of applications submitted by a Member State on the territory of which at least one region at NUTS II level is eligible under the</w:t>
      </w:r>
    </w:p>
    <w:p w:rsidR="00D60129" w:rsidRPr="003F4297" w:rsidRDefault="00D60129" w:rsidP="00A452AE">
      <w:pPr>
        <w:pStyle w:val="RKnormal"/>
        <w:rPr>
          <w:rFonts w:cs="Arial"/>
          <w:lang w:eastAsia="sv-SE"/>
        </w:rPr>
      </w:pPr>
      <w:r w:rsidRPr="003F4297">
        <w:rPr>
          <w:rFonts w:cs="Arial"/>
          <w:lang w:eastAsia="sv-SE"/>
        </w:rPr>
        <w:t>"Convergence" objective of the Structural Funds. The Commission, in its assessment of such cases, will decide whether the 65 7o co-funding rate is justified."</w:t>
      </w:r>
    </w:p>
    <w:p w:rsidR="00D60129" w:rsidRPr="003F4297" w:rsidRDefault="00D60129" w:rsidP="00A452AE">
      <w:pPr>
        <w:pStyle w:val="RKnormal"/>
        <w:rPr>
          <w:rFonts w:cs="Arial"/>
          <w:lang w:eastAsia="sv-SE"/>
        </w:rPr>
      </w:pPr>
    </w:p>
  </w:endnote>
  <w:endnote w:id="2">
    <w:p w:rsidR="00D60129" w:rsidRPr="003F4297" w:rsidRDefault="00D60129" w:rsidP="00A452AE">
      <w:pPr>
        <w:pStyle w:val="RKnormal"/>
      </w:pPr>
      <w:r w:rsidRPr="003F4297">
        <w:rPr>
          <w:rStyle w:val="Slutnotsreferens"/>
        </w:rPr>
        <w:endnoteRef/>
      </w:r>
      <w:r w:rsidRPr="003F4297">
        <w:t xml:space="preserve"> </w:t>
      </w:r>
      <w:r w:rsidRPr="003F4297">
        <w:rPr>
          <w:b/>
        </w:rPr>
        <w:t>Kompromissförslag framlagt vid Coreper 9/11 2011</w:t>
      </w:r>
      <w:r w:rsidRPr="003F4297">
        <w:t xml:space="preserve">: </w:t>
      </w:r>
    </w:p>
    <w:p w:rsidR="00D60129" w:rsidRPr="003F4297" w:rsidRDefault="00D60129" w:rsidP="00A452AE">
      <w:pPr>
        <w:pStyle w:val="RKnormal"/>
        <w:rPr>
          <w:b/>
        </w:rPr>
      </w:pPr>
      <w:r w:rsidRPr="003F4297">
        <w:t xml:space="preserve">Article 10For applications submitted from 31 December 2011 until 31 December 2013 the amount may not exceed 50 % of the total estimated costs referred to in Article 5(2)(d) or 65 % of these costs in the case of applications submitted either </w:t>
      </w:r>
      <w:r w:rsidRPr="003F4297">
        <w:rPr>
          <w:b/>
        </w:rPr>
        <w:t>by a Member State</w:t>
      </w:r>
      <w:r w:rsidRPr="003F4297">
        <w:t xml:space="preserve"> </w:t>
      </w:r>
      <w:r w:rsidRPr="003F4297">
        <w:rPr>
          <w:b/>
        </w:rPr>
        <w:t xml:space="preserve">in relation to redundancies occurring in a Nuts II level region </w:t>
      </w:r>
      <w:r w:rsidRPr="003F4297">
        <w:t>eligible under the "Convergence" objective of the structural funds</w:t>
      </w:r>
      <w:r w:rsidRPr="003F4297">
        <w:rPr>
          <w:b/>
        </w:rPr>
        <w:t>,</w:t>
      </w:r>
      <w:r w:rsidRPr="003F4297">
        <w:t xml:space="preserve"> or by a Member State that is eligible for funding from the Cohesion Fund.</w:t>
      </w:r>
    </w:p>
    <w:p w:rsidR="00D60129" w:rsidRPr="003F4297" w:rsidRDefault="00D60129" w:rsidP="00A452AE">
      <w:pPr>
        <w:pStyle w:val="RKnormal"/>
      </w:pPr>
    </w:p>
  </w:endnote>
  <w:endnote w:id="3">
    <w:p w:rsidR="00D60129" w:rsidRPr="003F4297" w:rsidRDefault="00D60129" w:rsidP="00A452AE">
      <w:pPr>
        <w:pStyle w:val="RKnormal"/>
      </w:pPr>
      <w:r w:rsidRPr="003F4297">
        <w:rPr>
          <w:rStyle w:val="Slutnotsreferens"/>
        </w:rPr>
        <w:endnoteRef/>
      </w:r>
      <w:r w:rsidRPr="003F4297">
        <w:t xml:space="preserve"> </w:t>
      </w:r>
      <w:r w:rsidRPr="003F4297">
        <w:rPr>
          <w:b/>
        </w:rPr>
        <w:t>ORDF tredje kompromissförslag:</w:t>
      </w:r>
      <w:r w:rsidRPr="003F4297">
        <w:t xml:space="preserve"> </w:t>
      </w:r>
    </w:p>
    <w:p w:rsidR="00D60129" w:rsidRPr="003F4297" w:rsidRDefault="00D60129" w:rsidP="00A452AE">
      <w:pPr>
        <w:pStyle w:val="RKnormal"/>
        <w:rPr>
          <w:bCs/>
        </w:rPr>
      </w:pPr>
      <w:r w:rsidRPr="003F4297">
        <w:t xml:space="preserve">Thus in Article 1, 1(1a) of Regulation (EC) No 546/2009 </w:t>
      </w:r>
      <w:r w:rsidRPr="003F4297">
        <w:rPr>
          <w:bCs/>
          <w:u w:val="single"/>
        </w:rPr>
        <w:t>the second subparagraph shall be replaced by the following</w:t>
      </w:r>
      <w:r w:rsidRPr="003F4297">
        <w:rPr>
          <w:bCs/>
        </w:rPr>
        <w:t>:</w:t>
      </w:r>
    </w:p>
    <w:p w:rsidR="00D60129" w:rsidRPr="003F4297" w:rsidRDefault="00D60129" w:rsidP="00A452AE">
      <w:pPr>
        <w:pStyle w:val="RKnormal"/>
        <w:rPr>
          <w:b/>
          <w:bCs/>
        </w:rPr>
      </w:pPr>
      <w:r w:rsidRPr="003F4297">
        <w:rPr>
          <w:b/>
          <w:bCs/>
        </w:rPr>
        <w:t>"This derogation shall apply to all applications submitted no later than by 31 December 2013."</w:t>
      </w:r>
    </w:p>
    <w:p w:rsidR="00D60129" w:rsidRPr="003F4297" w:rsidRDefault="00D60129" w:rsidP="00A452AE">
      <w:pPr>
        <w:pStyle w:val="RKnormal"/>
      </w:pPr>
    </w:p>
    <w:p w:rsidR="00D60129" w:rsidRPr="003F4297" w:rsidRDefault="00D60129" w:rsidP="00A452AE">
      <w:pPr>
        <w:pStyle w:val="RKnormal"/>
      </w:pPr>
      <w:r w:rsidRPr="003F4297">
        <w:t xml:space="preserve">Additionally, in Article 8(6) of Regulation (EC) No 546/2009 </w:t>
      </w:r>
      <w:r w:rsidRPr="003F4297">
        <w:rPr>
          <w:u w:val="single"/>
        </w:rPr>
        <w:t xml:space="preserve">the </w:t>
      </w:r>
      <w:r w:rsidRPr="003F4297">
        <w:rPr>
          <w:bCs/>
          <w:u w:val="single"/>
        </w:rPr>
        <w:t>last sentence shall be deleted:</w:t>
      </w:r>
    </w:p>
    <w:p w:rsidR="00D60129" w:rsidRPr="003F4297" w:rsidRDefault="00D60129" w:rsidP="00A452AE">
      <w:pPr>
        <w:pStyle w:val="RKnormal"/>
        <w:rPr>
          <w:b/>
          <w:bCs/>
        </w:rPr>
      </w:pPr>
      <w:r w:rsidRPr="003F4297">
        <w:rPr>
          <w:b/>
          <w:bCs/>
        </w:rPr>
        <w:t>"For applications submitted before the date mentioned in Article 1(1a), the amount may not exceed 65 %"</w:t>
      </w:r>
    </w:p>
    <w:p w:rsidR="00D60129" w:rsidRPr="003F4297" w:rsidRDefault="00D60129" w:rsidP="00A452AE">
      <w:pPr>
        <w:pStyle w:val="RKnormal"/>
      </w:pPr>
    </w:p>
    <w:p w:rsidR="00D60129" w:rsidRPr="003F4297" w:rsidRDefault="00D60129" w:rsidP="00A452AE">
      <w:pPr>
        <w:pStyle w:val="RKnormal"/>
      </w:pPr>
      <w:r w:rsidRPr="003F4297">
        <w:t>Article 8(6) will read as follows:</w:t>
      </w:r>
    </w:p>
    <w:p w:rsidR="00D60129" w:rsidRPr="003F4297" w:rsidRDefault="00D60129" w:rsidP="00A452AE">
      <w:pPr>
        <w:pStyle w:val="RKnormal"/>
      </w:pPr>
      <w:r w:rsidRPr="003F4297">
        <w:t>"1.The Commission shall, on the basis of the assessment carried out in accordance with Article 5(5), particularly taking into account the number of workers to be supported, the proposed actions and the estimated costs, evaluate and propose as quickly as possible the amount of financial contribution, if any, that may be made within the limits of the resources available. The amount may not exceed 50% of the total of the estimated cost referred to in Article 5(2)(d)."</w:t>
      </w:r>
    </w:p>
    <w:p w:rsidR="00D60129" w:rsidRPr="003F4297" w:rsidRDefault="00D60129">
      <w:pPr>
        <w:pStyle w:val="Slutnots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342" w:rsidRPr="003F4297" w:rsidRDefault="00C46342">
      <w:r w:rsidRPr="003F4297">
        <w:separator/>
      </w:r>
    </w:p>
  </w:footnote>
  <w:footnote w:type="continuationSeparator" w:id="0">
    <w:p w:rsidR="00C46342" w:rsidRPr="003F4297" w:rsidRDefault="00C46342">
      <w:r w:rsidRPr="003F42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29" w:rsidRPr="003F4297" w:rsidRDefault="00D60129">
    <w:pPr>
      <w:pStyle w:val="Sidhuvud"/>
      <w:framePr w:wrap="around" w:vAnchor="text" w:hAnchor="margin" w:xAlign="right" w:y="1"/>
      <w:rPr>
        <w:rStyle w:val="Sidnummer"/>
      </w:rPr>
    </w:pPr>
    <w:r w:rsidRPr="003F4297">
      <w:rPr>
        <w:rStyle w:val="Sidnummer"/>
      </w:rPr>
      <w:fldChar w:fldCharType="begin" w:fldLock="1"/>
    </w:r>
    <w:r w:rsidRPr="003F4297">
      <w:rPr>
        <w:rStyle w:val="Sidnummer"/>
      </w:rPr>
      <w:instrText xml:space="preserve">PAGE  </w:instrText>
    </w:r>
    <w:r w:rsidRPr="003F4297">
      <w:rPr>
        <w:rStyle w:val="Sidnummer"/>
      </w:rPr>
      <w:fldChar w:fldCharType="separate"/>
    </w:r>
    <w:r w:rsidR="00A05F12" w:rsidRPr="003F4297">
      <w:rPr>
        <w:rStyle w:val="Sidnummer"/>
      </w:rPr>
      <w:t>4</w:t>
    </w:r>
    <w:r w:rsidRPr="003F429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60129" w:rsidRPr="003F4297">
      <w:tblPrEx>
        <w:tblCellMar>
          <w:top w:w="0" w:type="dxa"/>
          <w:bottom w:w="0" w:type="dxa"/>
        </w:tblCellMar>
      </w:tblPrEx>
      <w:trPr>
        <w:cantSplit/>
      </w:trPr>
      <w:tc>
        <w:tcPr>
          <w:tcW w:w="3119" w:type="dxa"/>
        </w:tcPr>
        <w:p w:rsidR="00D60129" w:rsidRPr="003F4297" w:rsidRDefault="00D60129">
          <w:pPr>
            <w:pStyle w:val="Sidhuvud"/>
            <w:spacing w:line="200" w:lineRule="atLeast"/>
            <w:ind w:right="357"/>
            <w:rPr>
              <w:rFonts w:ascii="TradeGothic" w:hAnsi="TradeGothic"/>
              <w:b/>
              <w:bCs/>
              <w:sz w:val="16"/>
            </w:rPr>
          </w:pPr>
        </w:p>
      </w:tc>
      <w:tc>
        <w:tcPr>
          <w:tcW w:w="4111" w:type="dxa"/>
          <w:tcMar>
            <w:left w:w="567" w:type="dxa"/>
          </w:tcMar>
        </w:tcPr>
        <w:p w:rsidR="00D60129" w:rsidRPr="003F4297" w:rsidRDefault="00D60129">
          <w:pPr>
            <w:pStyle w:val="Sidhuvud"/>
            <w:ind w:right="360"/>
          </w:pPr>
        </w:p>
      </w:tc>
      <w:tc>
        <w:tcPr>
          <w:tcW w:w="1525" w:type="dxa"/>
        </w:tcPr>
        <w:p w:rsidR="00D60129" w:rsidRPr="003F4297" w:rsidRDefault="00D60129">
          <w:pPr>
            <w:pStyle w:val="Sidhuvud"/>
            <w:ind w:right="360"/>
          </w:pPr>
        </w:p>
      </w:tc>
    </w:tr>
  </w:tbl>
  <w:p w:rsidR="00D60129" w:rsidRPr="003F4297" w:rsidRDefault="00D6012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29" w:rsidRPr="003F4297" w:rsidRDefault="00D60129">
    <w:pPr>
      <w:pStyle w:val="Sidhuvud"/>
      <w:framePr w:wrap="around" w:vAnchor="text" w:hAnchor="margin" w:xAlign="right" w:y="1"/>
      <w:rPr>
        <w:rStyle w:val="Sidnummer"/>
      </w:rPr>
    </w:pPr>
    <w:r w:rsidRPr="003F4297">
      <w:rPr>
        <w:rStyle w:val="Sidnummer"/>
      </w:rPr>
      <w:fldChar w:fldCharType="begin" w:fldLock="1"/>
    </w:r>
    <w:r w:rsidRPr="003F4297">
      <w:rPr>
        <w:rStyle w:val="Sidnummer"/>
      </w:rPr>
      <w:instrText xml:space="preserve">PAGE  </w:instrText>
    </w:r>
    <w:r w:rsidRPr="003F4297">
      <w:rPr>
        <w:rStyle w:val="Sidnummer"/>
      </w:rPr>
      <w:fldChar w:fldCharType="separate"/>
    </w:r>
    <w:r w:rsidR="00A05F12" w:rsidRPr="003F4297">
      <w:rPr>
        <w:rStyle w:val="Sidnummer"/>
      </w:rPr>
      <w:t>5</w:t>
    </w:r>
    <w:r w:rsidRPr="003F429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60129" w:rsidRPr="003F4297">
      <w:tblPrEx>
        <w:tblCellMar>
          <w:top w:w="0" w:type="dxa"/>
          <w:bottom w:w="0" w:type="dxa"/>
        </w:tblCellMar>
      </w:tblPrEx>
      <w:trPr>
        <w:cantSplit/>
      </w:trPr>
      <w:tc>
        <w:tcPr>
          <w:tcW w:w="3119" w:type="dxa"/>
        </w:tcPr>
        <w:p w:rsidR="00D60129" w:rsidRPr="003F4297" w:rsidRDefault="00D60129">
          <w:pPr>
            <w:pStyle w:val="Sidhuvud"/>
            <w:spacing w:line="200" w:lineRule="atLeast"/>
            <w:ind w:right="357"/>
            <w:rPr>
              <w:rFonts w:ascii="TradeGothic" w:hAnsi="TradeGothic"/>
              <w:b/>
              <w:bCs/>
              <w:sz w:val="16"/>
            </w:rPr>
          </w:pPr>
        </w:p>
      </w:tc>
      <w:tc>
        <w:tcPr>
          <w:tcW w:w="4111" w:type="dxa"/>
          <w:tcMar>
            <w:left w:w="567" w:type="dxa"/>
          </w:tcMar>
        </w:tcPr>
        <w:p w:rsidR="00D60129" w:rsidRPr="003F4297" w:rsidRDefault="00D60129">
          <w:pPr>
            <w:pStyle w:val="Sidhuvud"/>
            <w:ind w:right="360"/>
          </w:pPr>
        </w:p>
      </w:tc>
      <w:tc>
        <w:tcPr>
          <w:tcW w:w="1525" w:type="dxa"/>
        </w:tcPr>
        <w:p w:rsidR="00D60129" w:rsidRPr="003F4297" w:rsidRDefault="00D60129">
          <w:pPr>
            <w:pStyle w:val="Sidhuvud"/>
            <w:ind w:right="360"/>
          </w:pPr>
        </w:p>
      </w:tc>
    </w:tr>
  </w:tbl>
  <w:p w:rsidR="00D60129" w:rsidRPr="003F4297" w:rsidRDefault="00D6012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29" w:rsidRPr="003F4297" w:rsidRDefault="003F4297">
    <w:pPr>
      <w:framePr w:w="2948" w:h="1321" w:hRule="exact" w:wrap="notBeside" w:vAnchor="page" w:hAnchor="page" w:x="1362" w:y="653"/>
    </w:pPr>
    <w:r w:rsidRPr="003F429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60129" w:rsidRPr="003F4297" w:rsidRDefault="00D60129">
    <w:pPr>
      <w:pStyle w:val="RKrubrik"/>
      <w:keepNext w:val="0"/>
      <w:tabs>
        <w:tab w:val="clear" w:pos="1134"/>
        <w:tab w:val="clear" w:pos="2835"/>
      </w:tabs>
      <w:spacing w:before="0" w:after="0" w:line="320" w:lineRule="atLeast"/>
      <w:rPr>
        <w:bCs/>
      </w:rPr>
    </w:pPr>
  </w:p>
  <w:p w:rsidR="00D60129" w:rsidRPr="003F4297" w:rsidRDefault="00D60129">
    <w:pPr>
      <w:rPr>
        <w:rFonts w:ascii="TradeGothic" w:hAnsi="TradeGothic"/>
        <w:b/>
        <w:bCs/>
        <w:spacing w:val="12"/>
        <w:sz w:val="22"/>
      </w:rPr>
    </w:pPr>
  </w:p>
  <w:p w:rsidR="00D60129" w:rsidRPr="003F4297" w:rsidRDefault="00D60129">
    <w:pPr>
      <w:pStyle w:val="RKrubrik"/>
      <w:keepNext w:val="0"/>
      <w:tabs>
        <w:tab w:val="clear" w:pos="1134"/>
        <w:tab w:val="clear" w:pos="2835"/>
      </w:tabs>
      <w:spacing w:before="0" w:after="0" w:line="320" w:lineRule="atLeast"/>
      <w:rPr>
        <w:bCs/>
      </w:rPr>
    </w:pPr>
  </w:p>
  <w:p w:rsidR="00D60129" w:rsidRPr="003F4297" w:rsidRDefault="00D6012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737089"/>
    <w:rsid w:val="000114B8"/>
    <w:rsid w:val="001370F5"/>
    <w:rsid w:val="00150384"/>
    <w:rsid w:val="001805B7"/>
    <w:rsid w:val="001D0C72"/>
    <w:rsid w:val="00351567"/>
    <w:rsid w:val="003F4297"/>
    <w:rsid w:val="004557B0"/>
    <w:rsid w:val="0049181F"/>
    <w:rsid w:val="00497F8B"/>
    <w:rsid w:val="004A328D"/>
    <w:rsid w:val="005202DC"/>
    <w:rsid w:val="0058762B"/>
    <w:rsid w:val="005926B8"/>
    <w:rsid w:val="00630AF1"/>
    <w:rsid w:val="006E4E11"/>
    <w:rsid w:val="007242A3"/>
    <w:rsid w:val="00737089"/>
    <w:rsid w:val="00776176"/>
    <w:rsid w:val="007960FD"/>
    <w:rsid w:val="007A6855"/>
    <w:rsid w:val="007E778D"/>
    <w:rsid w:val="00950822"/>
    <w:rsid w:val="009C3DB6"/>
    <w:rsid w:val="00A05F12"/>
    <w:rsid w:val="00A452AE"/>
    <w:rsid w:val="00C33A2A"/>
    <w:rsid w:val="00C46342"/>
    <w:rsid w:val="00C829B7"/>
    <w:rsid w:val="00D133D7"/>
    <w:rsid w:val="00D60129"/>
    <w:rsid w:val="00D73C71"/>
    <w:rsid w:val="00DE6D6A"/>
    <w:rsid w:val="00E343BB"/>
    <w:rsid w:val="00EC25F9"/>
    <w:rsid w:val="00ED583F"/>
    <w:rsid w:val="00F4099E"/>
    <w:rsid w:val="00F432A2"/>
    <w:rsid w:val="00F604EE"/>
    <w:rsid w:val="00F74D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4E534-0042-4EDF-ABF8-49B69258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37089"/>
    <w:rPr>
      <w:rFonts w:ascii="OrigGarmnd BT" w:hAnsi="OrigGarmnd BT"/>
      <w:sz w:val="24"/>
      <w:lang w:val="sv-SE" w:eastAsia="en-US" w:bidi="ar-SA"/>
    </w:rPr>
  </w:style>
  <w:style w:type="paragraph" w:styleId="Fotnotstext">
    <w:name w:val="footnote text"/>
    <w:basedOn w:val="Normal"/>
    <w:semiHidden/>
    <w:rsid w:val="000114B8"/>
    <w:rPr>
      <w:sz w:val="20"/>
    </w:rPr>
  </w:style>
  <w:style w:type="character" w:styleId="Fotnotsreferens">
    <w:name w:val="footnote reference"/>
    <w:basedOn w:val="Standardstycketeckensnitt"/>
    <w:semiHidden/>
    <w:rsid w:val="000114B8"/>
    <w:rPr>
      <w:vertAlign w:val="superscript"/>
    </w:rPr>
  </w:style>
  <w:style w:type="paragraph" w:styleId="Slutnotstext">
    <w:name w:val="endnote text"/>
    <w:basedOn w:val="Normal"/>
    <w:semiHidden/>
    <w:rsid w:val="00A452AE"/>
    <w:rPr>
      <w:sz w:val="20"/>
    </w:rPr>
  </w:style>
  <w:style w:type="character" w:styleId="Slutnotsreferens">
    <w:name w:val="endnote reference"/>
    <w:basedOn w:val="Standardstycketeckensnitt"/>
    <w:semiHidden/>
    <w:rsid w:val="00A452AE"/>
    <w:rPr>
      <w:vertAlign w:val="superscript"/>
    </w:rPr>
  </w:style>
  <w:style w:type="paragraph" w:customStyle="1" w:styleId="NormalConseil">
    <w:name w:val="NormalConseil"/>
    <w:basedOn w:val="Normal"/>
    <w:rsid w:val="00A452AE"/>
    <w:pPr>
      <w:overflowPunct/>
      <w:autoSpaceDE/>
      <w:autoSpaceDN/>
      <w:adjustRightInd/>
      <w:spacing w:line="240" w:lineRule="auto"/>
      <w:textAlignment w:val="auto"/>
    </w:pPr>
    <w:rPr>
      <w:rFonts w:ascii="Times New Roman" w:hAnsi="Times New Roman"/>
      <w:lang w:val="en-GB" w:eastAsia="fr-BE"/>
    </w:rPr>
  </w:style>
  <w:style w:type="paragraph" w:styleId="Ballongtext">
    <w:name w:val="Balloon Text"/>
    <w:basedOn w:val="Normal"/>
    <w:semiHidden/>
    <w:rsid w:val="00A05F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4639</Characters>
  <Application>Microsoft Office Word</Application>
  <DocSecurity>4</DocSecurity>
  <Lines>136</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2011-11-21T10:36:00Z</cp:lastPrinted>
  <dcterms:created xsi:type="dcterms:W3CDTF">2025-12-17T21:38:00Z</dcterms:created>
  <dcterms:modified xsi:type="dcterms:W3CDTF">2025-12-17T21:38:00Z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Statsrådsberedningen</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