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441" w:rsidRPr="001F45BD" w:rsidRDefault="005A7441">
      <w:pPr>
        <w:pStyle w:val="Hemstlrubrik"/>
        <w:shd w:val="clear" w:color="000000" w:fill="auto"/>
      </w:pPr>
      <w:r w:rsidRPr="001F45BD">
        <w:t>Förslag till riksdagsbeslut</w:t>
      </w:r>
    </w:p>
    <w:p w:rsidR="00D71042" w:rsidRPr="001F45BD" w:rsidRDefault="00D71042">
      <w:pPr>
        <w:pStyle w:val="Hemstlatt"/>
        <w:numPr>
          <w:ilvl w:val="0"/>
          <w:numId w:val="1"/>
        </w:numPr>
        <w:shd w:val="clear" w:color="000000" w:fill="auto"/>
      </w:pPr>
      <w:r w:rsidRPr="001F45BD">
        <w:t>Riksdagen beslutar att avslå regeringens förslag till lag om ändring i skollagen (1985:1100).</w:t>
      </w:r>
    </w:p>
    <w:p w:rsidR="00D71042" w:rsidRPr="001F45BD" w:rsidRDefault="00D71042">
      <w:pPr>
        <w:pStyle w:val="Hemstlatt"/>
        <w:numPr>
          <w:ilvl w:val="0"/>
          <w:numId w:val="1"/>
        </w:numPr>
        <w:shd w:val="clear" w:color="000000" w:fill="auto"/>
      </w:pPr>
      <w:r w:rsidRPr="001F45BD">
        <w:t>Riksdagen beslutar att avslå regeringens förslag till lag om ändring i lagen (2004:871) om ändring i skollagen (1985:1100).</w:t>
      </w:r>
    </w:p>
    <w:p w:rsidR="00D71042" w:rsidRPr="001F45BD" w:rsidRDefault="00D71042">
      <w:pPr>
        <w:pStyle w:val="Hemstlatt"/>
        <w:numPr>
          <w:ilvl w:val="0"/>
          <w:numId w:val="1"/>
        </w:numPr>
        <w:shd w:val="clear" w:color="000000" w:fill="auto"/>
      </w:pPr>
      <w:r w:rsidRPr="001F45BD">
        <w:t>Riksdagen tillkännager för regeringen som sin mening vad i motionen anförs om att inrätta en ny myndighet för vuxnas lära</w:t>
      </w:r>
      <w:r w:rsidRPr="001F45BD">
        <w:t>n</w:t>
      </w:r>
      <w:r w:rsidRPr="001F45BD">
        <w:t>de.</w:t>
      </w:r>
    </w:p>
    <w:p w:rsidR="00D71042" w:rsidRPr="001F45BD" w:rsidRDefault="00D71042">
      <w:pPr>
        <w:pStyle w:val="Hemstlatt"/>
        <w:numPr>
          <w:ilvl w:val="0"/>
          <w:numId w:val="1"/>
        </w:numPr>
        <w:shd w:val="clear" w:color="000000" w:fill="auto"/>
      </w:pPr>
      <w:r w:rsidRPr="001F45BD">
        <w:t>Riksdagen tillkännager för regeringen som sin mening vad i motionen anförs om fler högskoleplatser.</w:t>
      </w:r>
    </w:p>
    <w:p w:rsidR="00D71042" w:rsidRPr="001F45BD" w:rsidRDefault="00D71042">
      <w:pPr>
        <w:pStyle w:val="Hemstlatt"/>
        <w:numPr>
          <w:ilvl w:val="0"/>
          <w:numId w:val="1"/>
        </w:numPr>
        <w:shd w:val="clear" w:color="000000" w:fill="auto"/>
      </w:pPr>
      <w:r w:rsidRPr="001F45BD">
        <w:t>Riksdagen anvisar för budgetåret 2007 anslagen under utgift</w:t>
      </w:r>
      <w:r w:rsidRPr="001F45BD">
        <w:t>s</w:t>
      </w:r>
      <w:r w:rsidRPr="001F45BD">
        <w:t>område 16 Utbildning och universitetsforskning med de ändringar i fö</w:t>
      </w:r>
      <w:r w:rsidRPr="001F45BD">
        <w:t>r</w:t>
      </w:r>
      <w:r w:rsidRPr="001F45BD">
        <w:t>hållande till regeringens förslag som framgår av i motionen redovisad uppställning.</w:t>
      </w:r>
    </w:p>
    <w:tbl>
      <w:tblPr>
        <w:tblW w:w="5525" w:type="dxa"/>
        <w:tblInd w:w="468" w:type="dxa"/>
        <w:tblLayout w:type="fixed"/>
        <w:tblLook w:val="01E0" w:firstRow="1" w:lastRow="1" w:firstColumn="1" w:lastColumn="1" w:noHBand="0" w:noVBand="0"/>
      </w:tblPr>
      <w:tblGrid>
        <w:gridCol w:w="840"/>
        <w:gridCol w:w="2805"/>
        <w:gridCol w:w="940"/>
        <w:gridCol w:w="940"/>
      </w:tblGrid>
      <w:tr w:rsidR="0047029D" w:rsidRPr="001F45BD">
        <w:tc>
          <w:tcPr>
            <w:tcW w:w="840" w:type="dxa"/>
            <w:tcBorders>
              <w:top w:val="single" w:sz="4" w:space="0" w:color="auto"/>
              <w:bottom w:val="single" w:sz="4" w:space="0" w:color="auto"/>
            </w:tcBorders>
          </w:tcPr>
          <w:p w:rsidR="00D71042" w:rsidRPr="001F45BD" w:rsidRDefault="00D71042">
            <w:pPr>
              <w:shd w:val="clear" w:color="000000" w:fill="auto"/>
              <w:spacing w:line="180" w:lineRule="exact"/>
              <w:ind w:left="-108" w:right="-113"/>
              <w:rPr>
                <w:sz w:val="16"/>
                <w:szCs w:val="16"/>
              </w:rPr>
            </w:pPr>
            <w:r w:rsidRPr="001F45BD">
              <w:rPr>
                <w:b/>
                <w:spacing w:val="-4"/>
                <w:sz w:val="16"/>
                <w:szCs w:val="16"/>
              </w:rPr>
              <w:t>Utg.omr. 16</w:t>
            </w:r>
            <w:r w:rsidRPr="001F45BD">
              <w:rPr>
                <w:b/>
                <w:spacing w:val="-4"/>
                <w:sz w:val="16"/>
                <w:szCs w:val="16"/>
              </w:rPr>
              <w:br/>
            </w:r>
            <w:r w:rsidRPr="001F45BD">
              <w:rPr>
                <w:b/>
                <w:sz w:val="16"/>
                <w:szCs w:val="16"/>
              </w:rPr>
              <w:t>Anslag</w:t>
            </w:r>
          </w:p>
        </w:tc>
        <w:tc>
          <w:tcPr>
            <w:tcW w:w="2805" w:type="dxa"/>
            <w:tcBorders>
              <w:top w:val="single" w:sz="4" w:space="0" w:color="auto"/>
              <w:bottom w:val="single" w:sz="4" w:space="0" w:color="auto"/>
            </w:tcBorders>
          </w:tcPr>
          <w:p w:rsidR="00D71042" w:rsidRPr="001F45BD" w:rsidRDefault="00D71042">
            <w:pPr>
              <w:shd w:val="clear" w:color="000000" w:fill="auto"/>
              <w:spacing w:line="200" w:lineRule="exact"/>
              <w:rPr>
                <w:sz w:val="16"/>
                <w:szCs w:val="16"/>
              </w:rPr>
            </w:pPr>
            <w:r w:rsidRPr="001F45BD">
              <w:rPr>
                <w:b/>
                <w:sz w:val="16"/>
                <w:szCs w:val="16"/>
              </w:rPr>
              <w:t>Utbildning och universitets</w:t>
            </w:r>
            <w:r w:rsidRPr="001F45BD">
              <w:rPr>
                <w:b/>
                <w:sz w:val="16"/>
                <w:szCs w:val="16"/>
              </w:rPr>
              <w:softHyphen/>
              <w:t>forsk</w:t>
            </w:r>
            <w:r w:rsidRPr="001F45BD">
              <w:rPr>
                <w:b/>
                <w:sz w:val="16"/>
                <w:szCs w:val="16"/>
              </w:rPr>
              <w:softHyphen/>
              <w:t>ning</w:t>
            </w:r>
          </w:p>
        </w:tc>
        <w:tc>
          <w:tcPr>
            <w:tcW w:w="940" w:type="dxa"/>
            <w:tcBorders>
              <w:top w:val="single" w:sz="4" w:space="0" w:color="auto"/>
              <w:bottom w:val="single" w:sz="4" w:space="0" w:color="auto"/>
            </w:tcBorders>
          </w:tcPr>
          <w:p w:rsidR="00D71042" w:rsidRPr="001F45BD" w:rsidRDefault="00D71042">
            <w:pPr>
              <w:shd w:val="clear" w:color="000000" w:fill="auto"/>
              <w:spacing w:line="200" w:lineRule="exact"/>
              <w:ind w:left="-113"/>
              <w:jc w:val="right"/>
              <w:rPr>
                <w:spacing w:val="-2"/>
                <w:sz w:val="16"/>
                <w:szCs w:val="16"/>
              </w:rPr>
            </w:pPr>
            <w:r w:rsidRPr="001F45BD">
              <w:rPr>
                <w:b/>
                <w:spacing w:val="-4"/>
                <w:sz w:val="16"/>
                <w:szCs w:val="16"/>
              </w:rPr>
              <w:t>Regeringens</w:t>
            </w:r>
            <w:r w:rsidRPr="001F45BD">
              <w:rPr>
                <w:b/>
                <w:spacing w:val="-4"/>
                <w:sz w:val="16"/>
                <w:szCs w:val="16"/>
              </w:rPr>
              <w:br/>
            </w:r>
            <w:r w:rsidRPr="001F45BD">
              <w:rPr>
                <w:b/>
                <w:spacing w:val="-2"/>
                <w:sz w:val="16"/>
                <w:szCs w:val="16"/>
              </w:rPr>
              <w:t>förslag (tkr)</w:t>
            </w:r>
          </w:p>
        </w:tc>
        <w:tc>
          <w:tcPr>
            <w:tcW w:w="940" w:type="dxa"/>
            <w:tcBorders>
              <w:top w:val="single" w:sz="4" w:space="0" w:color="auto"/>
              <w:bottom w:val="single" w:sz="4" w:space="0" w:color="auto"/>
            </w:tcBorders>
          </w:tcPr>
          <w:p w:rsidR="00D71042" w:rsidRPr="001F45BD" w:rsidRDefault="00D71042">
            <w:pPr>
              <w:shd w:val="clear" w:color="000000" w:fill="auto"/>
              <w:spacing w:line="200" w:lineRule="exact"/>
              <w:ind w:left="-113"/>
              <w:jc w:val="right"/>
              <w:rPr>
                <w:spacing w:val="-2"/>
                <w:sz w:val="16"/>
                <w:szCs w:val="16"/>
              </w:rPr>
            </w:pPr>
            <w:r w:rsidRPr="001F45BD">
              <w:rPr>
                <w:b/>
                <w:spacing w:val="-2"/>
                <w:sz w:val="16"/>
                <w:szCs w:val="16"/>
              </w:rPr>
              <w:t>Förändring (tkr)</w:t>
            </w:r>
          </w:p>
        </w:tc>
      </w:tr>
      <w:tr w:rsidR="0047029D" w:rsidRPr="001F45BD">
        <w:tc>
          <w:tcPr>
            <w:tcW w:w="840" w:type="dxa"/>
            <w:tcBorders>
              <w:top w:val="single" w:sz="4" w:space="0" w:color="auto"/>
            </w:tcBorders>
            <w:vAlign w:val="bottom"/>
          </w:tcPr>
          <w:p w:rsidR="00D71042" w:rsidRPr="001F45BD" w:rsidRDefault="00D71042">
            <w:pPr>
              <w:shd w:val="clear" w:color="000000" w:fill="auto"/>
              <w:spacing w:before="40" w:line="180" w:lineRule="exact"/>
              <w:ind w:left="-108"/>
              <w:rPr>
                <w:sz w:val="16"/>
                <w:szCs w:val="16"/>
              </w:rPr>
            </w:pPr>
            <w:r w:rsidRPr="001F45BD">
              <w:rPr>
                <w:sz w:val="16"/>
                <w:szCs w:val="16"/>
              </w:rPr>
              <w:t xml:space="preserve">25:1  </w:t>
            </w:r>
          </w:p>
        </w:tc>
        <w:tc>
          <w:tcPr>
            <w:tcW w:w="2805" w:type="dxa"/>
            <w:tcBorders>
              <w:top w:val="single" w:sz="4" w:space="0" w:color="auto"/>
            </w:tcBorders>
            <w:vAlign w:val="bottom"/>
          </w:tcPr>
          <w:p w:rsidR="00D71042" w:rsidRPr="001F45BD" w:rsidRDefault="00D71042">
            <w:pPr>
              <w:shd w:val="clear" w:color="000000" w:fill="auto"/>
              <w:spacing w:before="40" w:line="180" w:lineRule="exact"/>
              <w:rPr>
                <w:sz w:val="16"/>
                <w:szCs w:val="16"/>
              </w:rPr>
            </w:pPr>
            <w:r w:rsidRPr="001F45BD">
              <w:rPr>
                <w:sz w:val="16"/>
                <w:szCs w:val="16"/>
              </w:rPr>
              <w:t>Statens skolverk</w:t>
            </w:r>
          </w:p>
        </w:tc>
        <w:tc>
          <w:tcPr>
            <w:tcW w:w="940" w:type="dxa"/>
            <w:tcBorders>
              <w:top w:val="single" w:sz="4" w:space="0" w:color="auto"/>
            </w:tcBorders>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356 926</w:t>
            </w:r>
          </w:p>
        </w:tc>
        <w:tc>
          <w:tcPr>
            <w:tcW w:w="940" w:type="dxa"/>
            <w:tcBorders>
              <w:top w:val="single" w:sz="4" w:space="0" w:color="auto"/>
            </w:tcBorders>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–50 000</w:t>
            </w:r>
          </w:p>
        </w:tc>
      </w:tr>
      <w:tr w:rsidR="0047029D" w:rsidRPr="001F45BD">
        <w:tc>
          <w:tcPr>
            <w:tcW w:w="840" w:type="dxa"/>
            <w:vAlign w:val="bottom"/>
          </w:tcPr>
          <w:p w:rsidR="00D71042" w:rsidRPr="001F45BD" w:rsidRDefault="00D71042">
            <w:pPr>
              <w:shd w:val="clear" w:color="000000" w:fill="auto"/>
              <w:spacing w:before="40" w:line="180" w:lineRule="exact"/>
              <w:ind w:left="-108"/>
              <w:rPr>
                <w:sz w:val="16"/>
                <w:szCs w:val="16"/>
              </w:rPr>
            </w:pPr>
            <w:r w:rsidRPr="001F45BD">
              <w:rPr>
                <w:sz w:val="16"/>
                <w:szCs w:val="16"/>
              </w:rPr>
              <w:t xml:space="preserve">25:2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Myndigheten för skol</w:t>
            </w:r>
            <w:r w:rsidRPr="001F45BD">
              <w:rPr>
                <w:sz w:val="16"/>
                <w:szCs w:val="16"/>
              </w:rPr>
              <w:softHyphen/>
              <w:t>utveck</w:t>
            </w:r>
            <w:r w:rsidRPr="001F45BD">
              <w:rPr>
                <w:sz w:val="16"/>
                <w:szCs w:val="16"/>
              </w:rPr>
              <w:softHyphen/>
              <w:t>ling</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95 711</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–4 150</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25:3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Utveckling av skolväsende, för</w:t>
            </w:r>
            <w:r w:rsidRPr="001F45BD">
              <w:rPr>
                <w:sz w:val="16"/>
                <w:szCs w:val="16"/>
              </w:rPr>
              <w:softHyphen/>
              <w:t>skole</w:t>
            </w:r>
            <w:r w:rsidRPr="001F45BD">
              <w:rPr>
                <w:sz w:val="16"/>
                <w:szCs w:val="16"/>
              </w:rPr>
              <w:softHyphen/>
              <w:t>verk</w:t>
            </w:r>
            <w:r w:rsidRPr="001F45BD">
              <w:rPr>
                <w:sz w:val="16"/>
                <w:szCs w:val="16"/>
              </w:rPr>
              <w:softHyphen/>
              <w:t>sam</w:t>
            </w:r>
            <w:r w:rsidRPr="001F45BD">
              <w:rPr>
                <w:sz w:val="16"/>
                <w:szCs w:val="16"/>
              </w:rPr>
              <w:softHyphen/>
              <w:t>het och skol</w:t>
            </w:r>
            <w:r w:rsidRPr="001F45BD">
              <w:rPr>
                <w:sz w:val="16"/>
                <w:szCs w:val="16"/>
              </w:rPr>
              <w:softHyphen/>
              <w:t>barns</w:t>
            </w:r>
            <w:r w:rsidRPr="001F45BD">
              <w:rPr>
                <w:sz w:val="16"/>
                <w:szCs w:val="16"/>
              </w:rPr>
              <w:softHyphen/>
              <w:t>omsorg</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1 138 511</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–491 000</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25:11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Nationellt centrum för flexi</w:t>
            </w:r>
            <w:r w:rsidRPr="001F45BD">
              <w:rPr>
                <w:sz w:val="16"/>
                <w:szCs w:val="16"/>
              </w:rPr>
              <w:softHyphen/>
              <w:t>belt läran</w:t>
            </w:r>
            <w:r w:rsidRPr="001F45BD">
              <w:rPr>
                <w:sz w:val="16"/>
                <w:szCs w:val="16"/>
              </w:rPr>
              <w:softHyphen/>
              <w:t>de</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100 917</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–50 459</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25:13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Myndigheten för kvalificerad yrkes</w:t>
            </w:r>
            <w:r w:rsidRPr="001F45BD">
              <w:rPr>
                <w:sz w:val="16"/>
                <w:szCs w:val="16"/>
              </w:rPr>
              <w:softHyphen/>
              <w:t>utbild</w:t>
            </w:r>
            <w:r w:rsidRPr="001F45BD">
              <w:rPr>
                <w:sz w:val="16"/>
                <w:szCs w:val="16"/>
              </w:rPr>
              <w:softHyphen/>
              <w:t>ning</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25 927</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–12 964</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25:14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Bidrag till kvalificerad yrkes</w:t>
            </w:r>
            <w:r w:rsidRPr="001F45BD">
              <w:rPr>
                <w:sz w:val="16"/>
                <w:szCs w:val="16"/>
              </w:rPr>
              <w:softHyphen/>
              <w:t>utbild</w:t>
            </w:r>
            <w:r w:rsidRPr="001F45BD">
              <w:rPr>
                <w:sz w:val="16"/>
                <w:szCs w:val="16"/>
              </w:rPr>
              <w:softHyphen/>
              <w:t>ning</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1 139 596</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–569 798</w:t>
            </w:r>
          </w:p>
        </w:tc>
      </w:tr>
      <w:tr w:rsidR="0047029D" w:rsidRPr="001F45BD">
        <w:tc>
          <w:tcPr>
            <w:tcW w:w="840" w:type="dxa"/>
            <w:vAlign w:val="bottom"/>
          </w:tcPr>
          <w:p w:rsidR="00D71042" w:rsidRPr="001F45BD" w:rsidRDefault="00D71042">
            <w:pPr>
              <w:shd w:val="clear" w:color="000000" w:fill="auto"/>
              <w:spacing w:before="40" w:line="180" w:lineRule="exact"/>
              <w:ind w:left="-108"/>
              <w:rPr>
                <w:sz w:val="16"/>
                <w:szCs w:val="16"/>
              </w:rPr>
            </w:pPr>
            <w:r w:rsidRPr="001F45BD">
              <w:rPr>
                <w:sz w:val="16"/>
                <w:szCs w:val="16"/>
              </w:rPr>
              <w:t xml:space="preserve">25:15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Valideringsdelegationen</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18 499</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–9 250</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25:70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Särskilda utgifter inom univer</w:t>
            </w:r>
            <w:r w:rsidRPr="001F45BD">
              <w:rPr>
                <w:sz w:val="16"/>
                <w:szCs w:val="16"/>
              </w:rPr>
              <w:softHyphen/>
              <w:t>sitet och hög</w:t>
            </w:r>
            <w:r w:rsidRPr="001F45BD">
              <w:rPr>
                <w:sz w:val="16"/>
                <w:szCs w:val="16"/>
              </w:rPr>
              <w:softHyphen/>
              <w:t>skolor m.m.</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417 635</w:t>
            </w: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532 500</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25:81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Nytt anslag. Myndigheten för vuxnas lärande</w:t>
            </w:r>
          </w:p>
        </w:tc>
        <w:tc>
          <w:tcPr>
            <w:tcW w:w="940" w:type="dxa"/>
            <w:vAlign w:val="bottom"/>
          </w:tcPr>
          <w:p w:rsidR="00D71042" w:rsidRPr="001F45BD" w:rsidRDefault="00D71042">
            <w:pPr>
              <w:shd w:val="clear" w:color="000000" w:fill="auto"/>
              <w:spacing w:before="40" w:line="180" w:lineRule="exact"/>
              <w:ind w:left="-113"/>
              <w:jc w:val="right"/>
              <w:rPr>
                <w:sz w:val="16"/>
                <w:szCs w:val="16"/>
              </w:rPr>
            </w:pP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646 621</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25:82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Nytt anslag. Bidrag till vissa organi</w:t>
            </w:r>
            <w:r w:rsidRPr="001F45BD">
              <w:rPr>
                <w:sz w:val="16"/>
                <w:szCs w:val="16"/>
              </w:rPr>
              <w:softHyphen/>
              <w:t>sa</w:t>
            </w:r>
            <w:r w:rsidRPr="001F45BD">
              <w:rPr>
                <w:sz w:val="16"/>
                <w:szCs w:val="16"/>
              </w:rPr>
              <w:softHyphen/>
              <w:t>tioner för upp</w:t>
            </w:r>
            <w:r w:rsidRPr="001F45BD">
              <w:rPr>
                <w:sz w:val="16"/>
                <w:szCs w:val="16"/>
              </w:rPr>
              <w:softHyphen/>
              <w:t>sökande verk</w:t>
            </w:r>
            <w:r w:rsidRPr="001F45BD">
              <w:rPr>
                <w:sz w:val="16"/>
                <w:szCs w:val="16"/>
              </w:rPr>
              <w:softHyphen/>
              <w:t>sam</w:t>
            </w:r>
            <w:r w:rsidRPr="001F45BD">
              <w:rPr>
                <w:sz w:val="16"/>
                <w:szCs w:val="16"/>
              </w:rPr>
              <w:softHyphen/>
              <w:t>het</w:t>
            </w:r>
          </w:p>
        </w:tc>
        <w:tc>
          <w:tcPr>
            <w:tcW w:w="940" w:type="dxa"/>
            <w:vAlign w:val="bottom"/>
          </w:tcPr>
          <w:p w:rsidR="00D71042" w:rsidRPr="001F45BD" w:rsidRDefault="00D71042">
            <w:pPr>
              <w:shd w:val="clear" w:color="000000" w:fill="auto"/>
              <w:spacing w:before="40" w:line="180" w:lineRule="exact"/>
              <w:ind w:left="-113"/>
              <w:jc w:val="right"/>
              <w:rPr>
                <w:sz w:val="16"/>
                <w:szCs w:val="16"/>
              </w:rPr>
            </w:pP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49 700</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25:83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Nytt anslag. Statligt stöd för utbild</w:t>
            </w:r>
            <w:r w:rsidRPr="001F45BD">
              <w:rPr>
                <w:sz w:val="16"/>
                <w:szCs w:val="16"/>
              </w:rPr>
              <w:softHyphen/>
              <w:t>ning av vuxna</w:t>
            </w:r>
          </w:p>
        </w:tc>
        <w:tc>
          <w:tcPr>
            <w:tcW w:w="940" w:type="dxa"/>
            <w:vAlign w:val="bottom"/>
          </w:tcPr>
          <w:p w:rsidR="00D71042" w:rsidRPr="001F45BD" w:rsidRDefault="00D71042">
            <w:pPr>
              <w:shd w:val="clear" w:color="000000" w:fill="auto"/>
              <w:spacing w:before="40" w:line="180" w:lineRule="exact"/>
              <w:ind w:left="-113"/>
              <w:jc w:val="right"/>
              <w:rPr>
                <w:sz w:val="16"/>
                <w:szCs w:val="16"/>
              </w:rPr>
            </w:pP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1 820 000</w:t>
            </w:r>
          </w:p>
        </w:tc>
      </w:tr>
      <w:tr w:rsidR="0047029D" w:rsidRPr="001F45BD">
        <w:tc>
          <w:tcPr>
            <w:tcW w:w="840" w:type="dxa"/>
            <w:vAlign w:val="bottom"/>
          </w:tcPr>
          <w:p w:rsidR="00D71042" w:rsidRPr="001F45BD" w:rsidRDefault="00D71042">
            <w:pPr>
              <w:shd w:val="clear" w:color="000000" w:fill="auto"/>
              <w:spacing w:before="40" w:line="180" w:lineRule="exact"/>
              <w:ind w:left="-108"/>
              <w:rPr>
                <w:sz w:val="16"/>
                <w:szCs w:val="16"/>
              </w:rPr>
            </w:pPr>
            <w:r w:rsidRPr="001F45BD">
              <w:rPr>
                <w:sz w:val="16"/>
                <w:szCs w:val="16"/>
              </w:rPr>
              <w:t xml:space="preserve">25:84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Nytt anslag. Bidrag till lär</w:t>
            </w:r>
            <w:r w:rsidRPr="001F45BD">
              <w:rPr>
                <w:sz w:val="16"/>
                <w:szCs w:val="16"/>
              </w:rPr>
              <w:softHyphen/>
              <w:t>centrum</w:t>
            </w:r>
          </w:p>
        </w:tc>
        <w:tc>
          <w:tcPr>
            <w:tcW w:w="940" w:type="dxa"/>
            <w:vAlign w:val="bottom"/>
          </w:tcPr>
          <w:p w:rsidR="00D71042" w:rsidRPr="001F45BD" w:rsidRDefault="00D71042">
            <w:pPr>
              <w:shd w:val="clear" w:color="000000" w:fill="auto"/>
              <w:spacing w:before="40" w:line="180" w:lineRule="exact"/>
              <w:ind w:left="-113"/>
              <w:jc w:val="right"/>
              <w:rPr>
                <w:sz w:val="16"/>
                <w:szCs w:val="16"/>
              </w:rPr>
            </w:pP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300 000</w:t>
            </w:r>
          </w:p>
        </w:tc>
      </w:tr>
      <w:tr w:rsidR="0047029D" w:rsidRPr="001F45BD">
        <w:tc>
          <w:tcPr>
            <w:tcW w:w="840" w:type="dxa"/>
          </w:tcPr>
          <w:p w:rsidR="00D71042" w:rsidRPr="001F45BD" w:rsidRDefault="00D71042">
            <w:pPr>
              <w:shd w:val="clear" w:color="000000" w:fill="auto"/>
              <w:spacing w:before="40" w:line="180" w:lineRule="exact"/>
              <w:ind w:left="-108"/>
              <w:rPr>
                <w:sz w:val="16"/>
                <w:szCs w:val="16"/>
              </w:rPr>
            </w:pPr>
            <w:r w:rsidRPr="001F45BD">
              <w:rPr>
                <w:sz w:val="16"/>
                <w:szCs w:val="16"/>
              </w:rPr>
              <w:t xml:space="preserve">25:85 </w:t>
            </w:r>
          </w:p>
        </w:tc>
        <w:tc>
          <w:tcPr>
            <w:tcW w:w="2805" w:type="dxa"/>
            <w:vAlign w:val="bottom"/>
          </w:tcPr>
          <w:p w:rsidR="00D71042" w:rsidRPr="001F45BD" w:rsidRDefault="00D71042">
            <w:pPr>
              <w:shd w:val="clear" w:color="000000" w:fill="auto"/>
              <w:spacing w:before="40" w:line="180" w:lineRule="exact"/>
              <w:rPr>
                <w:sz w:val="16"/>
                <w:szCs w:val="16"/>
              </w:rPr>
            </w:pPr>
            <w:r w:rsidRPr="001F45BD">
              <w:rPr>
                <w:sz w:val="16"/>
                <w:szCs w:val="16"/>
              </w:rPr>
              <w:t>Nytt anslag. Feministiskt själv</w:t>
            </w:r>
            <w:r w:rsidRPr="001F45BD">
              <w:rPr>
                <w:sz w:val="16"/>
                <w:szCs w:val="16"/>
              </w:rPr>
              <w:softHyphen/>
              <w:t>försvar</w:t>
            </w:r>
          </w:p>
        </w:tc>
        <w:tc>
          <w:tcPr>
            <w:tcW w:w="940" w:type="dxa"/>
            <w:vAlign w:val="bottom"/>
          </w:tcPr>
          <w:p w:rsidR="00D71042" w:rsidRPr="001F45BD" w:rsidRDefault="00D71042">
            <w:pPr>
              <w:shd w:val="clear" w:color="000000" w:fill="auto"/>
              <w:spacing w:before="40" w:line="180" w:lineRule="exact"/>
              <w:ind w:left="-113"/>
              <w:jc w:val="right"/>
              <w:rPr>
                <w:sz w:val="16"/>
                <w:szCs w:val="16"/>
              </w:rPr>
            </w:pPr>
          </w:p>
        </w:tc>
        <w:tc>
          <w:tcPr>
            <w:tcW w:w="940" w:type="dxa"/>
            <w:vAlign w:val="bottom"/>
          </w:tcPr>
          <w:p w:rsidR="00D71042" w:rsidRPr="001F45BD" w:rsidRDefault="00D71042">
            <w:pPr>
              <w:shd w:val="clear" w:color="000000" w:fill="auto"/>
              <w:spacing w:before="40" w:line="180" w:lineRule="exact"/>
              <w:ind w:left="-113"/>
              <w:jc w:val="right"/>
              <w:rPr>
                <w:sz w:val="16"/>
                <w:szCs w:val="16"/>
              </w:rPr>
            </w:pPr>
            <w:r w:rsidRPr="001F45BD">
              <w:rPr>
                <w:sz w:val="16"/>
                <w:szCs w:val="16"/>
              </w:rPr>
              <w:t>1 670</w:t>
            </w:r>
          </w:p>
        </w:tc>
      </w:tr>
      <w:tr w:rsidR="0047029D" w:rsidRPr="001F45BD">
        <w:tc>
          <w:tcPr>
            <w:tcW w:w="840" w:type="dxa"/>
            <w:tcBorders>
              <w:bottom w:val="single" w:sz="4" w:space="0" w:color="auto"/>
            </w:tcBorders>
            <w:vAlign w:val="bottom"/>
          </w:tcPr>
          <w:p w:rsidR="00D71042" w:rsidRPr="001F45BD" w:rsidRDefault="00D71042">
            <w:pPr>
              <w:shd w:val="clear" w:color="000000" w:fill="auto"/>
              <w:spacing w:before="40" w:line="180" w:lineRule="exact"/>
              <w:ind w:left="-108"/>
              <w:rPr>
                <w:b/>
                <w:sz w:val="16"/>
                <w:szCs w:val="16"/>
              </w:rPr>
            </w:pPr>
            <w:r w:rsidRPr="001F45BD">
              <w:rPr>
                <w:b/>
                <w:sz w:val="16"/>
                <w:szCs w:val="16"/>
              </w:rPr>
              <w:lastRenderedPageBreak/>
              <w:t>Summa</w:t>
            </w:r>
          </w:p>
        </w:tc>
        <w:tc>
          <w:tcPr>
            <w:tcW w:w="2805" w:type="dxa"/>
            <w:tcBorders>
              <w:bottom w:val="single" w:sz="4" w:space="0" w:color="auto"/>
            </w:tcBorders>
            <w:vAlign w:val="bottom"/>
          </w:tcPr>
          <w:p w:rsidR="00D71042" w:rsidRPr="001F45BD" w:rsidRDefault="00D71042">
            <w:pPr>
              <w:shd w:val="clear" w:color="000000" w:fill="auto"/>
              <w:spacing w:before="40" w:line="180" w:lineRule="exact"/>
              <w:rPr>
                <w:sz w:val="16"/>
                <w:szCs w:val="16"/>
              </w:rPr>
            </w:pPr>
          </w:p>
        </w:tc>
        <w:tc>
          <w:tcPr>
            <w:tcW w:w="940" w:type="dxa"/>
            <w:tcBorders>
              <w:bottom w:val="single" w:sz="4" w:space="0" w:color="auto"/>
            </w:tcBorders>
            <w:vAlign w:val="bottom"/>
          </w:tcPr>
          <w:p w:rsidR="00D71042" w:rsidRPr="001F45BD" w:rsidRDefault="00D71042">
            <w:pPr>
              <w:shd w:val="clear" w:color="000000" w:fill="auto"/>
              <w:spacing w:before="40" w:line="180" w:lineRule="exact"/>
              <w:ind w:left="-113"/>
              <w:jc w:val="right"/>
              <w:rPr>
                <w:sz w:val="16"/>
                <w:szCs w:val="16"/>
              </w:rPr>
            </w:pPr>
          </w:p>
        </w:tc>
        <w:tc>
          <w:tcPr>
            <w:tcW w:w="940" w:type="dxa"/>
            <w:tcBorders>
              <w:bottom w:val="single" w:sz="4" w:space="0" w:color="auto"/>
            </w:tcBorders>
            <w:vAlign w:val="bottom"/>
          </w:tcPr>
          <w:p w:rsidR="00D71042" w:rsidRPr="001F45BD" w:rsidRDefault="00D71042">
            <w:pPr>
              <w:shd w:val="clear" w:color="000000" w:fill="auto"/>
              <w:spacing w:before="40" w:line="180" w:lineRule="exact"/>
              <w:ind w:left="-113"/>
              <w:jc w:val="right"/>
              <w:rPr>
                <w:b/>
                <w:sz w:val="16"/>
                <w:szCs w:val="16"/>
              </w:rPr>
            </w:pPr>
            <w:r w:rsidRPr="001F45BD">
              <w:rPr>
                <w:b/>
                <w:sz w:val="16"/>
                <w:szCs w:val="16"/>
              </w:rPr>
              <w:t xml:space="preserve">    2 162 870</w:t>
            </w:r>
          </w:p>
        </w:tc>
      </w:tr>
    </w:tbl>
    <w:p w:rsidR="00D71042" w:rsidRPr="001F45BD" w:rsidRDefault="00D71042">
      <w:pPr>
        <w:shd w:val="clear" w:color="000000" w:fill="auto"/>
      </w:pPr>
    </w:p>
    <w:p w:rsidR="00B54271" w:rsidRPr="001F45BD" w:rsidRDefault="00B54271">
      <w:pPr>
        <w:pStyle w:val="Rubrik1"/>
        <w:shd w:val="clear" w:color="000000" w:fill="auto"/>
        <w:spacing w:before="0"/>
      </w:pPr>
      <w:r w:rsidRPr="001F45BD">
        <w:t>Bidrag till förskolor m.m.</w:t>
      </w:r>
    </w:p>
    <w:p w:rsidR="00874661" w:rsidRPr="001F45BD" w:rsidRDefault="00B3580E">
      <w:pPr>
        <w:shd w:val="clear" w:color="000000" w:fill="auto"/>
      </w:pPr>
      <w:r w:rsidRPr="001F45BD">
        <w:t>Regeringen föreslår vissa förändringar i skollagen vad gäller kommunens bidrag till enskilda förskolor, som en följd av att riksdagen har besl</w:t>
      </w:r>
      <w:r w:rsidRPr="001F45BD">
        <w:t>u</w:t>
      </w:r>
      <w:r w:rsidRPr="001F45BD">
        <w:t>tat att införa etableringsfrihet för enskilda förskolor fr.o.m. 1 juli 2006. Vänsterpa</w:t>
      </w:r>
      <w:r w:rsidRPr="001F45BD">
        <w:t>r</w:t>
      </w:r>
      <w:r w:rsidRPr="001F45BD">
        <w:t xml:space="preserve">tiet föreslår i motion </w:t>
      </w:r>
      <w:r w:rsidR="00FD71E9" w:rsidRPr="001F45BD">
        <w:t xml:space="preserve">Utveckling av förskolan </w:t>
      </w:r>
      <w:r w:rsidR="00874661" w:rsidRPr="001F45BD">
        <w:t>(</w:t>
      </w:r>
      <w:r w:rsidR="00497F2B" w:rsidRPr="001F45BD">
        <w:t>2006/07:Ub256</w:t>
      </w:r>
      <w:r w:rsidR="00874661" w:rsidRPr="001F45BD">
        <w:t xml:space="preserve">) </w:t>
      </w:r>
      <w:r w:rsidR="00C0419C" w:rsidRPr="001F45BD">
        <w:t>att kommunen återfår rätten att besluta om bidrag till e</w:t>
      </w:r>
      <w:r w:rsidR="00C0419C" w:rsidRPr="001F45BD">
        <w:t>n</w:t>
      </w:r>
      <w:r w:rsidR="00C0419C" w:rsidRPr="001F45BD">
        <w:t>skilda förskolor</w:t>
      </w:r>
      <w:r w:rsidR="00497F2B" w:rsidRPr="001F45BD">
        <w:t>,</w:t>
      </w:r>
      <w:r w:rsidR="00C0419C" w:rsidRPr="001F45BD">
        <w:t xml:space="preserve"> vilket gör att det inte behövs ytterligare ändringar av skoll</w:t>
      </w:r>
      <w:r w:rsidR="00C0419C" w:rsidRPr="001F45BD">
        <w:t>a</w:t>
      </w:r>
      <w:r w:rsidR="00C0419C" w:rsidRPr="001F45BD">
        <w:t xml:space="preserve">gen enligt regeringens förslag. </w:t>
      </w:r>
      <w:r w:rsidRPr="001F45BD">
        <w:t>I samma förslag till ändring av skollagen ingå</w:t>
      </w:r>
      <w:r w:rsidR="00CF65C9" w:rsidRPr="001F45BD">
        <w:t>r</w:t>
      </w:r>
      <w:r w:rsidRPr="001F45BD">
        <w:t xml:space="preserve"> också förändringar av bidragen till </w:t>
      </w:r>
      <w:r w:rsidR="00C0419C" w:rsidRPr="001F45BD">
        <w:t>internationella skolor.</w:t>
      </w:r>
    </w:p>
    <w:p w:rsidR="00B3580E" w:rsidRPr="001F45BD" w:rsidRDefault="00C0419C">
      <w:pPr>
        <w:pStyle w:val="Normaltindrag"/>
        <w:shd w:val="clear" w:color="000000" w:fill="auto"/>
      </w:pPr>
      <w:r w:rsidRPr="001F45BD">
        <w:t xml:space="preserve">Vi finner det inte vara nödvändigt att redan nu göra denna ändring utan det kan anstå till den nya skollag som </w:t>
      </w:r>
      <w:r w:rsidR="002B66DA" w:rsidRPr="001F45BD">
        <w:t>regeringen har aviserat. Riksdagen bör avslå regeringens förslag till ändri</w:t>
      </w:r>
      <w:r w:rsidR="00497F2B" w:rsidRPr="001F45BD">
        <w:t>n</w:t>
      </w:r>
      <w:r w:rsidR="002B66DA" w:rsidRPr="001F45BD">
        <w:t>g av skollagen.</w:t>
      </w:r>
    </w:p>
    <w:p w:rsidR="00706ACB" w:rsidRPr="001F45BD" w:rsidRDefault="00596C81">
      <w:pPr>
        <w:pStyle w:val="Rubrik1"/>
        <w:shd w:val="clear" w:color="000000" w:fill="auto"/>
      </w:pPr>
      <w:r w:rsidRPr="001F45BD">
        <w:t>Förändring av g</w:t>
      </w:r>
      <w:r w:rsidR="00706ACB" w:rsidRPr="001F45BD">
        <w:t>ymnasieskolan</w:t>
      </w:r>
    </w:p>
    <w:p w:rsidR="00706ACB" w:rsidRPr="001F45BD" w:rsidRDefault="00706ACB">
      <w:pPr>
        <w:shd w:val="clear" w:color="000000" w:fill="auto"/>
      </w:pPr>
      <w:r w:rsidRPr="001F45BD">
        <w:t xml:space="preserve">Regeringen föreslår att de förändringar av gymnasieskolan som riksdagen har beslutat ska gälla fr.o.m. 1 juli 2007 ska återkallas genom en ändring av lagen (2004:871) om ändring i skollagen (1985:1100). Det gäller </w:t>
      </w:r>
      <w:r w:rsidR="00CF65C9" w:rsidRPr="001F45BD">
        <w:t xml:space="preserve">bl.a. </w:t>
      </w:r>
      <w:r w:rsidRPr="001F45BD">
        <w:t>införandet</w:t>
      </w:r>
      <w:r w:rsidR="00874661" w:rsidRPr="001F45BD">
        <w:t xml:space="preserve"> av ämnesbetyg, gymnasiearbete och </w:t>
      </w:r>
      <w:r w:rsidRPr="001F45BD">
        <w:t>historia som kärn</w:t>
      </w:r>
      <w:r w:rsidR="00874661" w:rsidRPr="001F45BD">
        <w:t>ämne.</w:t>
      </w:r>
      <w:r w:rsidRPr="001F45BD">
        <w:t xml:space="preserve"> </w:t>
      </w:r>
      <w:r w:rsidR="00596C81" w:rsidRPr="001F45BD">
        <w:t>Vi anser att detta är förändringar som skulle bidra att höja kvaliteten inom gymnasieskola</w:t>
      </w:r>
      <w:r w:rsidR="00497F2B" w:rsidRPr="001F45BD">
        <w:t>n</w:t>
      </w:r>
      <w:r w:rsidR="00596C81" w:rsidRPr="001F45BD">
        <w:t>. Rik</w:t>
      </w:r>
      <w:r w:rsidR="00596C81" w:rsidRPr="001F45BD">
        <w:t>s</w:t>
      </w:r>
      <w:r w:rsidR="00596C81" w:rsidRPr="001F45BD">
        <w:t>dagen bör därför avslå regeringens förslag.</w:t>
      </w:r>
    </w:p>
    <w:p w:rsidR="00E84F25" w:rsidRPr="001F45BD" w:rsidRDefault="00DE5FDF">
      <w:pPr>
        <w:pStyle w:val="Rubrik1"/>
        <w:shd w:val="clear" w:color="000000" w:fill="auto"/>
      </w:pPr>
      <w:r w:rsidRPr="001F45BD">
        <w:t>Nationella prov</w:t>
      </w:r>
      <w:r w:rsidR="00E2491B" w:rsidRPr="001F45BD">
        <w:t xml:space="preserve"> och inspektioner</w:t>
      </w:r>
    </w:p>
    <w:p w:rsidR="00874661" w:rsidRPr="001F45BD" w:rsidRDefault="000D7F54">
      <w:pPr>
        <w:shd w:val="clear" w:color="000000" w:fill="auto"/>
      </w:pPr>
      <w:r w:rsidRPr="001F45BD">
        <w:t xml:space="preserve">Regeringen föreslår </w:t>
      </w:r>
      <w:r w:rsidR="00DE5FDF" w:rsidRPr="001F45BD">
        <w:t xml:space="preserve">att </w:t>
      </w:r>
      <w:r w:rsidRPr="001F45BD">
        <w:t xml:space="preserve">50 000 tkr </w:t>
      </w:r>
      <w:r w:rsidR="00DE5FDF" w:rsidRPr="001F45BD">
        <w:t xml:space="preserve">överförs </w:t>
      </w:r>
      <w:r w:rsidRPr="001F45BD">
        <w:t>till Skolverket från anslag 25:3</w:t>
      </w:r>
      <w:r w:rsidR="00DE5FDF" w:rsidRPr="001F45BD">
        <w:t xml:space="preserve"> Utveckling av skolväsende, förskoleverksamhet och skolbarnsomsorg</w:t>
      </w:r>
      <w:r w:rsidRPr="001F45BD">
        <w:t xml:space="preserve"> ”avs</w:t>
      </w:r>
      <w:r w:rsidRPr="001F45BD">
        <w:t>e</w:t>
      </w:r>
      <w:r w:rsidRPr="001F45BD">
        <w:t>ende nationella prov”, som inte förklaras närmare. Alldeles oavsett vad som avses med ”avseende nationella prov” finns det ingen anledning att satsa några pengar på detta ändamål. Regeringen höjer vidare anslaget till Skolve</w:t>
      </w:r>
      <w:r w:rsidRPr="001F45BD">
        <w:t>r</w:t>
      </w:r>
      <w:r w:rsidRPr="001F45BD">
        <w:t>ket med totalt 150 000 tkr 2009 för att förstärka utbildningsinspektionen.</w:t>
      </w:r>
      <w:r w:rsidR="00D505E7" w:rsidRPr="001F45BD">
        <w:t xml:space="preserve"> Denna förändring påbörjas 2008.</w:t>
      </w:r>
    </w:p>
    <w:p w:rsidR="000D7F54" w:rsidRPr="001F45BD" w:rsidRDefault="000D7F54">
      <w:pPr>
        <w:pStyle w:val="Normaltindrag"/>
        <w:shd w:val="clear" w:color="000000" w:fill="auto"/>
      </w:pPr>
      <w:r w:rsidRPr="001F45BD">
        <w:t>Skolverkets nuvarande målsättning är att alla kommuner och skolor ska i</w:t>
      </w:r>
      <w:r w:rsidRPr="001F45BD">
        <w:t>n</w:t>
      </w:r>
      <w:r w:rsidRPr="001F45BD">
        <w:t xml:space="preserve">spekteras vart sjätte år – och nuvarande inspektionstakt ligger helt i nivå med denna målsättning. </w:t>
      </w:r>
      <w:r w:rsidR="0052606E" w:rsidRPr="001F45BD">
        <w:t>Enligt Ekonomistyrningsverket fungerar dessutom inspe</w:t>
      </w:r>
      <w:r w:rsidR="0052606E" w:rsidRPr="001F45BD">
        <w:t>k</w:t>
      </w:r>
      <w:r w:rsidR="0052606E" w:rsidRPr="001F45BD">
        <w:t xml:space="preserve">tionerna väl och uppfyller sitt syfte. </w:t>
      </w:r>
      <w:r w:rsidRPr="001F45BD">
        <w:t>Inspektionerna har positiva effekter på skolornas och kommunernas utvecklingsarbete. Det finns därför ingen anle</w:t>
      </w:r>
      <w:r w:rsidRPr="001F45BD">
        <w:t>d</w:t>
      </w:r>
      <w:r w:rsidRPr="001F45BD">
        <w:t>ning att utöka dessa inspektioner. För att nå bättre måluppfyllelse vore läm</w:t>
      </w:r>
      <w:r w:rsidRPr="001F45BD">
        <w:t>p</w:t>
      </w:r>
      <w:r w:rsidRPr="001F45BD">
        <w:t>ligare åtgärder att skärpa kraven på de fristående skolorna. Dessutom har riksdagen redan gett Skolverket fler sanktionsmöjligheter.</w:t>
      </w:r>
    </w:p>
    <w:p w:rsidR="00E2491B" w:rsidRPr="001F45BD" w:rsidRDefault="00E2491B">
      <w:pPr>
        <w:pStyle w:val="Rubrik1"/>
        <w:shd w:val="clear" w:color="000000" w:fill="auto"/>
      </w:pPr>
      <w:r w:rsidRPr="001F45BD">
        <w:t xml:space="preserve">Utredning av betyg </w:t>
      </w:r>
      <w:r w:rsidR="00D97563" w:rsidRPr="001F45BD">
        <w:t>m.m</w:t>
      </w:r>
    </w:p>
    <w:p w:rsidR="00E2491B" w:rsidRPr="001F45BD" w:rsidRDefault="00E2491B">
      <w:pPr>
        <w:shd w:val="clear" w:color="000000" w:fill="auto"/>
      </w:pPr>
      <w:r w:rsidRPr="001F45BD">
        <w:t>Det nya betygssystem som regeringen har aviserat föranleder de</w:t>
      </w:r>
      <w:r w:rsidR="00497F2B" w:rsidRPr="001F45BD">
        <w:t>n</w:t>
      </w:r>
      <w:r w:rsidRPr="001F45BD">
        <w:t xml:space="preserve"> att höja anslag 25:3 Utveckling av skolväsende, förskoleverksamhet och skolbarn</w:t>
      </w:r>
      <w:r w:rsidRPr="001F45BD">
        <w:t>s</w:t>
      </w:r>
      <w:r w:rsidRPr="001F45BD">
        <w:t>omsorg med 121</w:t>
      </w:r>
      <w:r w:rsidR="00874661" w:rsidRPr="001F45BD">
        <w:t> miljoner</w:t>
      </w:r>
      <w:r w:rsidRPr="001F45BD">
        <w:t xml:space="preserve"> </w:t>
      </w:r>
      <w:r w:rsidR="00874661" w:rsidRPr="001F45BD">
        <w:t xml:space="preserve">kr </w:t>
      </w:r>
      <w:r w:rsidRPr="001F45BD">
        <w:t>2007 för att utreda detta. Eftersom Vänsterpart</w:t>
      </w:r>
      <w:r w:rsidRPr="001F45BD">
        <w:t>i</w:t>
      </w:r>
      <w:r w:rsidRPr="001F45BD">
        <w:t xml:space="preserve">et inte ser något behov av betyg i tidigare år och i fler grader – utan föreslår i motion </w:t>
      </w:r>
      <w:r w:rsidR="00556FBB" w:rsidRPr="001F45BD">
        <w:t xml:space="preserve">För en likvärdig skola </w:t>
      </w:r>
      <w:r w:rsidR="00874661" w:rsidRPr="001F45BD">
        <w:t>(</w:t>
      </w:r>
      <w:r w:rsidR="00497F2B" w:rsidRPr="001F45BD">
        <w:t>2006/07:Ub309</w:t>
      </w:r>
      <w:r w:rsidR="00874661" w:rsidRPr="001F45BD">
        <w:t>)</w:t>
      </w:r>
      <w:r w:rsidR="00FA44FF" w:rsidRPr="001F45BD">
        <w:t xml:space="preserve"> </w:t>
      </w:r>
      <w:r w:rsidRPr="001F45BD">
        <w:t>att betygen avskaffas – finns det ej heller behov av en sådan utredning.</w:t>
      </w:r>
    </w:p>
    <w:p w:rsidR="00E2491B" w:rsidRPr="001F45BD" w:rsidRDefault="00E2491B">
      <w:pPr>
        <w:pStyle w:val="Normaltindrag"/>
        <w:shd w:val="clear" w:color="000000" w:fill="auto"/>
      </w:pPr>
      <w:r w:rsidRPr="001F45BD">
        <w:t>Lagen om förbud mot diskriminering och annan kränkande behandling av barn och elever ålägger skolan att stoppa mobbning</w:t>
      </w:r>
      <w:r w:rsidR="00497F2B" w:rsidRPr="001F45BD">
        <w:t>,</w:t>
      </w:r>
      <w:r w:rsidRPr="001F45BD">
        <w:t xml:space="preserve"> vilket förutsätter att skolan använder metoder som har effekt. Dessa metoder torde därför ha fö</w:t>
      </w:r>
      <w:r w:rsidRPr="001F45BD">
        <w:t>r</w:t>
      </w:r>
      <w:r w:rsidRPr="001F45BD">
        <w:t>ankring i vetenskap och beprövad erfarenhet. Vi förutsätter också att Skolve</w:t>
      </w:r>
      <w:r w:rsidRPr="001F45BD">
        <w:t>r</w:t>
      </w:r>
      <w:r w:rsidRPr="001F45BD">
        <w:t>ket, Myndigheten för skolutveckling och Elevombudsmannen både granskar skolornas arbete mot mobbning och bistår dem i utvecklingen av detta arbete. Vi avvisar därför förslaget i budgetpropositionen om att satsa 10 000 tk</w:t>
      </w:r>
      <w:r w:rsidR="00556FBB" w:rsidRPr="001F45BD">
        <w:t>r u</w:t>
      </w:r>
      <w:r w:rsidR="00556FBB" w:rsidRPr="001F45BD">
        <w:t>n</w:t>
      </w:r>
      <w:r w:rsidR="00556FBB" w:rsidRPr="001F45BD">
        <w:t>der anslag 25:3 för implemen</w:t>
      </w:r>
      <w:r w:rsidRPr="001F45BD">
        <w:t>tering av vissa åtgärdsprogram.</w:t>
      </w:r>
    </w:p>
    <w:p w:rsidR="00E2491B" w:rsidRPr="001F45BD" w:rsidRDefault="00E2491B">
      <w:pPr>
        <w:pStyle w:val="Normaltindrag"/>
        <w:shd w:val="clear" w:color="000000" w:fill="auto"/>
      </w:pPr>
      <w:r w:rsidRPr="001F45BD">
        <w:t>Det är bra att regeringen har insett behovet av satsningar för att motverka segregationen inom skolan och fullföljer de tidigare beslutade resursförstär</w:t>
      </w:r>
      <w:r w:rsidRPr="001F45BD">
        <w:t>k</w:t>
      </w:r>
      <w:r w:rsidRPr="001F45BD">
        <w:t>ningarna till skolor i segregerade områden. Detsamma gäller andra beslut som har fattats tidigare, bl.a. satsningar på studie- och yrkesvägledningen, gymn</w:t>
      </w:r>
      <w:r w:rsidRPr="001F45BD">
        <w:t>a</w:t>
      </w:r>
      <w:r w:rsidRPr="001F45BD">
        <w:t>sieskolans yrkesutbildningar samt ett förbättrat förebyggande arbete för att stärka ungas hälsa.</w:t>
      </w:r>
    </w:p>
    <w:p w:rsidR="00F94F8E" w:rsidRPr="001F45BD" w:rsidRDefault="00F94F8E">
      <w:pPr>
        <w:pStyle w:val="Rubrik1"/>
        <w:shd w:val="clear" w:color="000000" w:fill="auto"/>
      </w:pPr>
      <w:r w:rsidRPr="001F45BD">
        <w:t xml:space="preserve">Lärares </w:t>
      </w:r>
      <w:r w:rsidR="004C06C0" w:rsidRPr="001F45BD">
        <w:t>fortbildning och forskning</w:t>
      </w:r>
    </w:p>
    <w:p w:rsidR="00F94F8E" w:rsidRPr="001F45BD" w:rsidRDefault="00F94F8E">
      <w:pPr>
        <w:shd w:val="clear" w:color="000000" w:fill="auto"/>
      </w:pPr>
      <w:r w:rsidRPr="001F45BD">
        <w:t xml:space="preserve">Vad gäller förslaget om fortbildning och forskning för lärare är vi i princip positiva till denna ambition, men vi anser att det är universitet och högskolor som ska ha ansvar för detta och att pengarna ska fördelas till denna sektor. </w:t>
      </w:r>
      <w:r w:rsidR="00656D2D" w:rsidRPr="001F45BD">
        <w:t xml:space="preserve">Därför minskar vi anslaget med 350 miljoner kronor från 2007. </w:t>
      </w:r>
      <w:r w:rsidRPr="001F45BD">
        <w:t>Med anle</w:t>
      </w:r>
      <w:r w:rsidRPr="001F45BD">
        <w:t>d</w:t>
      </w:r>
      <w:r w:rsidRPr="001F45BD">
        <w:t>ning av propositionen Fors</w:t>
      </w:r>
      <w:r w:rsidR="00874661" w:rsidRPr="001F45BD">
        <w:t>kning för ett bättre liv (prop. </w:t>
      </w:r>
      <w:r w:rsidRPr="001F45BD">
        <w:t>2004/05:80) kommer också Utbildningsvetenskapliga kommittén vid Vetenskapsrådet att tillföras 10</w:t>
      </w:r>
      <w:r w:rsidR="00874661" w:rsidRPr="001F45BD">
        <w:t> miljoner kr</w:t>
      </w:r>
      <w:r w:rsidR="00497F2B" w:rsidRPr="001F45BD">
        <w:t>onor</w:t>
      </w:r>
      <w:r w:rsidR="00874661" w:rsidRPr="001F45BD">
        <w:t xml:space="preserve"> </w:t>
      </w:r>
      <w:r w:rsidRPr="001F45BD">
        <w:t>2008 för att ge yrkesverksamma lärare möjlighet till for</w:t>
      </w:r>
      <w:r w:rsidRPr="001F45BD">
        <w:t>s</w:t>
      </w:r>
      <w:r w:rsidRPr="001F45BD">
        <w:t>karutbildning och stärka samverkan mellan skola och högskola i forskning</w:t>
      </w:r>
      <w:r w:rsidRPr="001F45BD">
        <w:t>s</w:t>
      </w:r>
      <w:r w:rsidRPr="001F45BD">
        <w:t>frågor.</w:t>
      </w:r>
    </w:p>
    <w:p w:rsidR="00F94F8E" w:rsidRPr="001F45BD" w:rsidRDefault="00F94F8E">
      <w:pPr>
        <w:pStyle w:val="Normaltindrag"/>
        <w:shd w:val="clear" w:color="000000" w:fill="auto"/>
      </w:pPr>
      <w:r w:rsidRPr="001F45BD">
        <w:t>Vi har också andra förslag för att förstärka forskningen med anknytning till lärarutbildningen och läraryrket. Vi menar att all lärarutbildning ska ge beh</w:t>
      </w:r>
      <w:r w:rsidRPr="001F45BD">
        <w:t>ö</w:t>
      </w:r>
      <w:r w:rsidRPr="001F45BD">
        <w:t>righet till forskarutbildning och föreslår därför i en särskild motion att vissa examina inom lärarutbildningen ska förlängas för att hamna på avancerad nivå enlig Bolognamodellen och därmed ge behörighet till forskarutbildnin</w:t>
      </w:r>
      <w:r w:rsidRPr="001F45BD">
        <w:t>g</w:t>
      </w:r>
      <w:r w:rsidRPr="001F45BD">
        <w:t>en.</w:t>
      </w:r>
    </w:p>
    <w:p w:rsidR="00F94F8E" w:rsidRPr="001F45BD" w:rsidRDefault="00F94F8E">
      <w:pPr>
        <w:pStyle w:val="Normaltindrag"/>
        <w:shd w:val="clear" w:color="000000" w:fill="auto"/>
      </w:pPr>
      <w:r w:rsidRPr="001F45BD">
        <w:t>I en annan motion föreslår vi vissa skärpningar av Utbildningsvetenskapl</w:t>
      </w:r>
      <w:r w:rsidRPr="001F45BD">
        <w:t>i</w:t>
      </w:r>
      <w:r w:rsidRPr="001F45BD">
        <w:t>ga kommitténs verksamhet samt att det måste utredas hur den utbildningsv</w:t>
      </w:r>
      <w:r w:rsidRPr="001F45BD">
        <w:t>e</w:t>
      </w:r>
      <w:r w:rsidRPr="001F45BD">
        <w:t>tenskapliga forskningen ska organiseras och finansieras i framtiden – inte minst hur kommunernas och andra skolhuvudmäns delaktighet i och ansvar för denna forskning ska förstärkas.</w:t>
      </w:r>
    </w:p>
    <w:p w:rsidR="00F94F8E" w:rsidRPr="001F45BD" w:rsidRDefault="00F94F8E">
      <w:pPr>
        <w:pStyle w:val="Normaltindrag"/>
        <w:shd w:val="clear" w:color="000000" w:fill="auto"/>
      </w:pPr>
      <w:r w:rsidRPr="001F45BD">
        <w:t>Vi vill öka antalet disputerade lärare inom högskolan och säkerställa att de har möjlighet att bedriva egen forskning</w:t>
      </w:r>
      <w:r w:rsidR="00497F2B" w:rsidRPr="001F45BD">
        <w:t>,</w:t>
      </w:r>
      <w:r w:rsidRPr="001F45BD">
        <w:t xml:space="preserve"> och behoven av detta är särskilt stort inom lärarutbildningen. Tillsammans så innebär dessa åtgärder att lärarutbil</w:t>
      </w:r>
      <w:r w:rsidRPr="001F45BD">
        <w:t>d</w:t>
      </w:r>
      <w:r w:rsidRPr="001F45BD">
        <w:t>ningen får en starkare forskningsanknytning, fler lärare får möjlighet till for</w:t>
      </w:r>
      <w:r w:rsidRPr="001F45BD">
        <w:t>s</w:t>
      </w:r>
      <w:r w:rsidRPr="001F45BD">
        <w:t>karutbildning och en ökad forskning som har direkt relevans för skolan.</w:t>
      </w:r>
    </w:p>
    <w:p w:rsidR="004C06C0" w:rsidRPr="001F45BD" w:rsidRDefault="004C06C0">
      <w:pPr>
        <w:pStyle w:val="Normaltindrag"/>
        <w:shd w:val="clear" w:color="000000" w:fill="auto"/>
      </w:pPr>
      <w:r w:rsidRPr="001F45BD">
        <w:t>Vi har samma inställning till regeringens förslag att 60 000 tkr ska gå till fortbildning av obehöriga lärare. Det är en bra ambition, men vi anser att högskolan ska ha ansvar för lärarutbildning.</w:t>
      </w:r>
      <w:r w:rsidR="005B37C2" w:rsidRPr="001F45BD">
        <w:t xml:space="preserve"> Totalt minskar vi därför utgifte</w:t>
      </w:r>
      <w:r w:rsidR="005B37C2" w:rsidRPr="001F45BD">
        <w:t>r</w:t>
      </w:r>
      <w:r w:rsidR="005B37C2" w:rsidRPr="001F45BD">
        <w:t>na under anslag 25:3 Utveckling av skolväsende, förskoleverksamhet och skolbarnsomsorg med 491 000 tkr år 2007.</w:t>
      </w:r>
    </w:p>
    <w:p w:rsidR="00E2491B" w:rsidRPr="001F45BD" w:rsidRDefault="00E2491B">
      <w:pPr>
        <w:pStyle w:val="Rubrik1"/>
        <w:shd w:val="clear" w:color="000000" w:fill="auto"/>
      </w:pPr>
      <w:r w:rsidRPr="001F45BD">
        <w:t>Mer personal i förskolan och grundskolan</w:t>
      </w:r>
    </w:p>
    <w:p w:rsidR="00E2491B" w:rsidRPr="001F45BD" w:rsidRDefault="00E2491B">
      <w:pPr>
        <w:shd w:val="clear" w:color="000000" w:fill="auto"/>
      </w:pPr>
      <w:r w:rsidRPr="001F45BD">
        <w:t>För att skapa en likvärdig skola och</w:t>
      </w:r>
      <w:r w:rsidR="00874661" w:rsidRPr="001F45BD">
        <w:t xml:space="preserve"> ge alla barn och ungdomar </w:t>
      </w:r>
      <w:r w:rsidRPr="001F45BD">
        <w:t>kunskaper och en bra utbildning gör vi en satsning på att anställa fler i förskolan och grun</w:t>
      </w:r>
      <w:r w:rsidRPr="001F45BD">
        <w:t>d</w:t>
      </w:r>
      <w:r w:rsidRPr="001F45BD">
        <w:t>skolan och ökar därför stat</w:t>
      </w:r>
      <w:r w:rsidR="00CF65C9" w:rsidRPr="001F45BD">
        <w:t>s</w:t>
      </w:r>
      <w:r w:rsidRPr="001F45BD">
        <w:t>bidraget till komm</w:t>
      </w:r>
      <w:r w:rsidR="00CF65C9" w:rsidRPr="001F45BD">
        <w:t xml:space="preserve">unerna i enlighet med </w:t>
      </w:r>
      <w:r w:rsidR="00FD71E9" w:rsidRPr="001F45BD">
        <w:t>vår bu</w:t>
      </w:r>
      <w:r w:rsidR="00FD71E9" w:rsidRPr="001F45BD">
        <w:t>d</w:t>
      </w:r>
      <w:r w:rsidR="00FD71E9" w:rsidRPr="001F45BD">
        <w:t>get</w:t>
      </w:r>
      <w:r w:rsidR="00CF65C9" w:rsidRPr="001F45BD">
        <w:t>motion</w:t>
      </w:r>
      <w:r w:rsidR="00FD71E9" w:rsidRPr="001F45BD">
        <w:t xml:space="preserve"> </w:t>
      </w:r>
      <w:r w:rsidR="00874661" w:rsidRPr="001F45BD">
        <w:t>(</w:t>
      </w:r>
      <w:r w:rsidR="00497F2B" w:rsidRPr="001F45BD">
        <w:t>2006/07:Fi245</w:t>
      </w:r>
      <w:r w:rsidR="00874661" w:rsidRPr="001F45BD">
        <w:t>)</w:t>
      </w:r>
      <w:r w:rsidRPr="001F45BD">
        <w:t>.</w:t>
      </w:r>
    </w:p>
    <w:p w:rsidR="00E2491B" w:rsidRPr="001F45BD" w:rsidRDefault="00E2491B">
      <w:pPr>
        <w:pStyle w:val="Rubrik1"/>
        <w:shd w:val="clear" w:color="000000" w:fill="auto"/>
      </w:pPr>
      <w:r w:rsidRPr="001F45BD">
        <w:t>Frukost i grundskolan</w:t>
      </w:r>
    </w:p>
    <w:p w:rsidR="00E2491B" w:rsidRPr="001F45BD" w:rsidRDefault="00874661">
      <w:pPr>
        <w:shd w:val="clear" w:color="000000" w:fill="auto"/>
      </w:pPr>
      <w:r w:rsidRPr="001F45BD">
        <w:t>I motion För en likvärdig skola (</w:t>
      </w:r>
      <w:r w:rsidR="00497F2B" w:rsidRPr="001F45BD">
        <w:t>2006/07:Ub309</w:t>
      </w:r>
      <w:r w:rsidRPr="001F45BD">
        <w:t xml:space="preserve">) </w:t>
      </w:r>
      <w:r w:rsidR="00E2491B" w:rsidRPr="001F45BD">
        <w:t>föreslår vi att alla grundsk</w:t>
      </w:r>
      <w:r w:rsidR="00E2491B" w:rsidRPr="001F45BD">
        <w:t>o</w:t>
      </w:r>
      <w:r w:rsidR="00E2491B" w:rsidRPr="001F45BD">
        <w:t>lor blir skyldiga att servera frukost fr.o.m. 2008 och ökar därför också statens bidrag till kommunerna med 814 000 tkr årligen. Detta tas upp i motion</w:t>
      </w:r>
      <w:r w:rsidR="00CF65C9" w:rsidRPr="001F45BD">
        <w:t xml:space="preserve"> U</w:t>
      </w:r>
      <w:r w:rsidR="00CF65C9" w:rsidRPr="001F45BD">
        <w:t>t</w:t>
      </w:r>
      <w:r w:rsidR="00CF65C9" w:rsidRPr="001F45BD">
        <w:t>giftsområde 25</w:t>
      </w:r>
      <w:r w:rsidR="00497F2B" w:rsidRPr="001F45BD">
        <w:t xml:space="preserve"> (2006/07:Fi258</w:t>
      </w:r>
      <w:r w:rsidRPr="001F45BD">
        <w:t>)</w:t>
      </w:r>
      <w:r w:rsidR="00CF65C9" w:rsidRPr="001F45BD">
        <w:t>.</w:t>
      </w:r>
    </w:p>
    <w:p w:rsidR="00E2491B" w:rsidRPr="001F45BD" w:rsidRDefault="00E2491B">
      <w:pPr>
        <w:pStyle w:val="Rubrik1"/>
        <w:shd w:val="clear" w:color="000000" w:fill="auto"/>
      </w:pPr>
      <w:r w:rsidRPr="001F45BD">
        <w:t>Feministiskt självförsvar</w:t>
      </w:r>
    </w:p>
    <w:p w:rsidR="00E2491B" w:rsidRPr="001F45BD" w:rsidRDefault="00E2491B">
      <w:pPr>
        <w:shd w:val="clear" w:color="000000" w:fill="auto"/>
      </w:pPr>
      <w:r w:rsidRPr="001F45BD">
        <w:t>De medel som avsattes 2002 för att stärka flickors självförtroende gick i mycket liten utsträckning till projekt som innefattade feministiskt självförsvar trots att det var ett av huvudsyftena. Vi avsätter därför totalt 5 000 tkr för att stärka arbetet med feministiskt självför</w:t>
      </w:r>
      <w:r w:rsidR="00CF65C9" w:rsidRPr="001F45BD">
        <w:t>svar ute på skolorna</w:t>
      </w:r>
      <w:r w:rsidR="00497F2B" w:rsidRPr="001F45BD">
        <w:t>,</w:t>
      </w:r>
      <w:r w:rsidR="00CF65C9" w:rsidRPr="001F45BD">
        <w:t xml:space="preserve"> varav 1 670</w:t>
      </w:r>
      <w:r w:rsidRPr="001F45BD">
        <w:t xml:space="preserve"> tkr 2007.</w:t>
      </w:r>
    </w:p>
    <w:p w:rsidR="00E2491B" w:rsidRPr="001F45BD" w:rsidRDefault="00E2491B">
      <w:pPr>
        <w:pStyle w:val="Rubrik1"/>
        <w:shd w:val="clear" w:color="000000" w:fill="auto"/>
      </w:pPr>
      <w:r w:rsidRPr="001F45BD">
        <w:t>Vuxenutbildning</w:t>
      </w:r>
    </w:p>
    <w:p w:rsidR="00E2491B" w:rsidRPr="001F45BD" w:rsidRDefault="00E2491B">
      <w:pPr>
        <w:shd w:val="clear" w:color="000000" w:fill="auto"/>
      </w:pPr>
      <w:r w:rsidRPr="001F45BD">
        <w:t>Vuxenutbildningen har hittills haft en självklar ställning i utbildningssyst</w:t>
      </w:r>
      <w:r w:rsidRPr="001F45BD">
        <w:t>e</w:t>
      </w:r>
      <w:r w:rsidRPr="001F45BD">
        <w:t>met. För att ge alla människor möjlighet till de grundläggande kunskaper som behövs för arbets- och samhällsliv samt för fortsatta studier är det därför av vikt att alla har tillgång till utbildning oavsett ålder. Regeringens förslag att minska det statliga bidraget till den kommunala vuxenutbildningen med 600 000 tkr är ett stort steg bort från principen om allas rätt till utbildning och vi tillbakavisar därför detta förslag. Vi anser också att det, enligt tidigare riksdagsbeslut, ska fortsätta</w:t>
      </w:r>
      <w:r w:rsidR="00497F2B" w:rsidRPr="001F45BD">
        <w:t xml:space="preserve"> att</w:t>
      </w:r>
      <w:r w:rsidRPr="001F45BD">
        <w:t xml:space="preserve"> vara ett riktat statsbidrag t.o.m. 2008 för att ge möjlighet att utreda frågan om den framtida vuxenutbildningen.</w:t>
      </w:r>
      <w:r w:rsidR="00556FBB" w:rsidRPr="001F45BD">
        <w:t xml:space="preserve"> Därför </w:t>
      </w:r>
      <w:r w:rsidR="00FD71E9" w:rsidRPr="001F45BD">
        <w:t xml:space="preserve">för </w:t>
      </w:r>
      <w:r w:rsidR="00556FBB" w:rsidRPr="001F45BD">
        <w:t xml:space="preserve">vi </w:t>
      </w:r>
      <w:r w:rsidR="00FD71E9" w:rsidRPr="001F45BD">
        <w:t xml:space="preserve">över </w:t>
      </w:r>
      <w:r w:rsidR="00556FBB" w:rsidRPr="001F45BD">
        <w:t>medel från utgiftsområde 25 till utgiftsområde 16</w:t>
      </w:r>
      <w:r w:rsidR="00497F2B" w:rsidRPr="001F45BD">
        <w:t>,</w:t>
      </w:r>
      <w:r w:rsidR="00556FBB" w:rsidRPr="001F45BD">
        <w:t xml:space="preserve"> vilket även framgår av motion Utgiftsområde 25</w:t>
      </w:r>
      <w:r w:rsidR="00874661" w:rsidRPr="001F45BD">
        <w:t xml:space="preserve"> (</w:t>
      </w:r>
      <w:r w:rsidR="00497F2B" w:rsidRPr="001F45BD">
        <w:t>2006/07:Fi258</w:t>
      </w:r>
      <w:r w:rsidR="00874661" w:rsidRPr="001F45BD">
        <w:t>)</w:t>
      </w:r>
      <w:r w:rsidR="00556FBB" w:rsidRPr="001F45BD">
        <w:t>.</w:t>
      </w:r>
    </w:p>
    <w:p w:rsidR="00E2491B" w:rsidRPr="001F45BD" w:rsidRDefault="00E2491B">
      <w:pPr>
        <w:pStyle w:val="Normaltindrag"/>
        <w:shd w:val="clear" w:color="000000" w:fill="auto"/>
      </w:pPr>
      <w:r w:rsidRPr="001F45BD">
        <w:t>I samband med Kunskapslyftet inrättades ett bidrag till vissa organisati</w:t>
      </w:r>
      <w:r w:rsidRPr="001F45BD">
        <w:t>o</w:t>
      </w:r>
      <w:r w:rsidRPr="001F45BD">
        <w:t xml:space="preserve">ner för uppsökande verksamhet för att de skulle kunna bedriva vägledning, rekrytering och kortare utbildningar. Bland de organisationer som får bidrag finns </w:t>
      </w:r>
      <w:r w:rsidR="00874661" w:rsidRPr="001F45BD">
        <w:t>bl.a.</w:t>
      </w:r>
      <w:r w:rsidRPr="001F45BD">
        <w:t xml:space="preserve"> LO, TCO, SACO och Handikappförbundens Riksförbund. Dessa organisationer har en bred förankring i samhället och kan nå människor som </w:t>
      </w:r>
      <w:r w:rsidRPr="001F45BD">
        <w:rPr>
          <w:spacing w:val="-2"/>
        </w:rPr>
        <w:t>annars inte skulle utbilda sig.</w:t>
      </w:r>
      <w:r w:rsidR="00CF65C9" w:rsidRPr="001F45BD">
        <w:rPr>
          <w:spacing w:val="-2"/>
        </w:rPr>
        <w:t xml:space="preserve"> </w:t>
      </w:r>
      <w:r w:rsidRPr="001F45BD">
        <w:rPr>
          <w:spacing w:val="-2"/>
        </w:rPr>
        <w:t xml:space="preserve">Vi föreslår, till skillnad från regeringen, att detta bidrag ska fortsätta att finnas som ett särskilt anslag under utgiftsområde </w:t>
      </w:r>
      <w:r w:rsidRPr="001F45BD">
        <w:t>16.</w:t>
      </w:r>
    </w:p>
    <w:p w:rsidR="000D7F54" w:rsidRPr="001F45BD" w:rsidRDefault="000D7F54">
      <w:pPr>
        <w:pStyle w:val="Rubrik1"/>
        <w:shd w:val="clear" w:color="000000" w:fill="auto"/>
      </w:pPr>
      <w:r w:rsidRPr="001F45BD">
        <w:t>Ny myndighet för vuxnas lärande</w:t>
      </w:r>
    </w:p>
    <w:p w:rsidR="00874661" w:rsidRPr="001F45BD" w:rsidRDefault="00DE5FDF">
      <w:pPr>
        <w:shd w:val="clear" w:color="000000" w:fill="auto"/>
      </w:pPr>
      <w:r w:rsidRPr="001F45BD">
        <w:t>Nationellt centrum för flexibelt lärande (anslag 25:11) bör 1 juli 2007 slås samman med Myndigheten för kvalificerad yrkesutbildning (25:13 och 25:14), Valideringsdelegationen (25:15), som upphör 2008, samt den del av Myndigheten för skolutveckling (25:2) som ansvarar för vuxenutbildningen i en myndighet för vuxnas lärande enligt förslag i betänkandet Vuxnas lärande En ny myndighet (</w:t>
      </w:r>
      <w:r w:rsidR="00874661" w:rsidRPr="001F45BD">
        <w:t>SOU </w:t>
      </w:r>
      <w:r w:rsidRPr="001F45BD">
        <w:t>2006:38). I betänkandet föreslås dessutom att den del av Skolverkets verksamhet som rör vuxenutbildningen ska överföras till den nya myndigheten.</w:t>
      </w:r>
    </w:p>
    <w:p w:rsidR="002B4B0B" w:rsidRPr="001F45BD" w:rsidRDefault="00DE5FDF">
      <w:pPr>
        <w:pStyle w:val="Normaltindrag"/>
        <w:shd w:val="clear" w:color="000000" w:fill="auto"/>
      </w:pPr>
      <w:r w:rsidRPr="001F45BD">
        <w:t>Vi anser dock, bl.a. efter att ha diskuterat med Skolverket, att Skolverket bör ha ett fortsatt helhetsansvar för utbildningsinspektion m.m. Detta är ett led i utvecklingen av den eftergymnasiala utbildningen mot en tydligare stru</w:t>
      </w:r>
      <w:r w:rsidRPr="001F45BD">
        <w:t>k</w:t>
      </w:r>
      <w:r w:rsidRPr="001F45BD">
        <w:t>tur – en fråga som vi har tagit initiativ till och drivit under den senaste mandatperioden. Det genomförs dessutom för närvarande en utredning av själva utbildningarna.</w:t>
      </w:r>
      <w:r w:rsidR="0052606E" w:rsidRPr="001F45BD">
        <w:t xml:space="preserve"> Vänsterpartiet förslår därför att </w:t>
      </w:r>
      <w:r w:rsidR="002B4B0B" w:rsidRPr="001F45BD">
        <w:t>denna nya myndighet för vuxnas lärande påbörjar sin verksamhet 1 juli 2007 och att verksamheten i de ovan n</w:t>
      </w:r>
      <w:r w:rsidR="00874661" w:rsidRPr="001F45BD">
        <w:t>ämnda myndigheterna, och de där</w:t>
      </w:r>
      <w:r w:rsidR="002B4B0B" w:rsidRPr="001F45BD">
        <w:t xml:space="preserve">till hörande anslagen, förs över till den nya myndigheten fr.o.m. samma datum. </w:t>
      </w:r>
      <w:r w:rsidR="004C06C0" w:rsidRPr="001F45BD">
        <w:t xml:space="preserve">Detta bör riksdagen </w:t>
      </w:r>
      <w:r w:rsidR="00874661" w:rsidRPr="001F45BD">
        <w:t xml:space="preserve">som sin mening </w:t>
      </w:r>
      <w:r w:rsidR="004C06C0" w:rsidRPr="001F45BD">
        <w:t>ge regeringen till känna.</w:t>
      </w:r>
    </w:p>
    <w:p w:rsidR="00E2491B" w:rsidRPr="001F45BD" w:rsidRDefault="00E2491B">
      <w:pPr>
        <w:pStyle w:val="Rubrik1"/>
        <w:shd w:val="clear" w:color="000000" w:fill="auto"/>
      </w:pPr>
      <w:r w:rsidRPr="001F45BD">
        <w:t>Lärcentr</w:t>
      </w:r>
      <w:r w:rsidR="00497F2B" w:rsidRPr="001F45BD">
        <w:t>um</w:t>
      </w:r>
    </w:p>
    <w:p w:rsidR="00E2491B" w:rsidRPr="001F45BD" w:rsidRDefault="00E2491B">
      <w:pPr>
        <w:shd w:val="clear" w:color="000000" w:fill="auto"/>
      </w:pPr>
      <w:r w:rsidRPr="001F45BD">
        <w:t>För att förtydliga statens ansvar för att tillhandahålla en fungerande infr</w:t>
      </w:r>
      <w:r w:rsidRPr="001F45BD">
        <w:t>a</w:t>
      </w:r>
      <w:r w:rsidRPr="001F45BD">
        <w:t xml:space="preserve">struktur för studie på distans föreslår vi i motion </w:t>
      </w:r>
      <w:r w:rsidR="00497F2B" w:rsidRPr="001F45BD">
        <w:t>Finansiering av k</w:t>
      </w:r>
      <w:r w:rsidR="00556FBB" w:rsidRPr="001F45BD">
        <w:t>ommunala lärcentr</w:t>
      </w:r>
      <w:r w:rsidR="00497F2B" w:rsidRPr="001F45BD">
        <w:t>um</w:t>
      </w:r>
      <w:r w:rsidR="00556FBB" w:rsidRPr="001F45BD">
        <w:t xml:space="preserve"> </w:t>
      </w:r>
      <w:r w:rsidR="00874661" w:rsidRPr="001F45BD">
        <w:t>(</w:t>
      </w:r>
      <w:r w:rsidR="00497F2B" w:rsidRPr="001F45BD">
        <w:t>2006/07:Ub265</w:t>
      </w:r>
      <w:r w:rsidR="00874661" w:rsidRPr="001F45BD">
        <w:t xml:space="preserve">) </w:t>
      </w:r>
      <w:r w:rsidRPr="001F45BD">
        <w:t>att staten övertar ansvaret för finansieringen av kommunala lärcentr</w:t>
      </w:r>
      <w:r w:rsidR="00497F2B" w:rsidRPr="001F45BD">
        <w:t xml:space="preserve">um, </w:t>
      </w:r>
      <w:r w:rsidRPr="001F45BD">
        <w:t>vilket beräknas medföra ökade kostnader med 300 000 tkr årligen fr.o.m. 2007.</w:t>
      </w:r>
    </w:p>
    <w:p w:rsidR="00E2491B" w:rsidRPr="001F45BD" w:rsidRDefault="00E2491B">
      <w:pPr>
        <w:pStyle w:val="Rubrik1"/>
        <w:shd w:val="clear" w:color="000000" w:fill="auto"/>
      </w:pPr>
      <w:r w:rsidRPr="001F45BD">
        <w:t>Fler högskoleplatser</w:t>
      </w:r>
    </w:p>
    <w:p w:rsidR="00E2491B" w:rsidRPr="001F45BD" w:rsidRDefault="00E2491B">
      <w:pPr>
        <w:shd w:val="clear" w:color="000000" w:fill="auto"/>
      </w:pPr>
      <w:r w:rsidRPr="001F45BD">
        <w:t>Regeringen föreslår att den ökning av antalet högskoleplatser 2007, som b</w:t>
      </w:r>
      <w:r w:rsidRPr="001F45BD">
        <w:t>e</w:t>
      </w:r>
      <w:r w:rsidRPr="001F45BD">
        <w:t>slutades i bu</w:t>
      </w:r>
      <w:r w:rsidR="00FA44FF" w:rsidRPr="001F45BD">
        <w:t>dgetpropositionen för 2006 ska</w:t>
      </w:r>
      <w:r w:rsidRPr="001F45BD">
        <w:t xml:space="preserve"> dras in (förutom de nya platserna på läkar- och tandläkarutbildningen) och </w:t>
      </w:r>
      <w:r w:rsidR="00D2233A" w:rsidRPr="001F45BD">
        <w:t>omfördelar</w:t>
      </w:r>
      <w:r w:rsidRPr="001F45BD">
        <w:t xml:space="preserve"> 120 000 tkr </w:t>
      </w:r>
      <w:r w:rsidR="00D2233A" w:rsidRPr="001F45BD">
        <w:t>inom</w:t>
      </w:r>
      <w:r w:rsidRPr="001F45BD">
        <w:t xml:space="preserve"> anslag 25:70 Särskilda utgifter inom universitet och högskolor m.m. </w:t>
      </w:r>
      <w:r w:rsidR="00415604" w:rsidRPr="001F45BD">
        <w:t>Vi anser att dessa platser behövs vid högskolan</w:t>
      </w:r>
      <w:r w:rsidR="00497F2B" w:rsidRPr="001F45BD">
        <w:t xml:space="preserve">, </w:t>
      </w:r>
      <w:r w:rsidR="00415604" w:rsidRPr="001F45BD">
        <w:t>inte minst med anl</w:t>
      </w:r>
      <w:r w:rsidR="006625A6" w:rsidRPr="001F45BD">
        <w:t xml:space="preserve">edning av vårt förslag i motionen </w:t>
      </w:r>
      <w:r w:rsidR="00415604" w:rsidRPr="001F45BD">
        <w:t>om förlängning av vissa examina vid lärarutbildningen</w:t>
      </w:r>
      <w:r w:rsidR="006625A6" w:rsidRPr="001F45BD">
        <w:t xml:space="preserve"> (</w:t>
      </w:r>
      <w:r w:rsidR="00497F2B" w:rsidRPr="001F45BD">
        <w:t>2006/07:Ub264</w:t>
      </w:r>
      <w:r w:rsidR="006625A6" w:rsidRPr="001F45BD">
        <w:t>)</w:t>
      </w:r>
      <w:r w:rsidR="00415604" w:rsidRPr="001F45BD">
        <w:t>. Vi föreslår att pengarna kvarstår under anslag 25:70 för att senare fördelas på respektive högskolas anslag.</w:t>
      </w:r>
      <w:r w:rsidR="00C1649D" w:rsidRPr="001F45BD">
        <w:t xml:space="preserve"> Detta bör riksdagen som sin mening ge regeringen till</w:t>
      </w:r>
      <w:r w:rsidR="00497F2B" w:rsidRPr="001F45BD">
        <w:t xml:space="preserve"> </w:t>
      </w:r>
      <w:r w:rsidR="00C1649D" w:rsidRPr="001F45BD">
        <w:t>känna.</w:t>
      </w:r>
    </w:p>
    <w:p w:rsidR="00F94F8E" w:rsidRPr="001F45BD" w:rsidRDefault="00E2491B">
      <w:pPr>
        <w:pStyle w:val="Normaltindrag"/>
        <w:shd w:val="clear" w:color="000000" w:fill="auto"/>
      </w:pPr>
      <w:r w:rsidRPr="001F45BD">
        <w:t>Samtidigt föreslår vi en ökning av detta anslag för att förstärka kvaliteten vid högskolan genom att förstärka forskningsanknytningen vid grundutbil</w:t>
      </w:r>
      <w:r w:rsidRPr="001F45BD">
        <w:t>d</w:t>
      </w:r>
      <w:r w:rsidRPr="001F45BD">
        <w:t>ningen. För att uppnå detta anser vi att fler lärare vid högskolan måste få möjlighet att bedriva egen forskning, för att kunna förmedla ett vetenskapligt förhållningssätt och de senaste forskningsresultaten till studenterna. Därför föreslår vi ökade anslag till grundutbildningen för att anställa fler lektorer. Vår ambition är att alla högskolelektorer ska</w:t>
      </w:r>
      <w:r w:rsidR="00F94F8E" w:rsidRPr="001F45BD">
        <w:t xml:space="preserve"> ges möjlighet, inom ramen för sin anställning,</w:t>
      </w:r>
      <w:r w:rsidRPr="001F45BD">
        <w:t xml:space="preserve"> till egen forskning med 25 %</w:t>
      </w:r>
      <w:r w:rsidR="00F94F8E" w:rsidRPr="001F45BD">
        <w:t xml:space="preserve"> vid mandatperiodens slut. Sat</w:t>
      </w:r>
      <w:r w:rsidR="00F94F8E" w:rsidRPr="001F45BD">
        <w:t>s</w:t>
      </w:r>
      <w:r w:rsidR="00F94F8E" w:rsidRPr="001F45BD">
        <w:t>ningen inleds 2007 med en anslagsökning på 33</w:t>
      </w:r>
      <w:r w:rsidR="001F5ECC" w:rsidRPr="001F45BD">
        <w:t>2 5</w:t>
      </w:r>
      <w:r w:rsidR="00F94F8E" w:rsidRPr="001F45BD">
        <w:t>00 tkr</w:t>
      </w:r>
      <w:r w:rsidR="00497F2B" w:rsidRPr="001F45BD">
        <w:t>,</w:t>
      </w:r>
      <w:r w:rsidR="00F94F8E" w:rsidRPr="001F45BD">
        <w:t xml:space="preserve"> vilket ökar till</w:t>
      </w:r>
      <w:r w:rsidRPr="001F45BD">
        <w:t xml:space="preserve"> 1</w:t>
      </w:r>
      <w:r w:rsidR="00F94F8E" w:rsidRPr="001F45BD">
        <w:t> </w:t>
      </w:r>
      <w:r w:rsidRPr="001F45BD">
        <w:t>33</w:t>
      </w:r>
      <w:r w:rsidR="00F94F8E" w:rsidRPr="001F45BD">
        <w:t>0 000 tkr</w:t>
      </w:r>
      <w:r w:rsidRPr="001F45BD">
        <w:t>/år när målet har nåtts vid mandatperiodens slut 2010. Dessa pengar ska fördelas på universitet och högskolor men redovisas nu under anslag 25:70 Särskilda utgifter inom universitet och högskolor m.m</w:t>
      </w:r>
      <w:r w:rsidR="00F94F8E" w:rsidRPr="001F45BD">
        <w:t>.</w:t>
      </w:r>
    </w:p>
    <w:p w:rsidR="006625A6" w:rsidRPr="001F45BD" w:rsidRDefault="00F94F8E">
      <w:pPr>
        <w:pStyle w:val="Normaltindrag"/>
        <w:shd w:val="clear" w:color="000000" w:fill="auto"/>
      </w:pPr>
      <w:r w:rsidRPr="001F45BD">
        <w:t xml:space="preserve">Det ställer givetvis också krav på ökade forskningsanslag. </w:t>
      </w:r>
      <w:r w:rsidR="00E2491B" w:rsidRPr="001F45BD">
        <w:t xml:space="preserve">Vi ställer oss </w:t>
      </w:r>
      <w:r w:rsidRPr="001F45BD">
        <w:t>därför</w:t>
      </w:r>
      <w:r w:rsidR="00E2491B" w:rsidRPr="001F45BD">
        <w:t xml:space="preserve"> bakom regeringens förslag till höjning av de fasta forskningsanslagen</w:t>
      </w:r>
      <w:r w:rsidR="00497F2B" w:rsidRPr="001F45BD">
        <w:t xml:space="preserve">, </w:t>
      </w:r>
      <w:r w:rsidR="00E2491B" w:rsidRPr="001F45BD">
        <w:t>vilket behövs för att finansiera den f</w:t>
      </w:r>
      <w:r w:rsidR="006625A6" w:rsidRPr="001F45BD">
        <w:t>orskning som ska bedrivas på 25 </w:t>
      </w:r>
      <w:r w:rsidR="00E2491B" w:rsidRPr="001F45BD">
        <w:t>%. Detta förslag innebär samtidigt att andelen disputerade lärare vid högskolan ökar med dry</w:t>
      </w:r>
      <w:r w:rsidR="006625A6" w:rsidRPr="001F45BD">
        <w:t xml:space="preserve">gt 2,5 procentenheter till 56,7 </w:t>
      </w:r>
      <w:r w:rsidR="00E2491B" w:rsidRPr="001F45BD">
        <w:t>%. Vi anser att det behövs ännu fler disputerade lärare och där en rimlig målsättning bör vara att alla hög</w:t>
      </w:r>
      <w:r w:rsidR="006625A6" w:rsidRPr="001F45BD">
        <w:t>skolor har en andel av minst 50 </w:t>
      </w:r>
      <w:r w:rsidR="00E2491B" w:rsidRPr="001F45BD">
        <w:t>% disputerade lärare och att genomsnittet för samtl</w:t>
      </w:r>
      <w:r w:rsidR="00E2491B" w:rsidRPr="001F45BD">
        <w:t>i</w:t>
      </w:r>
      <w:r w:rsidR="00E2491B" w:rsidRPr="001F45BD">
        <w:t>ga högskolor ska vara minst 60</w:t>
      </w:r>
      <w:r w:rsidR="006625A6" w:rsidRPr="001F45BD">
        <w:t> </w:t>
      </w:r>
      <w:r w:rsidR="00E2491B" w:rsidRPr="001F45BD">
        <w:t>%.</w:t>
      </w:r>
    </w:p>
    <w:p w:rsidR="00F5223D" w:rsidRPr="001F45BD" w:rsidRDefault="00E2491B">
      <w:pPr>
        <w:pStyle w:val="Normaltindrag"/>
        <w:shd w:val="clear" w:color="000000" w:fill="auto"/>
      </w:pPr>
      <w:r w:rsidRPr="001F45BD">
        <w:t>Därför föreslår vi att lärosätenas resurser till forskning och forskarutbil</w:t>
      </w:r>
      <w:r w:rsidRPr="001F45BD">
        <w:t>d</w:t>
      </w:r>
      <w:r w:rsidRPr="001F45BD">
        <w:t>ning ökar ytterligare med 200</w:t>
      </w:r>
      <w:r w:rsidR="00F94F8E" w:rsidRPr="001F45BD">
        <w:t> 000 tkr</w:t>
      </w:r>
      <w:r w:rsidRPr="001F45BD">
        <w:t xml:space="preserve"> </w:t>
      </w:r>
      <w:r w:rsidR="006625A6" w:rsidRPr="001F45BD">
        <w:t xml:space="preserve">år </w:t>
      </w:r>
      <w:r w:rsidRPr="001F45BD">
        <w:t>2007, 300</w:t>
      </w:r>
      <w:r w:rsidR="00F94F8E" w:rsidRPr="001F45BD">
        <w:t> 000 tkr</w:t>
      </w:r>
      <w:r w:rsidRPr="001F45BD">
        <w:t xml:space="preserve"> 2008 och 400</w:t>
      </w:r>
      <w:r w:rsidR="00F94F8E" w:rsidRPr="001F45BD">
        <w:t> 000 tkr</w:t>
      </w:r>
      <w:r w:rsidRPr="001F45BD">
        <w:t xml:space="preserve"> 2009. Vid fördelning av dessa medel bör tas särskild hänsyn till att fors</w:t>
      </w:r>
      <w:r w:rsidRPr="001F45BD">
        <w:t>k</w:t>
      </w:r>
      <w:r w:rsidRPr="001F45BD">
        <w:t>ningsanknytningen vid lärarutbildningen behöver förstärkas</w:t>
      </w:r>
      <w:r w:rsidR="00F94F8E" w:rsidRPr="001F45BD">
        <w:t xml:space="preserve"> med fler disput</w:t>
      </w:r>
      <w:r w:rsidR="00F94F8E" w:rsidRPr="001F45BD">
        <w:t>e</w:t>
      </w:r>
      <w:r w:rsidR="00F94F8E" w:rsidRPr="001F45BD">
        <w:t>rade lärare och mer resurser till forskning</w:t>
      </w:r>
      <w:r w:rsidRPr="001F45BD">
        <w:t>.</w:t>
      </w:r>
      <w:r w:rsidR="00F94F8E" w:rsidRPr="001F45BD">
        <w:t xml:space="preserve"> Sammantaget innebär våra förslag </w:t>
      </w:r>
      <w:r w:rsidR="003052F0" w:rsidRPr="001F45BD">
        <w:t>53</w:t>
      </w:r>
      <w:r w:rsidR="00F94F8E" w:rsidRPr="001F45BD">
        <w:t xml:space="preserve">2 500 tkr i ökade utgifter </w:t>
      </w:r>
      <w:r w:rsidR="00556FBB" w:rsidRPr="001F45BD">
        <w:t xml:space="preserve">år 2007 </w:t>
      </w:r>
      <w:r w:rsidR="00F94F8E" w:rsidRPr="001F45BD">
        <w:t>i förhållande till regeringens förslag u</w:t>
      </w:r>
      <w:r w:rsidR="00F94F8E" w:rsidRPr="001F45BD">
        <w:t>n</w:t>
      </w:r>
      <w:r w:rsidR="00F94F8E" w:rsidRPr="001F45BD">
        <w:t>der anslag 25:70.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5BD">
        <w:trPr>
          <w:cantSplit/>
        </w:trPr>
        <w:tc>
          <w:tcPr>
            <w:tcW w:w="3046" w:type="dxa"/>
          </w:tcPr>
          <w:p w:rsidR="00D71042" w:rsidRPr="001F45BD" w:rsidRDefault="00D71042">
            <w:pPr>
              <w:pStyle w:val="UnderskriftDatum"/>
              <w:shd w:val="clear" w:color="000000" w:fill="auto"/>
              <w:spacing w:before="240"/>
            </w:pPr>
            <w:r w:rsidRPr="001F45BD">
              <w:t>Stockholm den 26 oktober 2006</w:t>
            </w:r>
          </w:p>
        </w:tc>
        <w:tc>
          <w:tcPr>
            <w:tcW w:w="3047" w:type="dxa"/>
          </w:tcPr>
          <w:p w:rsidR="00D71042" w:rsidRPr="001F45BD" w:rsidRDefault="00D71042">
            <w:pPr>
              <w:pStyle w:val="Underskrifter"/>
              <w:shd w:val="clear" w:color="000000" w:fill="auto"/>
              <w:spacing w:before="240"/>
            </w:pPr>
          </w:p>
        </w:tc>
      </w:tr>
      <w:tr w:rsidR="00000000" w:rsidRPr="001F45BD">
        <w:trPr>
          <w:cantSplit/>
        </w:trPr>
        <w:tc>
          <w:tcPr>
            <w:tcW w:w="3046" w:type="dxa"/>
          </w:tcPr>
          <w:p w:rsidR="00D71042" w:rsidRPr="001F45BD" w:rsidRDefault="00D71042">
            <w:pPr>
              <w:pStyle w:val="Underskrifter"/>
              <w:shd w:val="clear" w:color="000000" w:fill="auto"/>
            </w:pPr>
            <w:r w:rsidRPr="001F45BD">
              <w:t>Lars Ohly (v)</w:t>
            </w:r>
          </w:p>
        </w:tc>
        <w:tc>
          <w:tcPr>
            <w:tcW w:w="3046" w:type="dxa"/>
          </w:tcPr>
          <w:p w:rsidR="00D71042" w:rsidRPr="001F45BD" w:rsidRDefault="00D71042">
            <w:pPr>
              <w:pStyle w:val="Underskrifter"/>
              <w:shd w:val="clear" w:color="000000" w:fill="auto"/>
            </w:pPr>
          </w:p>
        </w:tc>
      </w:tr>
      <w:tr w:rsidR="00000000" w:rsidRPr="001F45BD">
        <w:trPr>
          <w:cantSplit/>
        </w:trPr>
        <w:tc>
          <w:tcPr>
            <w:tcW w:w="3046" w:type="dxa"/>
          </w:tcPr>
          <w:p w:rsidR="00D71042" w:rsidRPr="001F45BD" w:rsidRDefault="00D71042">
            <w:pPr>
              <w:pStyle w:val="Underskrifter"/>
              <w:shd w:val="clear" w:color="000000" w:fill="auto"/>
            </w:pPr>
            <w:r w:rsidRPr="001F45BD">
              <w:t>Marie Engström (v)</w:t>
            </w:r>
          </w:p>
        </w:tc>
        <w:tc>
          <w:tcPr>
            <w:tcW w:w="3046" w:type="dxa"/>
          </w:tcPr>
          <w:p w:rsidR="00D71042" w:rsidRPr="001F45BD" w:rsidRDefault="00D71042">
            <w:pPr>
              <w:pStyle w:val="Underskrifter"/>
              <w:shd w:val="clear" w:color="000000" w:fill="auto"/>
            </w:pPr>
            <w:r w:rsidRPr="001F45BD">
              <w:t>Wiwi-Anne Johansson (v)</w:t>
            </w:r>
          </w:p>
        </w:tc>
      </w:tr>
      <w:tr w:rsidR="00000000" w:rsidRPr="001F45BD">
        <w:trPr>
          <w:cantSplit/>
        </w:trPr>
        <w:tc>
          <w:tcPr>
            <w:tcW w:w="3046" w:type="dxa"/>
          </w:tcPr>
          <w:p w:rsidR="00D71042" w:rsidRPr="001F45BD" w:rsidRDefault="00D71042">
            <w:pPr>
              <w:pStyle w:val="Underskrifter"/>
              <w:shd w:val="clear" w:color="000000" w:fill="auto"/>
            </w:pPr>
            <w:r w:rsidRPr="001F45BD">
              <w:t>Elina Linna (v)</w:t>
            </w:r>
          </w:p>
        </w:tc>
        <w:tc>
          <w:tcPr>
            <w:tcW w:w="3046" w:type="dxa"/>
          </w:tcPr>
          <w:p w:rsidR="00D71042" w:rsidRPr="001F45BD" w:rsidRDefault="00D71042">
            <w:pPr>
              <w:pStyle w:val="Underskrifter"/>
              <w:shd w:val="clear" w:color="000000" w:fill="auto"/>
            </w:pPr>
            <w:r w:rsidRPr="001F45BD">
              <w:t>Peter Pedersen (v)</w:t>
            </w:r>
          </w:p>
        </w:tc>
      </w:tr>
      <w:tr w:rsidR="00000000" w:rsidRPr="001F45BD">
        <w:trPr>
          <w:cantSplit/>
        </w:trPr>
        <w:tc>
          <w:tcPr>
            <w:tcW w:w="3046" w:type="dxa"/>
          </w:tcPr>
          <w:p w:rsidR="00D71042" w:rsidRPr="001F45BD" w:rsidRDefault="00D71042">
            <w:pPr>
              <w:pStyle w:val="Underskrifter"/>
              <w:shd w:val="clear" w:color="000000" w:fill="auto"/>
            </w:pPr>
            <w:r w:rsidRPr="001F45BD">
              <w:t>Kent Persson (v)</w:t>
            </w:r>
          </w:p>
        </w:tc>
        <w:tc>
          <w:tcPr>
            <w:tcW w:w="3046" w:type="dxa"/>
          </w:tcPr>
          <w:p w:rsidR="00D71042" w:rsidRPr="001F45BD" w:rsidRDefault="00D71042">
            <w:pPr>
              <w:pStyle w:val="Underskrifter"/>
              <w:shd w:val="clear" w:color="000000" w:fill="auto"/>
            </w:pPr>
            <w:r w:rsidRPr="001F45BD">
              <w:t>Alice Åström (v)</w:t>
            </w:r>
          </w:p>
        </w:tc>
      </w:tr>
      <w:tr w:rsidR="00000000" w:rsidRPr="001F45BD">
        <w:trPr>
          <w:cantSplit/>
        </w:trPr>
        <w:tc>
          <w:tcPr>
            <w:tcW w:w="3046" w:type="dxa"/>
          </w:tcPr>
          <w:p w:rsidR="00D71042" w:rsidRPr="001F45BD" w:rsidRDefault="00D71042">
            <w:pPr>
              <w:pStyle w:val="Underskrifter"/>
              <w:shd w:val="clear" w:color="000000" w:fill="auto"/>
            </w:pPr>
            <w:r w:rsidRPr="001F45BD">
              <w:t>Rossana Dinamarca (v)</w:t>
            </w:r>
          </w:p>
        </w:tc>
        <w:tc>
          <w:tcPr>
            <w:tcW w:w="3046" w:type="dxa"/>
          </w:tcPr>
          <w:p w:rsidR="00D71042" w:rsidRPr="001F45BD" w:rsidRDefault="00D71042">
            <w:pPr>
              <w:pStyle w:val="Underskrifter"/>
              <w:shd w:val="clear" w:color="000000" w:fill="auto"/>
            </w:pPr>
          </w:p>
        </w:tc>
      </w:tr>
    </w:tbl>
    <w:p w:rsidR="00E2491B" w:rsidRPr="001F45BD" w:rsidRDefault="00E2491B">
      <w:pPr>
        <w:pStyle w:val="Normaltindrag"/>
        <w:shd w:val="clear" w:color="000000" w:fill="auto"/>
      </w:pPr>
    </w:p>
    <w:sectPr w:rsidR="00E2491B" w:rsidRPr="001F45BD" w:rsidSect="00B272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1042" w:rsidRPr="001F45BD" w:rsidRDefault="00D71042">
      <w:r w:rsidRPr="001F45BD">
        <w:separator/>
      </w:r>
    </w:p>
  </w:endnote>
  <w:endnote w:type="continuationSeparator" w:id="0">
    <w:p w:rsidR="00D71042" w:rsidRPr="001F45BD" w:rsidRDefault="00D71042">
      <w:r w:rsidRPr="001F4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22E" w:rsidRPr="001F45BD" w:rsidRDefault="001F45BD" w:rsidP="00B2722E">
    <w:pPr>
      <w:pStyle w:val="Sidfot"/>
    </w:pPr>
    <w:r w:rsidRPr="001F45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022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22E" w:rsidRDefault="00D71042">
                          <w:pPr>
                            <w:pStyle w:val="NormalS5sidnrV"/>
                          </w:pPr>
                          <w:r>
                            <w:fldChar w:fldCharType="begin"/>
                          </w:r>
                          <w:r w:rsidR="00B2722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22E" w:rsidRDefault="00D71042">
                    <w:pPr>
                      <w:pStyle w:val="NormalS5sidnrV"/>
                    </w:pPr>
                    <w:r>
                      <w:fldChar w:fldCharType="begin"/>
                    </w:r>
                    <w:r w:rsidR="00B2722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F2" w:rsidRPr="001F45BD" w:rsidRDefault="001F45BD" w:rsidP="00B2722E">
    <w:pPr>
      <w:pStyle w:val="Sidfot"/>
    </w:pPr>
    <w:r w:rsidRPr="001F45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990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22E" w:rsidRDefault="00D71042">
                          <w:pPr>
                            <w:pStyle w:val="NormalS5sidnrH"/>
                            <w:ind w:right="0"/>
                          </w:pPr>
                          <w:r>
                            <w:fldChar w:fldCharType="begin"/>
                          </w:r>
                          <w:r w:rsidR="00B2722E">
                            <w:instrText xml:space="preserve"> PAGE *\charformat</w:instrText>
                          </w:r>
                          <w:r>
                            <w:fldChar w:fldCharType="separate"/>
                          </w:r>
                          <w:r w:rsidR="00A9247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22E" w:rsidRDefault="00D71042">
                    <w:pPr>
                      <w:pStyle w:val="NormalS5sidnrH"/>
                      <w:ind w:right="0"/>
                    </w:pPr>
                    <w:r>
                      <w:fldChar w:fldCharType="begin"/>
                    </w:r>
                    <w:r w:rsidR="00B2722E">
                      <w:instrText xml:space="preserve"> PAGE *\charformat</w:instrText>
                    </w:r>
                    <w:r>
                      <w:fldChar w:fldCharType="separate"/>
                    </w:r>
                    <w:r w:rsidR="00A9247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F2" w:rsidRPr="001F45BD" w:rsidRDefault="001F45BD" w:rsidP="00B2722E">
    <w:pPr>
      <w:pStyle w:val="Sidfot"/>
    </w:pPr>
    <w:r w:rsidRPr="001F45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740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22E" w:rsidRDefault="00D71042">
                          <w:pPr>
                            <w:pStyle w:val="NormalS5sidnrH"/>
                            <w:ind w:right="0"/>
                          </w:pPr>
                          <w:r>
                            <w:fldChar w:fldCharType="begin"/>
                          </w:r>
                          <w:r w:rsidR="00B2722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22E" w:rsidRDefault="00D71042">
                    <w:pPr>
                      <w:pStyle w:val="NormalS5sidnrH"/>
                      <w:ind w:right="0"/>
                    </w:pPr>
                    <w:r>
                      <w:fldChar w:fldCharType="begin"/>
                    </w:r>
                    <w:r w:rsidR="00B2722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1042" w:rsidRPr="001F45BD" w:rsidRDefault="00D71042">
      <w:r w:rsidRPr="001F45BD">
        <w:separator/>
      </w:r>
    </w:p>
  </w:footnote>
  <w:footnote w:type="continuationSeparator" w:id="0">
    <w:p w:rsidR="00D71042" w:rsidRPr="001F45BD" w:rsidRDefault="00D71042">
      <w:r w:rsidRPr="001F45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22E" w:rsidRPr="001F45BD" w:rsidRDefault="001F45BD" w:rsidP="00B2722E">
    <w:pPr>
      <w:pStyle w:val="Sidhuvud"/>
    </w:pPr>
    <w:r w:rsidRPr="001F45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177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22E" w:rsidRDefault="00D71042">
                          <w:pPr>
                            <w:pStyle w:val="KantRubrikS5V"/>
                          </w:pPr>
                          <w:r>
                            <w:fldChar w:fldCharType="begin"/>
                          </w:r>
                          <w:r w:rsidR="00B2722E">
                            <w:instrText xml:space="preserve"> DOCPROPERTY "YearUser" *\charformat </w:instrText>
                          </w:r>
                          <w:r>
                            <w:fldChar w:fldCharType="separate"/>
                          </w:r>
                          <w:r w:rsidR="00572943">
                            <w:t>2006/07</w:t>
                          </w:r>
                          <w:r>
                            <w:fldChar w:fldCharType="end"/>
                          </w:r>
                          <w:r w:rsidR="00B2722E">
                            <w:t>:</w:t>
                          </w:r>
                          <w:r>
                            <w:fldChar w:fldCharType="begin"/>
                          </w:r>
                          <w:r w:rsidR="00B2722E">
                            <w:instrText xml:space="preserve"> DOCPROPERTY "Motionsnummer" *\charformat </w:instrText>
                          </w:r>
                          <w:r>
                            <w:fldChar w:fldCharType="separate"/>
                          </w:r>
                          <w:r w:rsidR="00572943">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22E" w:rsidRDefault="00D71042">
                    <w:pPr>
                      <w:pStyle w:val="KantRubrikS5V"/>
                    </w:pPr>
                    <w:r>
                      <w:fldChar w:fldCharType="begin"/>
                    </w:r>
                    <w:r w:rsidR="00B2722E">
                      <w:instrText xml:space="preserve"> DOCPROPERTY "YearUser" *\charformat </w:instrText>
                    </w:r>
                    <w:r>
                      <w:fldChar w:fldCharType="separate"/>
                    </w:r>
                    <w:r w:rsidR="00572943">
                      <w:t>2006/07</w:t>
                    </w:r>
                    <w:r>
                      <w:fldChar w:fldCharType="end"/>
                    </w:r>
                    <w:r w:rsidR="00B2722E">
                      <w:t>:</w:t>
                    </w:r>
                    <w:r>
                      <w:fldChar w:fldCharType="begin"/>
                    </w:r>
                    <w:r w:rsidR="00B2722E">
                      <w:instrText xml:space="preserve"> DOCPROPERTY "Motionsnummer" *\charformat </w:instrText>
                    </w:r>
                    <w:r>
                      <w:fldChar w:fldCharType="separate"/>
                    </w:r>
                    <w:r w:rsidR="00572943">
                      <w:t>Ub334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51F2" w:rsidRPr="001F45BD" w:rsidRDefault="001F45BD" w:rsidP="00B2722E">
    <w:pPr>
      <w:pStyle w:val="Sidhuvud"/>
    </w:pPr>
    <w:r w:rsidRPr="001F45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9682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22E" w:rsidRDefault="00D71042">
                          <w:pPr>
                            <w:pStyle w:val="KantRubrikS5H"/>
                            <w:ind w:right="0"/>
                          </w:pPr>
                          <w:r>
                            <w:fldChar w:fldCharType="begin"/>
                          </w:r>
                          <w:r w:rsidR="00B2722E">
                            <w:instrText xml:space="preserve"> DOCPROPERTY "YearUser" *\charformat </w:instrText>
                          </w:r>
                          <w:r>
                            <w:fldChar w:fldCharType="separate"/>
                          </w:r>
                          <w:r w:rsidR="00572943">
                            <w:t>2006/07</w:t>
                          </w:r>
                          <w:r>
                            <w:fldChar w:fldCharType="end"/>
                          </w:r>
                          <w:r w:rsidR="00B2722E">
                            <w:t>:</w:t>
                          </w:r>
                          <w:r>
                            <w:fldChar w:fldCharType="begin"/>
                          </w:r>
                          <w:r w:rsidR="00B2722E">
                            <w:instrText xml:space="preserve"> DOCPROPERTY "Motionsnummer" *\charformat </w:instrText>
                          </w:r>
                          <w:r>
                            <w:fldChar w:fldCharType="separate"/>
                          </w:r>
                          <w:r w:rsidR="00572943">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22E" w:rsidRDefault="00D71042">
                    <w:pPr>
                      <w:pStyle w:val="KantRubrikS5H"/>
                      <w:ind w:right="0"/>
                    </w:pPr>
                    <w:r>
                      <w:fldChar w:fldCharType="begin"/>
                    </w:r>
                    <w:r w:rsidR="00B2722E">
                      <w:instrText xml:space="preserve"> DOCPROPERTY "YearUser" *\charformat </w:instrText>
                    </w:r>
                    <w:r>
                      <w:fldChar w:fldCharType="separate"/>
                    </w:r>
                    <w:r w:rsidR="00572943">
                      <w:t>2006/07</w:t>
                    </w:r>
                    <w:r>
                      <w:fldChar w:fldCharType="end"/>
                    </w:r>
                    <w:r w:rsidR="00B2722E">
                      <w:t>:</w:t>
                    </w:r>
                    <w:r>
                      <w:fldChar w:fldCharType="begin"/>
                    </w:r>
                    <w:r w:rsidR="00B2722E">
                      <w:instrText xml:space="preserve"> DOCPROPERTY "Motionsnummer" *\charformat </w:instrText>
                    </w:r>
                    <w:r>
                      <w:fldChar w:fldCharType="separate"/>
                    </w:r>
                    <w:r w:rsidR="00572943">
                      <w:t>Ub334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1042" w:rsidRPr="001F45BD" w:rsidRDefault="00D71042">
    <w:pPr>
      <w:pStyle w:val="FSHNormal"/>
      <w:tabs>
        <w:tab w:val="right" w:pos="5840"/>
      </w:tabs>
    </w:pPr>
    <w:r w:rsidRPr="001F45BD">
      <w:br/>
    </w:r>
    <w:r w:rsidRPr="001F45BD">
      <w:fldChar w:fldCharType="begin" w:fldLock="1"/>
    </w:r>
    <w:r w:rsidRPr="001F45BD">
      <w:instrText xml:space="preserve"> DOCPROPERTY</w:instrText>
    </w:r>
    <w:r w:rsidRPr="001F45BD">
      <w:rPr>
        <w:sz w:val="18"/>
      </w:rPr>
      <w:instrText xml:space="preserve"> "YearUser" *\charformat </w:instrText>
    </w:r>
    <w:r w:rsidRPr="001F45BD">
      <w:fldChar w:fldCharType="separate"/>
    </w:r>
    <w:r w:rsidRPr="001F45BD">
      <w:t>2006/07</w:t>
    </w:r>
    <w:r w:rsidRPr="001F45BD">
      <w:fldChar w:fldCharType="end"/>
    </w:r>
    <w:r w:rsidRPr="001F45BD">
      <w:t xml:space="preserve"> </w:t>
    </w:r>
    <w:r w:rsidRPr="001F45BD">
      <w:tab/>
      <w:t xml:space="preserve">mnr: </w:t>
    </w:r>
    <w:r w:rsidRPr="001F45BD">
      <w:fldChar w:fldCharType="begin" w:fldLock="1"/>
    </w:r>
    <w:r w:rsidRPr="001F45BD">
      <w:instrText xml:space="preserve"> DOCPROPERTY</w:instrText>
    </w:r>
    <w:r w:rsidRPr="001F45BD">
      <w:rPr>
        <w:sz w:val="18"/>
      </w:rPr>
      <w:instrText xml:space="preserve"> "Motionsnummer" *\charformat </w:instrText>
    </w:r>
    <w:r w:rsidRPr="001F45BD">
      <w:fldChar w:fldCharType="separate"/>
    </w:r>
    <w:r w:rsidRPr="001F45BD">
      <w:t>Ub334</w:t>
    </w:r>
    <w:r w:rsidRPr="001F45BD">
      <w:fldChar w:fldCharType="end"/>
    </w:r>
    <w:r w:rsidRPr="001F45BD">
      <w:br/>
    </w:r>
    <w:r w:rsidRPr="001F45BD">
      <w:fldChar w:fldCharType="begin" w:fldLock="1"/>
    </w:r>
    <w:r w:rsidRPr="001F45BD">
      <w:instrText xml:space="preserve"> DOCPROPERTY</w:instrText>
    </w:r>
    <w:r w:rsidRPr="001F45BD">
      <w:rPr>
        <w:sz w:val="18"/>
      </w:rPr>
      <w:instrText xml:space="preserve"> "Samling" *\charformat </w:instrText>
    </w:r>
    <w:r w:rsidRPr="001F45BD">
      <w:fldChar w:fldCharType="end"/>
    </w:r>
    <w:r w:rsidRPr="001F45BD">
      <w:tab/>
      <w:t xml:space="preserve">pnr: </w:t>
    </w:r>
    <w:r w:rsidRPr="001F45BD">
      <w:fldChar w:fldCharType="begin" w:fldLock="1"/>
    </w:r>
    <w:r w:rsidRPr="001F45BD">
      <w:instrText xml:space="preserve"> DOCPROPERTY</w:instrText>
    </w:r>
    <w:r w:rsidRPr="001F45BD">
      <w:rPr>
        <w:sz w:val="18"/>
      </w:rPr>
      <w:instrText xml:space="preserve"> "Partinummer" *\charformat </w:instrText>
    </w:r>
    <w:r w:rsidRPr="001F45BD">
      <w:fldChar w:fldCharType="separate"/>
    </w:r>
    <w:r w:rsidRPr="001F45BD">
      <w:t>v858</w:t>
    </w:r>
    <w:r w:rsidRPr="001F45BD">
      <w:fldChar w:fldCharType="end"/>
    </w:r>
  </w:p>
  <w:p w:rsidR="00D71042" w:rsidRPr="001F45BD" w:rsidRDefault="00D71042">
    <w:pPr>
      <w:pStyle w:val="FSHRub1"/>
    </w:pPr>
    <w:r w:rsidRPr="001F45BD">
      <w:t>Motion till riksdagen</w:t>
    </w:r>
    <w:r w:rsidRPr="001F45BD">
      <w:br/>
    </w:r>
    <w:r w:rsidRPr="001F45BD">
      <w:fldChar w:fldCharType="begin" w:fldLock="1"/>
    </w:r>
    <w:r w:rsidRPr="001F45BD">
      <w:instrText xml:space="preserve"> DOCPROPERTY "YearUser" *\charformat </w:instrText>
    </w:r>
    <w:r w:rsidRPr="001F45BD">
      <w:fldChar w:fldCharType="separate"/>
    </w:r>
    <w:r w:rsidRPr="001F45BD">
      <w:t>2006/07</w:t>
    </w:r>
    <w:r w:rsidRPr="001F45BD">
      <w:fldChar w:fldCharType="end"/>
    </w:r>
    <w:r w:rsidRPr="001F45BD">
      <w:t>:</w:t>
    </w:r>
    <w:r w:rsidRPr="001F45BD">
      <w:fldChar w:fldCharType="begin" w:fldLock="1"/>
    </w:r>
    <w:r w:rsidRPr="001F45BD">
      <w:instrText xml:space="preserve"> DOCPROPERTY "Motionsnummer" *\charformat </w:instrText>
    </w:r>
    <w:r w:rsidRPr="001F45BD">
      <w:fldChar w:fldCharType="separate"/>
    </w:r>
    <w:r w:rsidRPr="001F45BD">
      <w:t>Ub334</w:t>
    </w:r>
    <w:r w:rsidRPr="001F45BD">
      <w:fldChar w:fldCharType="end"/>
    </w:r>
  </w:p>
  <w:p w:rsidR="00D71042" w:rsidRPr="001F45BD" w:rsidRDefault="00D71042">
    <w:pPr>
      <w:pStyle w:val="FSHNormalS5"/>
    </w:pPr>
    <w:r w:rsidRPr="001F45BD">
      <w:fldChar w:fldCharType="begin" w:fldLock="1"/>
    </w:r>
    <w:r w:rsidRPr="001F45BD">
      <w:instrText xml:space="preserve"> DOCPROPERTY "MotionarText" *\charformat </w:instrText>
    </w:r>
    <w:r w:rsidRPr="001F45BD">
      <w:fldChar w:fldCharType="separate"/>
    </w:r>
    <w:r w:rsidRPr="001F45BD">
      <w:t>av Lars Ohly m.fl. (v)</w:t>
    </w:r>
    <w:r w:rsidRPr="001F45BD">
      <w:fldChar w:fldCharType="end"/>
    </w:r>
    <w:r w:rsidRPr="001F45BD">
      <w:br/>
    </w:r>
    <w:r w:rsidRPr="001F45BD">
      <w:fldChar w:fldCharType="begin" w:fldLock="1"/>
    </w:r>
    <w:r w:rsidRPr="001F45BD">
      <w:instrText xml:space="preserve"> DOCPROPERTY "SvarFrasKort" *\charformat </w:instrText>
    </w:r>
    <w:r w:rsidRPr="001F45BD">
      <w:fldChar w:fldCharType="end"/>
    </w:r>
  </w:p>
  <w:p w:rsidR="00D71042" w:rsidRPr="001F45BD" w:rsidRDefault="00D71042">
    <w:pPr>
      <w:pStyle w:val="FSHTitel"/>
    </w:pPr>
    <w:r w:rsidRPr="001F45BD">
      <w:fldChar w:fldCharType="begin" w:fldLock="1"/>
    </w:r>
    <w:r w:rsidRPr="001F45BD">
      <w:instrText xml:space="preserve"> DOCPROPERTY</w:instrText>
    </w:r>
    <w:r w:rsidRPr="001F45BD">
      <w:rPr>
        <w:sz w:val="18"/>
      </w:rPr>
      <w:instrText xml:space="preserve"> "RubrikSvar" *\charformat </w:instrText>
    </w:r>
    <w:r w:rsidRPr="001F45BD">
      <w:fldChar w:fldCharType="separate"/>
    </w:r>
    <w:r w:rsidRPr="001F45BD">
      <w:t>Utgiftsområde 16 Utbildning och universitetsforskning</w:t>
    </w:r>
    <w:r w:rsidRPr="001F45BD">
      <w:fldChar w:fldCharType="end"/>
    </w:r>
  </w:p>
  <w:p w:rsidR="00D71042" w:rsidRPr="001F45BD" w:rsidRDefault="00D71042">
    <w:pPr>
      <w:pStyle w:val="Normal00"/>
    </w:pPr>
  </w:p>
  <w:p w:rsidR="00B2722E" w:rsidRPr="001F45BD" w:rsidRDefault="00B272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696912"/>
    <w:multiLevelType w:val="hybridMultilevel"/>
    <w:tmpl w:val="24624AAE"/>
    <w:lvl w:ilvl="0" w:tplc="9F2031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3109034">
    <w:abstractNumId w:val="14"/>
  </w:num>
  <w:num w:numId="2" w16cid:durableId="222258179">
    <w:abstractNumId w:val="10"/>
  </w:num>
  <w:num w:numId="3" w16cid:durableId="433749823">
    <w:abstractNumId w:val="11"/>
  </w:num>
  <w:num w:numId="4" w16cid:durableId="1494024765">
    <w:abstractNumId w:val="13"/>
  </w:num>
  <w:num w:numId="5" w16cid:durableId="41833887">
    <w:abstractNumId w:val="8"/>
  </w:num>
  <w:num w:numId="6" w16cid:durableId="84350904">
    <w:abstractNumId w:val="3"/>
  </w:num>
  <w:num w:numId="7" w16cid:durableId="341393065">
    <w:abstractNumId w:val="2"/>
  </w:num>
  <w:num w:numId="8" w16cid:durableId="177551270">
    <w:abstractNumId w:val="1"/>
  </w:num>
  <w:num w:numId="9" w16cid:durableId="749814133">
    <w:abstractNumId w:val="0"/>
  </w:num>
  <w:num w:numId="10" w16cid:durableId="1658067344">
    <w:abstractNumId w:val="9"/>
  </w:num>
  <w:num w:numId="11" w16cid:durableId="1509171200">
    <w:abstractNumId w:val="7"/>
  </w:num>
  <w:num w:numId="12" w16cid:durableId="1394891021">
    <w:abstractNumId w:val="6"/>
  </w:num>
  <w:num w:numId="13" w16cid:durableId="91241656">
    <w:abstractNumId w:val="5"/>
  </w:num>
  <w:num w:numId="14" w16cid:durableId="715734351">
    <w:abstractNumId w:val="4"/>
  </w:num>
  <w:num w:numId="15" w16cid:durableId="1065644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1A2565D-4D2F-4887-9B1D-3D7BE825DA8C},{494960E9-BA36-4AC1-BBDB-126FB51B6387},{93F71F64-B3B2-464F-BCC5-C49DA1B8F0E4},{8B923F15-4996-4696-A089-6A5BE8BF8E1B},{B0181D35-2F7D-4D23-BD15-5E0324552287},{CBCE2632-605E-484A-97AC-47C334EA7100},{7E0BF71E-CD03-4DBF-9F51-3B5B798F2741},{E342D5A8-46A1-48DE-8F45-AD50F7AFB7F8}"/>
  </w:docVars>
  <w:rsids>
    <w:rsidRoot w:val="001F45BD"/>
    <w:rsid w:val="00002742"/>
    <w:rsid w:val="000220F8"/>
    <w:rsid w:val="000232A8"/>
    <w:rsid w:val="00034058"/>
    <w:rsid w:val="00040D14"/>
    <w:rsid w:val="0004381F"/>
    <w:rsid w:val="00064BC3"/>
    <w:rsid w:val="00066474"/>
    <w:rsid w:val="000665E6"/>
    <w:rsid w:val="00066775"/>
    <w:rsid w:val="00072FB9"/>
    <w:rsid w:val="0007598F"/>
    <w:rsid w:val="000B2040"/>
    <w:rsid w:val="000D660A"/>
    <w:rsid w:val="000D7F54"/>
    <w:rsid w:val="000E12FE"/>
    <w:rsid w:val="000E431D"/>
    <w:rsid w:val="000E48DA"/>
    <w:rsid w:val="000E5207"/>
    <w:rsid w:val="000F5ADD"/>
    <w:rsid w:val="00100531"/>
    <w:rsid w:val="0010124E"/>
    <w:rsid w:val="00101CB6"/>
    <w:rsid w:val="0010259A"/>
    <w:rsid w:val="0010382E"/>
    <w:rsid w:val="001240CB"/>
    <w:rsid w:val="00166D90"/>
    <w:rsid w:val="00170803"/>
    <w:rsid w:val="001719D3"/>
    <w:rsid w:val="00177CC2"/>
    <w:rsid w:val="0019171D"/>
    <w:rsid w:val="001921C4"/>
    <w:rsid w:val="001923A4"/>
    <w:rsid w:val="001A0E00"/>
    <w:rsid w:val="001A25D5"/>
    <w:rsid w:val="001A2624"/>
    <w:rsid w:val="001A2A2B"/>
    <w:rsid w:val="001A3F84"/>
    <w:rsid w:val="001E0043"/>
    <w:rsid w:val="001F45BD"/>
    <w:rsid w:val="001F5ECC"/>
    <w:rsid w:val="00201DFB"/>
    <w:rsid w:val="00204A63"/>
    <w:rsid w:val="00207D9B"/>
    <w:rsid w:val="00212FF1"/>
    <w:rsid w:val="00230193"/>
    <w:rsid w:val="00244D0B"/>
    <w:rsid w:val="0025068A"/>
    <w:rsid w:val="00262B13"/>
    <w:rsid w:val="00270415"/>
    <w:rsid w:val="002818D3"/>
    <w:rsid w:val="002911A7"/>
    <w:rsid w:val="002943C8"/>
    <w:rsid w:val="00295E6D"/>
    <w:rsid w:val="002A2A6B"/>
    <w:rsid w:val="002B4B0B"/>
    <w:rsid w:val="002B66DA"/>
    <w:rsid w:val="002C0728"/>
    <w:rsid w:val="002C2373"/>
    <w:rsid w:val="002D11A8"/>
    <w:rsid w:val="002D47BC"/>
    <w:rsid w:val="003052F0"/>
    <w:rsid w:val="00314F87"/>
    <w:rsid w:val="0032051D"/>
    <w:rsid w:val="003303B5"/>
    <w:rsid w:val="003366E9"/>
    <w:rsid w:val="00342FB4"/>
    <w:rsid w:val="00355DC4"/>
    <w:rsid w:val="0036065A"/>
    <w:rsid w:val="003866EC"/>
    <w:rsid w:val="00391AF5"/>
    <w:rsid w:val="003B3C4C"/>
    <w:rsid w:val="003B418B"/>
    <w:rsid w:val="003C3253"/>
    <w:rsid w:val="003C6923"/>
    <w:rsid w:val="003F100A"/>
    <w:rsid w:val="00415604"/>
    <w:rsid w:val="00420CD3"/>
    <w:rsid w:val="00422C4E"/>
    <w:rsid w:val="00430651"/>
    <w:rsid w:val="00445271"/>
    <w:rsid w:val="00447A04"/>
    <w:rsid w:val="004527C3"/>
    <w:rsid w:val="00487F7A"/>
    <w:rsid w:val="004971B2"/>
    <w:rsid w:val="00497F2B"/>
    <w:rsid w:val="004A0504"/>
    <w:rsid w:val="004B5278"/>
    <w:rsid w:val="004C06C0"/>
    <w:rsid w:val="004C7C14"/>
    <w:rsid w:val="004E38D9"/>
    <w:rsid w:val="004F5CDC"/>
    <w:rsid w:val="005000F2"/>
    <w:rsid w:val="0052606E"/>
    <w:rsid w:val="00531020"/>
    <w:rsid w:val="00540FDA"/>
    <w:rsid w:val="00545150"/>
    <w:rsid w:val="00545421"/>
    <w:rsid w:val="0055072A"/>
    <w:rsid w:val="00550EA4"/>
    <w:rsid w:val="005525A5"/>
    <w:rsid w:val="005544CE"/>
    <w:rsid w:val="00556FBB"/>
    <w:rsid w:val="00572943"/>
    <w:rsid w:val="00596C81"/>
    <w:rsid w:val="005A7441"/>
    <w:rsid w:val="005B145B"/>
    <w:rsid w:val="005B37C2"/>
    <w:rsid w:val="005D3F50"/>
    <w:rsid w:val="00601C6D"/>
    <w:rsid w:val="00603CD4"/>
    <w:rsid w:val="006346C1"/>
    <w:rsid w:val="006433A0"/>
    <w:rsid w:val="00653DD0"/>
    <w:rsid w:val="00656D2D"/>
    <w:rsid w:val="006625A6"/>
    <w:rsid w:val="00666CA2"/>
    <w:rsid w:val="006B6262"/>
    <w:rsid w:val="006E3F5C"/>
    <w:rsid w:val="006F1D75"/>
    <w:rsid w:val="00706ACB"/>
    <w:rsid w:val="00715EF0"/>
    <w:rsid w:val="00727C6F"/>
    <w:rsid w:val="00727E38"/>
    <w:rsid w:val="007352DC"/>
    <w:rsid w:val="00740D6D"/>
    <w:rsid w:val="00743F76"/>
    <w:rsid w:val="00770030"/>
    <w:rsid w:val="00770DA7"/>
    <w:rsid w:val="00774959"/>
    <w:rsid w:val="007852B2"/>
    <w:rsid w:val="007860CA"/>
    <w:rsid w:val="00791877"/>
    <w:rsid w:val="00794149"/>
    <w:rsid w:val="007B67A7"/>
    <w:rsid w:val="007C6092"/>
    <w:rsid w:val="007E119E"/>
    <w:rsid w:val="007E69D6"/>
    <w:rsid w:val="00811901"/>
    <w:rsid w:val="00822BEF"/>
    <w:rsid w:val="00841790"/>
    <w:rsid w:val="00846903"/>
    <w:rsid w:val="00874661"/>
    <w:rsid w:val="0088499C"/>
    <w:rsid w:val="008D064C"/>
    <w:rsid w:val="008F0A96"/>
    <w:rsid w:val="008F5185"/>
    <w:rsid w:val="009029B6"/>
    <w:rsid w:val="009062A0"/>
    <w:rsid w:val="009451E7"/>
    <w:rsid w:val="00956E7F"/>
    <w:rsid w:val="00970D4F"/>
    <w:rsid w:val="00971D70"/>
    <w:rsid w:val="00990E09"/>
    <w:rsid w:val="009A26DE"/>
    <w:rsid w:val="009A4377"/>
    <w:rsid w:val="009A6043"/>
    <w:rsid w:val="009D0673"/>
    <w:rsid w:val="00A053C6"/>
    <w:rsid w:val="00A055B3"/>
    <w:rsid w:val="00A15D71"/>
    <w:rsid w:val="00A21BC5"/>
    <w:rsid w:val="00A46E78"/>
    <w:rsid w:val="00A736FF"/>
    <w:rsid w:val="00A75DCD"/>
    <w:rsid w:val="00A80010"/>
    <w:rsid w:val="00A92473"/>
    <w:rsid w:val="00AA1434"/>
    <w:rsid w:val="00AA6955"/>
    <w:rsid w:val="00AB5000"/>
    <w:rsid w:val="00AC4310"/>
    <w:rsid w:val="00AC63D9"/>
    <w:rsid w:val="00AD37A8"/>
    <w:rsid w:val="00AE0335"/>
    <w:rsid w:val="00AE2EF8"/>
    <w:rsid w:val="00AE4B1C"/>
    <w:rsid w:val="00AE77EC"/>
    <w:rsid w:val="00AF5881"/>
    <w:rsid w:val="00B07CC4"/>
    <w:rsid w:val="00B127EA"/>
    <w:rsid w:val="00B13BF0"/>
    <w:rsid w:val="00B2722E"/>
    <w:rsid w:val="00B33C81"/>
    <w:rsid w:val="00B34666"/>
    <w:rsid w:val="00B3580E"/>
    <w:rsid w:val="00B52752"/>
    <w:rsid w:val="00B54271"/>
    <w:rsid w:val="00B67E5B"/>
    <w:rsid w:val="00B769D3"/>
    <w:rsid w:val="00B851FA"/>
    <w:rsid w:val="00BA4894"/>
    <w:rsid w:val="00BA6BE0"/>
    <w:rsid w:val="00BB6D75"/>
    <w:rsid w:val="00BD43A8"/>
    <w:rsid w:val="00BF217D"/>
    <w:rsid w:val="00BF7B3F"/>
    <w:rsid w:val="00C0419C"/>
    <w:rsid w:val="00C1285C"/>
    <w:rsid w:val="00C14E8F"/>
    <w:rsid w:val="00C1649D"/>
    <w:rsid w:val="00C27B7D"/>
    <w:rsid w:val="00C32A06"/>
    <w:rsid w:val="00C42877"/>
    <w:rsid w:val="00C44394"/>
    <w:rsid w:val="00C533BA"/>
    <w:rsid w:val="00C60BD3"/>
    <w:rsid w:val="00C846FA"/>
    <w:rsid w:val="00C902E9"/>
    <w:rsid w:val="00C92208"/>
    <w:rsid w:val="00C9786D"/>
    <w:rsid w:val="00CB5B24"/>
    <w:rsid w:val="00CC2A39"/>
    <w:rsid w:val="00CD4B2B"/>
    <w:rsid w:val="00CE3037"/>
    <w:rsid w:val="00CE76FE"/>
    <w:rsid w:val="00CF43F4"/>
    <w:rsid w:val="00CF65C9"/>
    <w:rsid w:val="00CF7A43"/>
    <w:rsid w:val="00D01775"/>
    <w:rsid w:val="00D1174F"/>
    <w:rsid w:val="00D1289C"/>
    <w:rsid w:val="00D2233A"/>
    <w:rsid w:val="00D44527"/>
    <w:rsid w:val="00D505E7"/>
    <w:rsid w:val="00D52681"/>
    <w:rsid w:val="00D53D04"/>
    <w:rsid w:val="00D55EF7"/>
    <w:rsid w:val="00D60E41"/>
    <w:rsid w:val="00D71042"/>
    <w:rsid w:val="00D87A1E"/>
    <w:rsid w:val="00D97563"/>
    <w:rsid w:val="00DC0DF0"/>
    <w:rsid w:val="00DC6C70"/>
    <w:rsid w:val="00DE5FDF"/>
    <w:rsid w:val="00DF371E"/>
    <w:rsid w:val="00DF5ACD"/>
    <w:rsid w:val="00E22893"/>
    <w:rsid w:val="00E2491B"/>
    <w:rsid w:val="00E30558"/>
    <w:rsid w:val="00E349C2"/>
    <w:rsid w:val="00E360DE"/>
    <w:rsid w:val="00E4110E"/>
    <w:rsid w:val="00E5074A"/>
    <w:rsid w:val="00E521CB"/>
    <w:rsid w:val="00E728F6"/>
    <w:rsid w:val="00E75D28"/>
    <w:rsid w:val="00E81A26"/>
    <w:rsid w:val="00E84F25"/>
    <w:rsid w:val="00E874CB"/>
    <w:rsid w:val="00EB51F2"/>
    <w:rsid w:val="00EC007B"/>
    <w:rsid w:val="00EC6AC3"/>
    <w:rsid w:val="00ED714A"/>
    <w:rsid w:val="00F1541E"/>
    <w:rsid w:val="00F21B30"/>
    <w:rsid w:val="00F273EA"/>
    <w:rsid w:val="00F313CF"/>
    <w:rsid w:val="00F35A36"/>
    <w:rsid w:val="00F42CB9"/>
    <w:rsid w:val="00F5223D"/>
    <w:rsid w:val="00F577F9"/>
    <w:rsid w:val="00F73E9E"/>
    <w:rsid w:val="00F85998"/>
    <w:rsid w:val="00F8759D"/>
    <w:rsid w:val="00F87D14"/>
    <w:rsid w:val="00F94F8E"/>
    <w:rsid w:val="00FA3374"/>
    <w:rsid w:val="00FA44FF"/>
    <w:rsid w:val="00FA7548"/>
    <w:rsid w:val="00FB2435"/>
    <w:rsid w:val="00FB6490"/>
    <w:rsid w:val="00FB6BCD"/>
    <w:rsid w:val="00FC53D4"/>
    <w:rsid w:val="00FC7246"/>
    <w:rsid w:val="00FC7E79"/>
    <w:rsid w:val="00FD2531"/>
    <w:rsid w:val="00FD71E9"/>
    <w:rsid w:val="00FF7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9A3EEF-A37F-4DF9-AEE4-ADB8BA8E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2722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7619">
      <w:bodyDiv w:val="1"/>
      <w:marLeft w:val="0"/>
      <w:marRight w:val="0"/>
      <w:marTop w:val="0"/>
      <w:marBottom w:val="0"/>
      <w:divBdr>
        <w:top w:val="none" w:sz="0" w:space="0" w:color="auto"/>
        <w:left w:val="none" w:sz="0" w:space="0" w:color="auto"/>
        <w:bottom w:val="none" w:sz="0" w:space="0" w:color="auto"/>
        <w:right w:val="none" w:sz="0" w:space="0" w:color="auto"/>
      </w:divBdr>
    </w:div>
    <w:div w:id="516309210">
      <w:bodyDiv w:val="1"/>
      <w:marLeft w:val="0"/>
      <w:marRight w:val="0"/>
      <w:marTop w:val="0"/>
      <w:marBottom w:val="0"/>
      <w:divBdr>
        <w:top w:val="none" w:sz="0" w:space="0" w:color="auto"/>
        <w:left w:val="none" w:sz="0" w:space="0" w:color="auto"/>
        <w:bottom w:val="none" w:sz="0" w:space="0" w:color="auto"/>
        <w:right w:val="none" w:sz="0" w:space="0" w:color="auto"/>
      </w:divBdr>
    </w:div>
    <w:div w:id="523321400">
      <w:bodyDiv w:val="1"/>
      <w:marLeft w:val="0"/>
      <w:marRight w:val="0"/>
      <w:marTop w:val="0"/>
      <w:marBottom w:val="0"/>
      <w:divBdr>
        <w:top w:val="none" w:sz="0" w:space="0" w:color="auto"/>
        <w:left w:val="none" w:sz="0" w:space="0" w:color="auto"/>
        <w:bottom w:val="none" w:sz="0" w:space="0" w:color="auto"/>
        <w:right w:val="none" w:sz="0" w:space="0" w:color="auto"/>
      </w:divBdr>
    </w:div>
    <w:div w:id="6303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2060</Words>
  <Characters>12217</Characters>
  <Application>Microsoft Office Word</Application>
  <DocSecurity>4</DocSecurity>
  <Lines>284</Lines>
  <Paragraphs>123</Paragraphs>
  <ScaleCrop>false</ScaleCrop>
  <HeadingPairs>
    <vt:vector size="2" baseType="variant">
      <vt:variant>
        <vt:lpstr>Rubrik</vt:lpstr>
      </vt:variant>
      <vt:variant>
        <vt:i4>1</vt:i4>
      </vt:variant>
    </vt:vector>
  </HeadingPairs>
  <TitlesOfParts>
    <vt:vector size="1" baseType="lpstr">
      <vt:lpstr>v858</vt:lpstr>
    </vt:vector>
  </TitlesOfParts>
  <Company>Riksdagen</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v858</dc:title>
  <dc:subject>v858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2007-01-19T13:47:00Z</cp:lastPrinted>
  <dcterms:created xsi:type="dcterms:W3CDTF">2025-12-17T02:41:00Z</dcterms:created>
  <dcterms:modified xsi:type="dcterms:W3CDTF">2025-12-17T02:41:00Z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16 Utbildning och universitetsforskning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20062007000000000118000008580080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20062007000000000118000008580080</vt:lpwstr>
  </property>
  <property fmtid="{D5CDD505-2E9C-101B-9397-08002B2CF9AE}" pid="50" name="nummer">
    <vt:lpwstr>334</vt:lpwstr>
  </property>
  <property fmtid="{D5CDD505-2E9C-101B-9397-08002B2CF9AE}" pid="51" name="utskottsbeteckning">
    <vt:lpwstr>Ub</vt:lpwstr>
  </property>
  <property fmtid="{D5CDD505-2E9C-101B-9397-08002B2CF9AE}" pid="52" name="GlobalUID">
    <vt:lpwstr>{CE3FC068-4E3D-4BB6-A5B6-103548D413EF}</vt:lpwstr>
  </property>
  <property fmtid="{D5CDD505-2E9C-101B-9397-08002B2CF9AE}" pid="53" name="Överföringar">
    <vt:i4>0</vt:i4>
  </property>
  <property fmtid="{D5CDD505-2E9C-101B-9397-08002B2CF9AE}" pid="54" name="Checksum">
    <vt:lpwstr>*0013311730726*</vt:lpwstr>
  </property>
  <property fmtid="{D5CDD505-2E9C-101B-9397-08002B2CF9AE}" pid="55" name="skuggnummer">
    <vt:lpwstr>1625</vt:lpwstr>
  </property>
  <property fmtid="{D5CDD505-2E9C-101B-9397-08002B2CF9AE}" pid="56" name="urixVersion">
    <vt:lpwstr>3.1.4.4</vt:lpwstr>
  </property>
  <property fmtid="{D5CDD505-2E9C-101B-9397-08002B2CF9AE}" pid="57" name="urixOrigin">
    <vt:lpwstr>070215 16:32:16.454</vt:lpwstr>
  </property>
  <property fmtid="{D5CDD505-2E9C-101B-9397-08002B2CF9AE}" pid="58" name="urixGuid">
    <vt:lpwstr>{0B11843B-18D7-4C7A-8C13-1BF5F51381C9}</vt:lpwstr>
  </property>
</Properties>
</file>