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F4A" w:rsidRDefault="00C30F4A">
      <w:pPr>
        <w:pStyle w:val="Rubrik1"/>
        <w:spacing w:before="0"/>
      </w:pPr>
      <w:bookmarkStart w:id="0" w:name="_Toc368993402"/>
      <w:r>
        <w:t>Till jordbruksutskottet</w:t>
      </w:r>
      <w:bookmarkEnd w:id="0"/>
    </w:p>
    <w:p w:rsidR="00C30F4A" w:rsidRDefault="00C30F4A">
      <w:r>
        <w:t>Jordbruksutskottet har berett näringsutskottet tillfälle att yttra sig över pr</w:t>
      </w:r>
      <w:r>
        <w:t>o</w:t>
      </w:r>
      <w:r>
        <w:t>position 1995/96:226 om hållbar utveckling i landets fjällområden jämte motioner, såvitt propositionen och motionerna rör näringsutskottets bere</w:t>
      </w:r>
      <w:r>
        <w:t>d</w:t>
      </w:r>
      <w:r>
        <w:t>ningsområde.</w:t>
      </w:r>
    </w:p>
    <w:p w:rsidR="00C30F4A" w:rsidRDefault="00C30F4A">
      <w:pPr>
        <w:pStyle w:val="Rubrik1"/>
      </w:pPr>
      <w:r>
        <w:t>Näringsutskottet</w:t>
      </w:r>
    </w:p>
    <w:p w:rsidR="00C30F4A" w:rsidRDefault="00C30F4A">
      <w:pPr>
        <w:pStyle w:val="Rubrik2"/>
        <w:spacing w:before="123"/>
      </w:pPr>
      <w:r>
        <w:t>Inledning</w:t>
      </w:r>
    </w:p>
    <w:p w:rsidR="00C30F4A" w:rsidRDefault="00C30F4A">
      <w:pPr>
        <w:tabs>
          <w:tab w:val="left" w:pos="1276"/>
        </w:tabs>
      </w:pPr>
      <w:r>
        <w:t>I betänkandet Hållbar utveck</w:t>
      </w:r>
      <w:r>
        <w:softHyphen/>
        <w:t xml:space="preserve">ling i landets fjällområden (SOU 1995:100) lämnade den s.k. Miljövårdsberedningen förslag till vissa miljöstärkande åtgärder. Förslagen berör bl.a. vissa förutsättningar för mineralutvinning och turism i fjällkedjan. </w:t>
      </w:r>
    </w:p>
    <w:p w:rsidR="00C30F4A" w:rsidRDefault="00C30F4A">
      <w:pPr>
        <w:pStyle w:val="Normaltindrag"/>
      </w:pPr>
      <w:r>
        <w:t>I frågan om mineralutvinning i fjällområdena menade beredningen att strängare bestämmelser bör införas i lagstiftningen vad gäller skyddet mot exploateringar. Särskilt avsågs de s.k. obrutna fjällområdena, som definieras i lagen (1987:12) om hushållning med naturresurser m.m. (den s.k. naturr</w:t>
      </w:r>
      <w:r>
        <w:t>e</w:t>
      </w:r>
      <w:r>
        <w:t>surslagen). Strängare regler kan åstadkommas bl.a. genom en ändring i min</w:t>
      </w:r>
      <w:r>
        <w:t>e</w:t>
      </w:r>
      <w:r>
        <w:t>rallagen (1991:45) så att beslut om tillstånd till undersökningsarbete i de aktuella områdena underställs regeringen för prövning i stället för länsstyre</w:t>
      </w:r>
      <w:r>
        <w:t>l</w:t>
      </w:r>
      <w:r>
        <w:t>sen.</w:t>
      </w:r>
    </w:p>
    <w:p w:rsidR="00C30F4A" w:rsidRDefault="00C30F4A">
      <w:pPr>
        <w:pStyle w:val="Normaltindrag"/>
      </w:pPr>
      <w:r>
        <w:t>I de delar av betänkandet som behandlar turismen föreslogs att Turistdel</w:t>
      </w:r>
      <w:r>
        <w:t>e</w:t>
      </w:r>
      <w:r>
        <w:t>gationen skall ges i uppdrag att utarbeta en handlingsplan för miljöanpassad tu</w:t>
      </w:r>
      <w:r>
        <w:softHyphen/>
        <w:t>rism. Beredningen ansåg också att myndighetens sektorsansvar för miljön bör framgå av instruktionen på ett tydligare sätt.</w:t>
      </w:r>
    </w:p>
    <w:p w:rsidR="00C30F4A" w:rsidRDefault="00C30F4A">
      <w:pPr>
        <w:pStyle w:val="Normaltindrag"/>
      </w:pPr>
      <w:r>
        <w:t>Utgångspunkten för regeringen i proposition 1995/96:226 om hållbar u</w:t>
      </w:r>
      <w:r>
        <w:t>t</w:t>
      </w:r>
      <w:r>
        <w:t>veckling i landets fjällområden är att statsmakternas överväganden måste präglas av ett ekologiskt, socialt och ekonomiskt perspektiv. De som bor i fjällregionen måste ges möjligheter till arbete, utbildning, trygghet och li</w:t>
      </w:r>
      <w:r>
        <w:t>v</w:t>
      </w:r>
      <w:r>
        <w:t>s-kvalitet inom ramen för vad naturen tål. Mot denna bakgrund lämnar reg</w:t>
      </w:r>
      <w:r>
        <w:t>e</w:t>
      </w:r>
      <w:r>
        <w:t>ringen förslag – på grundval av Miljövårdsberedningens arbete – till olika åtgärder för att stärka miljöskyddet, särskilt inom de obrutna fjällomr</w:t>
      </w:r>
      <w:r>
        <w:t>å</w:t>
      </w:r>
      <w:r>
        <w:t>dena.</w:t>
      </w:r>
    </w:p>
    <w:p w:rsidR="00C30F4A" w:rsidRDefault="00C30F4A">
      <w:pPr>
        <w:pStyle w:val="Normaltindrag"/>
      </w:pPr>
      <w:r>
        <w:t>Näringsutskottet behandlar propositionen och motionerna i de delar som tar upp dels frågan om tillämpning av bestämmelser beträffande undersö</w:t>
      </w:r>
      <w:r>
        <w:t>k</w:t>
      </w:r>
      <w:r>
        <w:lastRenderedPageBreak/>
        <w:t>ningsarbete enligt minerallagen, dels åtgärder för att stärka miljöhänsynen i samband med turism inom de aktuella områd</w:t>
      </w:r>
      <w:r>
        <w:t>e</w:t>
      </w:r>
      <w:r>
        <w:t>na.</w:t>
      </w:r>
    </w:p>
    <w:p w:rsidR="00C30F4A" w:rsidRDefault="00C30F4A">
      <w:pPr>
        <w:pStyle w:val="Rubrik2"/>
      </w:pPr>
      <w:r>
        <w:t>Mineralutvinning i fjällområdena</w:t>
      </w:r>
    </w:p>
    <w:p w:rsidR="00C30F4A" w:rsidRDefault="00C30F4A">
      <w:pPr>
        <w:tabs>
          <w:tab w:val="left" w:pos="4606"/>
        </w:tabs>
      </w:pPr>
      <w:r>
        <w:t>I propositionen sägs att det finns skäl att för</w:t>
      </w:r>
      <w:r>
        <w:softHyphen/>
        <w:t>tydliga kraven på skydd av de obrutna fjällområdena. Hänsyn måste tas till unika bevarandevärden och ett samtidigt ökande intresse för prospektering inom fjällvärlden. Regeringen hänvisar i propositionen till det uppdrag (dir. 1995:166) som lagts på den s.k. Gruv</w:t>
      </w:r>
      <w:r>
        <w:softHyphen/>
        <w:t>kommittén (N 1995:13), under ledning av f.d. landshövding Görel Bohlin, att utvärde</w:t>
      </w:r>
      <w:r>
        <w:softHyphen/>
        <w:t>ra minerallagen. I utvärderingen ingår bl.a. att göra en bedömning av formerna för den statliga prospekteringsver</w:t>
      </w:r>
      <w:r>
        <w:t>k</w:t>
      </w:r>
      <w:r>
        <w:t xml:space="preserve">samheten. </w:t>
      </w:r>
    </w:p>
    <w:p w:rsidR="00C30F4A" w:rsidRDefault="00C30F4A">
      <w:pPr>
        <w:pStyle w:val="Normaltindrag"/>
      </w:pPr>
      <w:r>
        <w:t>I avvaktan på resultatet av utredningens arbete väljer regeringen i propos</w:t>
      </w:r>
      <w:r>
        <w:t>i</w:t>
      </w:r>
      <w:r>
        <w:t>tionen att inte ta ställning till Miljövårdsberedningens förslag att förändra minerallagen. I stället meddelar regeringen sin avsikt att komplettera natu</w:t>
      </w:r>
      <w:r>
        <w:t>r</w:t>
      </w:r>
      <w:r>
        <w:t>vårdsförordningen (1976:484) med bestämmelser om samråd med länsstyre</w:t>
      </w:r>
      <w:r>
        <w:t>l</w:t>
      </w:r>
      <w:r>
        <w:t>sen i samband med ansökan om undersökningsarbete enligt minerallagen i de obrutna fjällområdena. Regeringen erinrar om att ett samrådsförfarande enligt 20 § naturvårds</w:t>
      </w:r>
      <w:r>
        <w:softHyphen/>
        <w:t>lagen (1964:822) innebär att länssty</w:t>
      </w:r>
      <w:r>
        <w:softHyphen/>
        <w:t>relsen kan meddela vill</w:t>
      </w:r>
      <w:r>
        <w:softHyphen/>
        <w:t>kor om återställningsåtgärder. Länsstyrelsen kan även förbjuda att arbetet påbörjas.</w:t>
      </w:r>
    </w:p>
    <w:p w:rsidR="00C30F4A" w:rsidRDefault="00C30F4A">
      <w:pPr>
        <w:pStyle w:val="Normaltindrag"/>
        <w:rPr>
          <w:sz w:val="22"/>
        </w:rPr>
      </w:pPr>
      <w:r>
        <w:t>I motion 1995/96:Jo32 (mp) välkomnas rege</w:t>
      </w:r>
      <w:r>
        <w:softHyphen/>
        <w:t>ringens aviserade komplett</w:t>
      </w:r>
      <w:r>
        <w:t>e</w:t>
      </w:r>
      <w:r>
        <w:t>ring. Motionärerna anser emellertid att åtgärden inte är tillräcklig. De omr</w:t>
      </w:r>
      <w:r>
        <w:t>å</w:t>
      </w:r>
      <w:r>
        <w:t>desgränser som utpekas i naturresursla</w:t>
      </w:r>
      <w:r>
        <w:softHyphen/>
        <w:t>gen borde ses över i syfte att ge större områden skydd mot exploateringar. Med instämmande i Miljövårdsbere</w:t>
      </w:r>
      <w:r>
        <w:t>d</w:t>
      </w:r>
      <w:r>
        <w:t>ningens förslag menar motionärerna att minerallagen bör änd</w:t>
      </w:r>
      <w:r>
        <w:softHyphen/>
        <w:t>ras så att unde</w:t>
      </w:r>
      <w:r>
        <w:t>r</w:t>
      </w:r>
      <w:r>
        <w:t>sökningsarbete i obrutna fjällom</w:t>
      </w:r>
      <w:r>
        <w:softHyphen/>
        <w:t>råden inte får ske utan regeringens medg</w:t>
      </w:r>
      <w:r>
        <w:t>i</w:t>
      </w:r>
      <w:r>
        <w:t>vande. Regeringen bör också, anförs det, ge Boverket i uppdrag att ta fram för</w:t>
      </w:r>
      <w:r>
        <w:softHyphen/>
        <w:t>slag till hur skyddet av fjällområdena kan förbätt</w:t>
      </w:r>
      <w:r>
        <w:softHyphen/>
        <w:t>ras så att mineralutvi</w:t>
      </w:r>
      <w:r>
        <w:t>n</w:t>
      </w:r>
      <w:r>
        <w:t>ning där inte kan komma till stånd</w:t>
      </w:r>
      <w:r>
        <w:rPr>
          <w:sz w:val="22"/>
        </w:rPr>
        <w:t>.</w:t>
      </w:r>
    </w:p>
    <w:p w:rsidR="00C30F4A" w:rsidRDefault="00C30F4A">
      <w:pPr>
        <w:pStyle w:val="Normaltindrag"/>
      </w:pPr>
      <w:r>
        <w:t>I minerallagen (3 kap. 6 §, pkt 3) infördes år 1993 (prop. 1992/93:238, bet. NU33) hinder mot bedrivande av undersökningsarbete i bl.a. obrutna fjä</w:t>
      </w:r>
      <w:r>
        <w:t>l</w:t>
      </w:r>
      <w:r>
        <w:t>l</w:t>
      </w:r>
      <w:r>
        <w:softHyphen/>
        <w:t>områden. Med hänvisning till naturresurslagens 3 kap. 5 §, i vilken de i sammanhanget aktuella områdena utpekas, föreskrivs att undersökningsarb</w:t>
      </w:r>
      <w:r>
        <w:t>e</w:t>
      </w:r>
      <w:r>
        <w:t>te ej får äga rum i dessa områden utan medgivande av länsstyrelsen. Sådant tillstånd kan meddelas om bedömningen görs att områdenas karaktär inte påverkas av undersökningsarbetet.</w:t>
      </w:r>
    </w:p>
    <w:p w:rsidR="00C30F4A" w:rsidRDefault="00C30F4A">
      <w:pPr>
        <w:pStyle w:val="Normaltindrag"/>
      </w:pPr>
      <w:r>
        <w:t>Den samrådsskyldighet som regeringen nu avser att införa, med den a</w:t>
      </w:r>
      <w:r>
        <w:t>n</w:t>
      </w:r>
      <w:r>
        <w:t>givna förändringen i naturvårdsförordningen, görs med stöd av naturvårdsl</w:t>
      </w:r>
      <w:r>
        <w:t>a</w:t>
      </w:r>
      <w:r>
        <w:t>gen. Enligt denna lag skall samråd ske med länsstyrelsen för sådana arbetsf</w:t>
      </w:r>
      <w:r>
        <w:t>ö</w:t>
      </w:r>
      <w:r>
        <w:t>retag som kan komma att väsentligt ändra naturmiljön (20 §). I minerallagen finns en allmän hänvisning (1 kap. 7 §) till andra bestämmelser – bl.a. i naturvårdslagen – vilka berör verksamheter som minerallagen reglerar (undersökning och bearbetning av mineralfyndigheter). I naturresurslagen (1 kap. 2 §) sägs att bestämmelserna beträffande t.ex. obrutna fjällområden skall tillämpas enligt vad som är föreskrivet i bl.a. naturvårdslagen. I natu</w:t>
      </w:r>
      <w:r>
        <w:t>r</w:t>
      </w:r>
      <w:r>
        <w:t>vårdslagen och naturvårdsförordningen finns å andra sidan inte någon u</w:t>
      </w:r>
      <w:r>
        <w:t>t</w:t>
      </w:r>
      <w:r>
        <w:t>trycklig hänvisning till att arbetsföretag enligt minerallagen omfattas av bestämmelserna. Avsikten är att denna otydlighet skall rättas till med den aviserade förändringen av naturvårdsförordningen. Dock kommer det inte att framgå av minerallagen, eller mineralförordningen (1992:285), att det för</w:t>
      </w:r>
      <w:r>
        <w:t>e</w:t>
      </w:r>
      <w:r>
        <w:t>ligger en samrådsskyldighet med länsstyrelsen, förutom den redan föreskri</w:t>
      </w:r>
      <w:r>
        <w:t>v</w:t>
      </w:r>
      <w:r>
        <w:t>na tillståndsplikten, för undersökningsarbete inom de obrutna fjällområd</w:t>
      </w:r>
      <w:r>
        <w:t>e</w:t>
      </w:r>
      <w:r>
        <w:t xml:space="preserve">na. </w:t>
      </w:r>
    </w:p>
    <w:p w:rsidR="00C30F4A" w:rsidRDefault="00C30F4A">
      <w:pPr>
        <w:pStyle w:val="Normaltindrag"/>
      </w:pPr>
      <w:r>
        <w:t>Vilken blir då den reella effekten av införande av en samrådsskyldighet i naturvårdsförordningen i förhållande till den befintliga tillståndsprövningen enligt minerallagen med hänsyn till att den prövande instansen är densa</w:t>
      </w:r>
      <w:r>
        <w:t>m</w:t>
      </w:r>
      <w:r>
        <w:t>ma? Enligt vad näringsutskottet erfarit blir skillnaden för den sökande i praktiken inte stor. Det tillståndsförfarande som tillämpas för närvarande innebär att länsstyrelsen kan uppställa villkor i samband med bifall till en ansökan, inklusive att föreskriva om t.ex. återställningsåtgärder, i syfte att uppfylla den aktuella bestämmelsen i naturresurslagen (3 kap. 5 §).</w:t>
      </w:r>
      <w:r>
        <w:rPr>
          <w:sz w:val="22"/>
        </w:rPr>
        <w:t xml:space="preserve"> </w:t>
      </w:r>
      <w:r>
        <w:t>De vil</w:t>
      </w:r>
      <w:r>
        <w:t>l</w:t>
      </w:r>
      <w:r>
        <w:t>kor som länsstyrelsen på detta sätt meddelar är emellertid inte preciserade i vare sig minerallagen eller naturresurslagen, utan lämnas i enlighet med den bedömning som den ansvariga länsstyrelsen gör i det enskilda fallet vad gäller påverkan på om</w:t>
      </w:r>
      <w:r>
        <w:softHyphen/>
        <w:t>rådenas karaktär. Ändringen i naturvårdsförordningen innebär att riktlinjer kommer att utarbetas för den prövande instansen, dvs. länsstyrelsen, avseende vad som skall beaktas i samrådsprocessen. En b</w:t>
      </w:r>
      <w:r>
        <w:t>e</w:t>
      </w:r>
      <w:r>
        <w:t>stämmelse kommer att införas i förordningen som ger den prövande insta</w:t>
      </w:r>
      <w:r>
        <w:t>n</w:t>
      </w:r>
      <w:r>
        <w:t>sen en handlingsregel om vilka hänsyn som skall tas för att ett tillstånd skall få medd</w:t>
      </w:r>
      <w:r>
        <w:t>e</w:t>
      </w:r>
      <w:r>
        <w:t>las.</w:t>
      </w:r>
    </w:p>
    <w:p w:rsidR="00C30F4A" w:rsidRDefault="00C30F4A">
      <w:pPr>
        <w:pStyle w:val="Normaltindrag"/>
      </w:pPr>
      <w:r>
        <w:t>I Gruvkommitténs nyligen avlämnade betänkande – Gruvorna och framt</w:t>
      </w:r>
      <w:r>
        <w:t>i</w:t>
      </w:r>
      <w:r>
        <w:t>den (SOU 1996:152) – behandlas (s. 114) minerallagens regler om milj</w:t>
      </w:r>
      <w:r>
        <w:t>ö</w:t>
      </w:r>
      <w:r>
        <w:t>skydd. Utredningen konstaterar att den aktuella paragrafen i minerallagen (3 kap. 6 §) inte innehåller någon redogörelse för vad länsstyrelsen har att bea</w:t>
      </w:r>
      <w:r>
        <w:t>k</w:t>
      </w:r>
      <w:r>
        <w:t>ta när medgivande skall lämnas. Det är också enligt utredningen oklart om länsstyrelsen har rätt att meddela villkor för undersökningsarbete. Utrednin</w:t>
      </w:r>
      <w:r>
        <w:t>g</w:t>
      </w:r>
      <w:r>
        <w:t>en föreslår mot denna bakgrund att minerallagen förtydligas genom att en bestämmelse införs av vilken skall framgå att ett medgivande till undersö</w:t>
      </w:r>
      <w:r>
        <w:t>k</w:t>
      </w:r>
      <w:r>
        <w:t>ningsarbete inom de obrutna fjällområdena skall förenas med de villkor som behövs för att förhindra att påtaglig skada uppkommer för områdets natur- och kulturvärden. Förslagen i betänkandet kommer inom kort att remissb</w:t>
      </w:r>
      <w:r>
        <w:t>e</w:t>
      </w:r>
      <w:r>
        <w:t>handlas.</w:t>
      </w:r>
    </w:p>
    <w:p w:rsidR="00C30F4A" w:rsidRDefault="00C30F4A">
      <w:pPr>
        <w:pStyle w:val="Normaltindrag"/>
      </w:pPr>
      <w:r>
        <w:rPr>
          <w:i/>
        </w:rPr>
        <w:t>Näringsutskottet</w:t>
      </w:r>
      <w:r>
        <w:t xml:space="preserve"> har inget att erinra mot att det i naturvårdsförordningen införs ett samrådskrav uttryckligen inriktat mot undersökningsarbete i enli</w:t>
      </w:r>
      <w:r>
        <w:t>g</w:t>
      </w:r>
      <w:r>
        <w:t>het med minerallagen. Dock vill utskottet peka på att oklarhet kan komma att uppstå för berörda företag vad gäller skillnaden mellan nuvarande til</w:t>
      </w:r>
      <w:r>
        <w:t>l</w:t>
      </w:r>
      <w:r>
        <w:t>ståndsprövning enligt minerallagen och den samrådsskyldighet som reg</w:t>
      </w:r>
      <w:r>
        <w:t>e</w:t>
      </w:r>
      <w:r>
        <w:t>ringen avser föreskriva i nämnda förordning. I detta sammanhang noterar utskottet de påpekanden som Gruvkommittén gjort om behovet av att tydli</w:t>
      </w:r>
      <w:r>
        <w:t>g</w:t>
      </w:r>
      <w:r>
        <w:t>göra minerallagen beträffande de villkor som länsstyrelsen kan meddela när tillstånd lämnas till undersökningsarbeten. Utskottet förutsätter att regeringen i beredningen av kommitténs förslag beaktar behovet av att undanröja eve</w:t>
      </w:r>
      <w:r>
        <w:t>n</w:t>
      </w:r>
      <w:r>
        <w:t>tuella oklarheter i denna fråga.</w:t>
      </w:r>
    </w:p>
    <w:p w:rsidR="00C30F4A" w:rsidRDefault="00C30F4A">
      <w:pPr>
        <w:pStyle w:val="Normaltindrag"/>
      </w:pPr>
      <w:r>
        <w:t>Det förslag som framförs i motion 1995/96:Jo32 (mp) om att överföra til</w:t>
      </w:r>
      <w:r>
        <w:t>l</w:t>
      </w:r>
      <w:r>
        <w:t>ståndsprövningen i ärenden om undersökningsarbete från länsstyrelsen till regeringen finner utskottet inga bärande motiv för. Den aktuella bedömnin</w:t>
      </w:r>
      <w:r>
        <w:t>g</w:t>
      </w:r>
      <w:r>
        <w:t>en görs bäst på den lokala nivån, och det finns ingen anledning att betvivla att miljöprövningen utförs på samma grannlaga sätt hos länsstyrelsen som i regering</w:t>
      </w:r>
      <w:r>
        <w:t>s</w:t>
      </w:r>
      <w:r>
        <w:t xml:space="preserve">kansliet. </w:t>
      </w:r>
    </w:p>
    <w:p w:rsidR="00C30F4A" w:rsidRDefault="00C30F4A">
      <w:pPr>
        <w:pStyle w:val="Normaltindrag"/>
      </w:pPr>
      <w:r>
        <w:t>Med det sagda avstyrker näringsutskottet nämnda motion såvitt här är i fråga.</w:t>
      </w:r>
    </w:p>
    <w:p w:rsidR="00C30F4A" w:rsidRDefault="00C30F4A">
      <w:pPr>
        <w:pStyle w:val="Rubrik2"/>
      </w:pPr>
      <w:r>
        <w:t>Turism</w:t>
      </w:r>
    </w:p>
    <w:p w:rsidR="00C30F4A" w:rsidRDefault="00C30F4A">
      <w:pPr>
        <w:tabs>
          <w:tab w:val="left" w:pos="4606"/>
        </w:tabs>
      </w:pPr>
      <w:r>
        <w:t>Turistdelegationen inrättades den 1 juli 1995 (prop. 1994/95:177, bet. KrU28). Delegationen är en myn</w:t>
      </w:r>
      <w:r>
        <w:softHyphen/>
        <w:t>dighet med uppgift dels att förbättra sa</w:t>
      </w:r>
      <w:r>
        <w:t>m</w:t>
      </w:r>
      <w:r>
        <w:t>ordningen av olika statliga insatser i syfte att stärka turistnäringens utvec</w:t>
      </w:r>
      <w:r>
        <w:t>k</w:t>
      </w:r>
      <w:r>
        <w:t>ling, dels att främja sam</w:t>
      </w:r>
      <w:r>
        <w:softHyphen/>
        <w:t>verkan mellan staten, regionala organ, kommuner och näringen. Staten medverkar också i marknadsföringen av Sverige som turistland. Ett av staten och näringen gemensamt ägt marknadsföringsbolag, Sv</w:t>
      </w:r>
      <w:r>
        <w:t>e</w:t>
      </w:r>
      <w:r>
        <w:t>riges Rese- och Turistråd AB, har bildats för ändamålet.</w:t>
      </w:r>
    </w:p>
    <w:p w:rsidR="00C30F4A" w:rsidRDefault="00C30F4A">
      <w:pPr>
        <w:pStyle w:val="Normaltindrag"/>
      </w:pPr>
      <w:r>
        <w:t>I propositionen meddelar regeringen – i enlighet med Miljövårdsbere</w:t>
      </w:r>
      <w:r>
        <w:t>d</w:t>
      </w:r>
      <w:r>
        <w:t>ningens förslag – att Tur</w:t>
      </w:r>
      <w:r>
        <w:softHyphen/>
        <w:t>istdelegationens uppdrag i fortsättningen skall inn</w:t>
      </w:r>
      <w:r>
        <w:t>e</w:t>
      </w:r>
      <w:r>
        <w:t>fatta även frågor om inriktningen av miljöanpassad turism. Regeringen avser också att ändra instruktionen för</w:t>
      </w:r>
      <w:r>
        <w:rPr>
          <w:i/>
        </w:rPr>
        <w:t xml:space="preserve"> </w:t>
      </w:r>
      <w:r>
        <w:t>Turist</w:t>
      </w:r>
      <w:r>
        <w:softHyphen/>
        <w:t>delegationen så att myndighetens sektorsansvar för miljön framgår tydligt. Innebörden av det sistnämnda är, anför regeringen, att miljömålet för turist</w:t>
      </w:r>
      <w:r>
        <w:softHyphen/>
        <w:t>sektorn skall formuleras så att fjäl</w:t>
      </w:r>
      <w:r>
        <w:t>l</w:t>
      </w:r>
      <w:r>
        <w:t>regionernas speci</w:t>
      </w:r>
      <w:r>
        <w:softHyphen/>
        <w:t>fika na</w:t>
      </w:r>
      <w:r>
        <w:softHyphen/>
        <w:t>turtillgångar nyttjas på ett hållbart sätt och där</w:t>
      </w:r>
      <w:r>
        <w:softHyphen/>
        <w:t>med kan bibehålla sin attraktionskraft som turist</w:t>
      </w:r>
      <w:r>
        <w:softHyphen/>
        <w:t>mål. Vidare erinras i propositi</w:t>
      </w:r>
      <w:r>
        <w:t>o</w:t>
      </w:r>
      <w:r>
        <w:t>nen om Turistdelegationens arbete, på uppdrag av regeringen, att ta fram ett handlings</w:t>
      </w:r>
      <w:r>
        <w:softHyphen/>
        <w:t>program till stöd för samarbetet på de mest cent</w:t>
      </w:r>
      <w:r>
        <w:softHyphen/>
        <w:t>rala områdena av svensk turism.</w:t>
      </w:r>
    </w:p>
    <w:p w:rsidR="00C30F4A" w:rsidRDefault="00C30F4A">
      <w:pPr>
        <w:pStyle w:val="Normaltindrag"/>
        <w:rPr>
          <w:sz w:val="22"/>
        </w:rPr>
      </w:pPr>
      <w:r>
        <w:t>I motion 1995/96:Jo32 (mp) understöds regeringens avsikt att skriva in ett miljömål i instruktionen för Turistdelegationen. I motionen föreslås införa</w:t>
      </w:r>
      <w:r>
        <w:t>n</w:t>
      </w:r>
      <w:r>
        <w:t>de av krav på miljökonsekvensbe</w:t>
      </w:r>
      <w:r>
        <w:softHyphen/>
        <w:t>skriv</w:t>
      </w:r>
      <w:r>
        <w:softHyphen/>
        <w:t>ningar som redovisar olika tu</w:t>
      </w:r>
      <w:r>
        <w:softHyphen/>
        <w:t>ristpro</w:t>
      </w:r>
      <w:r>
        <w:softHyphen/>
        <w:t>jekts miljö- och naturp</w:t>
      </w:r>
      <w:r>
        <w:t>å</w:t>
      </w:r>
      <w:r>
        <w:t>verkan</w:t>
      </w:r>
      <w:r>
        <w:rPr>
          <w:sz w:val="22"/>
        </w:rPr>
        <w:t xml:space="preserve">. </w:t>
      </w:r>
    </w:p>
    <w:p w:rsidR="00C30F4A" w:rsidRDefault="00C30F4A">
      <w:pPr>
        <w:pStyle w:val="Normaltindrag"/>
      </w:pPr>
      <w:r>
        <w:t>Regeringens avsikt att föra in ett miljömål i Turistdelegationens instru</w:t>
      </w:r>
      <w:r>
        <w:t>k</w:t>
      </w:r>
      <w:r>
        <w:t>tion är otillräcklig, anförs det i motion 1995/96:Jo35 (kds). En regel borde i stället införas om att turistföretag måste redovisa vilka naturhänsyn som skall tas vid utbyggnad och start av nya arrangemang. Motionärerna aktualiserar också förutsättningarna för samisk turism. I motionen påpekas att samisk turism är ett relativt outvecklat område. Möjligheter finns, sägs det, att bygga vidare på det samiska områdets särprägel och utveckla nya företag med i</w:t>
      </w:r>
      <w:r>
        <w:t>n</w:t>
      </w:r>
      <w:r>
        <w:t>riktning på s.k. eko- och kulturturism, med natur och kulturupplevelser som hu</w:t>
      </w:r>
      <w:r>
        <w:softHyphen/>
        <w:t>vud</w:t>
      </w:r>
      <w:r>
        <w:softHyphen/>
        <w:t>ingrediens.</w:t>
      </w:r>
    </w:p>
    <w:p w:rsidR="00C30F4A" w:rsidRDefault="00C30F4A">
      <w:pPr>
        <w:pStyle w:val="Normaltindrag"/>
      </w:pPr>
      <w:r>
        <w:t>Vad gäller förslaget om miljökonsekvensbeskrivningar för turistföretags inverkan på natur och miljö gäller enligt naturresurslagen (5 kap. 2 §) att regeringen, eller den myndighet som regeringen bestämmer, får före</w:t>
      </w:r>
      <w:r>
        <w:softHyphen/>
        <w:t>skriva att det i ärenden som berörs av lagar angivna i 1 kap. 2 § samma lag skall up</w:t>
      </w:r>
      <w:r>
        <w:t>p</w:t>
      </w:r>
      <w:r>
        <w:t>rättas en miljö</w:t>
      </w:r>
      <w:r>
        <w:softHyphen/>
        <w:t>kon</w:t>
      </w:r>
      <w:r>
        <w:softHyphen/>
        <w:t>sekvensbe</w:t>
      </w:r>
      <w:r>
        <w:softHyphen/>
        <w:t>skrivning. En sådan beskrivning skall möjlig</w:t>
      </w:r>
      <w:r>
        <w:softHyphen/>
        <w:t>göra en samlad bedömning av en planerad anlägg</w:t>
      </w:r>
      <w:r>
        <w:softHyphen/>
        <w:t>nings, verk</w:t>
      </w:r>
      <w:r>
        <w:softHyphen/>
        <w:t>samhets eller åtgärds inverkan på miljön, hälsan och hushåll</w:t>
      </w:r>
      <w:r>
        <w:softHyphen/>
        <w:t>ningen med naturresu</w:t>
      </w:r>
      <w:r>
        <w:t>r</w:t>
      </w:r>
      <w:r>
        <w:t xml:space="preserve">ser. </w:t>
      </w:r>
    </w:p>
    <w:p w:rsidR="00C30F4A" w:rsidRDefault="00C30F4A">
      <w:pPr>
        <w:pStyle w:val="Normaltindrag"/>
      </w:pPr>
      <w:r>
        <w:t>Bland de lagar som utpekas i det nämnda lagrummet återfinns naturvård</w:t>
      </w:r>
      <w:r>
        <w:t>s</w:t>
      </w:r>
      <w:r>
        <w:t>lagen. I förordningen (1991:738) om miljökonsekvensbeskrivningar hänvi</w:t>
      </w:r>
      <w:r>
        <w:softHyphen/>
        <w:t>sas till bl.a. bestämmelser om miljökonsekvensbe</w:t>
      </w:r>
      <w:r>
        <w:softHyphen/>
        <w:t>skrivning i 25 § naturvårdsfö</w:t>
      </w:r>
      <w:r>
        <w:t>r</w:t>
      </w:r>
      <w:r>
        <w:t>ordningen. Av denna bestämmelse framgår att ansökningar om undantag, dispens, tillstånd samt anmälan om samråd, vilka sammantaget regleras i ett stort antal bestäm</w:t>
      </w:r>
      <w:r>
        <w:softHyphen/>
        <w:t>melser i na</w:t>
      </w:r>
      <w:r>
        <w:softHyphen/>
        <w:t>turvårdslagen, skall vara åtföljda av karta, skiss eller ritning samt i den utsträckning som behövs i det en</w:t>
      </w:r>
      <w:r>
        <w:softHyphen/>
        <w:t>skilda fallet en mi</w:t>
      </w:r>
      <w:r>
        <w:t>l</w:t>
      </w:r>
      <w:r>
        <w:t>jökonsekvensbeskrivning.</w:t>
      </w:r>
    </w:p>
    <w:p w:rsidR="00C30F4A" w:rsidRDefault="00C30F4A">
      <w:pPr>
        <w:pStyle w:val="Normaltindrag"/>
      </w:pPr>
      <w:r>
        <w:t>I plan- och bygglagen (1987:10) sägs i den del (5 kap. 18 §) som reglerar upprättande av detaljplan och om</w:t>
      </w:r>
      <w:r>
        <w:softHyphen/>
        <w:t>rådesbestämmelser, att en miljöko</w:t>
      </w:r>
      <w:r>
        <w:t>n</w:t>
      </w:r>
      <w:r>
        <w:t>sekvensbeskrivning skall upprättas om detaljplanen medger en användning av mark eller av byggnader eller andra anläggningar som innebär bety</w:t>
      </w:r>
      <w:r>
        <w:softHyphen/>
        <w:t>dande påverkan på miljön, hälsan eller hushållningen med naturresurser.</w:t>
      </w:r>
    </w:p>
    <w:p w:rsidR="00C30F4A" w:rsidRDefault="00C30F4A">
      <w:pPr>
        <w:pStyle w:val="Normaltindrag"/>
      </w:pPr>
      <w:r>
        <w:t>Turistdelegationens handlingsprogram, Turismen skapar nya jobb – när alla drar åt samma håll, över</w:t>
      </w:r>
      <w:r>
        <w:softHyphen/>
        <w:t>lämnades till regeringen i maj 1996. I progra</w:t>
      </w:r>
      <w:r>
        <w:t>m</w:t>
      </w:r>
      <w:r>
        <w:t>met iden</w:t>
      </w:r>
      <w:r>
        <w:softHyphen/>
        <w:t>tifieras sju delstrategier som skall leda till att de över</w:t>
      </w:r>
      <w:r>
        <w:softHyphen/>
        <w:t>gripande målen för verksamheten skall nås. En av dessa strategier – långsiktigt hållbar u</w:t>
      </w:r>
      <w:r>
        <w:t>t</w:t>
      </w:r>
      <w:r>
        <w:t>veck</w:t>
      </w:r>
      <w:r>
        <w:softHyphen/>
        <w:t>ling – utgår ifrån att en god miljö är själva grundför</w:t>
      </w:r>
      <w:r>
        <w:softHyphen/>
        <w:t>utsättningen för turismen. Med detta avses en långsiktigt hållbar utveckling inom natur- och kulturmiljö samt social miljö. Turistdelegationen ämnar att initiera sär</w:t>
      </w:r>
      <w:r>
        <w:softHyphen/>
        <w:t>skilda handlingsprogram för långsiktigt hållbar ut</w:t>
      </w:r>
      <w:r>
        <w:softHyphen/>
        <w:t>veckling i utsatta områden. Under år 1998 planerar Turistdelega</w:t>
      </w:r>
      <w:r>
        <w:softHyphen/>
        <w:t>tionen också att initiera ett vetenskapligt arbete för utvärde</w:t>
      </w:r>
      <w:r>
        <w:softHyphen/>
        <w:t>ring av handlingsprogrammet. Detta arbete skall vara en utgång</w:t>
      </w:r>
      <w:r>
        <w:t>s</w:t>
      </w:r>
      <w:r>
        <w:t>punkt för det turistiska hand</w:t>
      </w:r>
      <w:r>
        <w:softHyphen/>
        <w:t>lingsprogram som skall tas fram till senast år 2001.</w:t>
      </w:r>
    </w:p>
    <w:p w:rsidR="00C30F4A" w:rsidRDefault="00C30F4A">
      <w:pPr>
        <w:pStyle w:val="Normaltindrag"/>
      </w:pPr>
      <w:r>
        <w:t>Av programdokumentet för hur medel ur EU:s strukturfonder skall anvä</w:t>
      </w:r>
      <w:r>
        <w:t>n</w:t>
      </w:r>
      <w:r>
        <w:t>das i svenska mål 6-områden avseende programperioden 1995–1999 framgår att resurserna skall fördelas på  fem insatsområden:</w:t>
      </w:r>
    </w:p>
    <w:p w:rsidR="00C30F4A" w:rsidRDefault="00C30F4A">
      <w:pPr>
        <w:pStyle w:val="Normaltindrag"/>
      </w:pPr>
      <w:r>
        <w:t>1) företagsutveckling,</w:t>
      </w:r>
    </w:p>
    <w:p w:rsidR="00C30F4A" w:rsidRDefault="00C30F4A">
      <w:pPr>
        <w:pStyle w:val="Normaltindrag"/>
      </w:pPr>
      <w:r>
        <w:t>2) kompetensutveckling,</w:t>
      </w:r>
    </w:p>
    <w:p w:rsidR="00C30F4A" w:rsidRDefault="00C30F4A">
      <w:pPr>
        <w:pStyle w:val="Normaltindrag"/>
      </w:pPr>
      <w:r>
        <w:t>3) jordbruk, fiske och naturresurser,</w:t>
      </w:r>
    </w:p>
    <w:p w:rsidR="00C30F4A" w:rsidRDefault="00C30F4A">
      <w:pPr>
        <w:pStyle w:val="Normaltindrag"/>
      </w:pPr>
      <w:r>
        <w:t>4) lokal utveckling,</w:t>
      </w:r>
    </w:p>
    <w:p w:rsidR="00C30F4A" w:rsidRDefault="00C30F4A">
      <w:pPr>
        <w:pStyle w:val="Normaltindrag"/>
      </w:pPr>
      <w:r>
        <w:t>5) samisk utveckling.</w:t>
      </w:r>
    </w:p>
    <w:p w:rsidR="00C30F4A" w:rsidRDefault="00C30F4A">
      <w:pPr>
        <w:rPr>
          <w:i/>
        </w:rPr>
      </w:pPr>
      <w:r>
        <w:t>Målen för insatsområde 5 – Samisk utveckling – är att ge ökad information om samisk kultur och kulturarv, att ge ökad tillgång till informations</w:t>
      </w:r>
      <w:r>
        <w:softHyphen/>
        <w:t>teknik till samerna och att skapa förbättrade, eko</w:t>
      </w:r>
      <w:r>
        <w:softHyphen/>
        <w:t>lo</w:t>
      </w:r>
      <w:r>
        <w:softHyphen/>
        <w:t>giskt anpassade system för re</w:t>
      </w:r>
      <w:r>
        <w:t>n</w:t>
      </w:r>
      <w:r>
        <w:t>näringen. Resurs</w:t>
      </w:r>
      <w:r>
        <w:softHyphen/>
        <w:t>erna för insatser inom delområdet Samisk kultur uppgår under perioden till ca 42 miljoner kronor. Same</w:t>
      </w:r>
      <w:r>
        <w:softHyphen/>
        <w:t>tinget och Samefonden skall här svara för den nationella, offentliga medfinansieringen på ca 21 miljoner kronor</w:t>
      </w:r>
      <w:r>
        <w:rPr>
          <w:i/>
        </w:rPr>
        <w:t>.</w:t>
      </w:r>
    </w:p>
    <w:p w:rsidR="00C30F4A" w:rsidRDefault="00C30F4A">
      <w:pPr>
        <w:pStyle w:val="Normaltindrag"/>
      </w:pPr>
      <w:r>
        <w:rPr>
          <w:i/>
        </w:rPr>
        <w:t>Näringsutskottet</w:t>
      </w:r>
      <w:r>
        <w:t xml:space="preserve"> har inget att invända mot att regeringen kompletterar  verksamhetsmålen för Turistdelegationen så att de även innefattar inriktnin</w:t>
      </w:r>
      <w:r>
        <w:t>g</w:t>
      </w:r>
      <w:r>
        <w:t>en på miljöanpassad turism. Utskottet finner det likaledes lämpligt att ändra instruktionen för</w:t>
      </w:r>
      <w:r>
        <w:rPr>
          <w:i/>
        </w:rPr>
        <w:t xml:space="preserve"> </w:t>
      </w:r>
      <w:r>
        <w:t>Turist</w:t>
      </w:r>
      <w:r>
        <w:softHyphen/>
        <w:t>delegationen i syfte att tydliggöra myndighetens sekto</w:t>
      </w:r>
      <w:r>
        <w:t>r</w:t>
      </w:r>
      <w:r>
        <w:t xml:space="preserve">sansvar för miljön. </w:t>
      </w:r>
    </w:p>
    <w:p w:rsidR="00C30F4A" w:rsidRDefault="00C30F4A">
      <w:pPr>
        <w:pStyle w:val="Normaltindrag"/>
      </w:pPr>
      <w:r>
        <w:t>Av Turistdelegationens handlingsprogram framgår turistnäringens stora sysselsättningspolitiska betydelse. En fördubbling av all turism i Sverige motsvarar ca 100 000 nya arbetstillfällen. Näringsutskottet ser det som ang</w:t>
      </w:r>
      <w:r>
        <w:t>e</w:t>
      </w:r>
      <w:r>
        <w:t>läget att framhålla turistnäringens stora potential att kunna bidra till en minskning av arbetslösheten. Enligt utskottets bedömning behöver det inte föreligga någon konflikt mellan ambitionen att öka sysselsättningen i närin</w:t>
      </w:r>
      <w:r>
        <w:t>g</w:t>
      </w:r>
      <w:r>
        <w:t>en och att ta hänsyn till en hållbar, miljöanpassad utveckling i de känsliga områden som är särskilt attraktiva för turismen. Det finns anledning att utgå ifrån att båda målen kan uppnås med lämpligt utformade riktlinjer från statsmakternas sida och en omfattande samverkan mellan statliga, kommun</w:t>
      </w:r>
      <w:r>
        <w:t>a</w:t>
      </w:r>
      <w:r>
        <w:t>la och privata intre</w:t>
      </w:r>
      <w:r>
        <w:t>s</w:t>
      </w:r>
      <w:r>
        <w:t xml:space="preserve">sen. </w:t>
      </w:r>
    </w:p>
    <w:p w:rsidR="00C30F4A" w:rsidRDefault="00C30F4A">
      <w:pPr>
        <w:pStyle w:val="Normaltindrag"/>
      </w:pPr>
      <w:r>
        <w:t>Som redovisats i det föregående ställer den befintliga lagstiftningen omfa</w:t>
      </w:r>
      <w:r>
        <w:t>t</w:t>
      </w:r>
      <w:r>
        <w:t>tande krav på att miljökonsekvensbeskrivningar skall upprättas i de fall en anläggning bedöms medföra betydande inverkan på miljön eller hushållnin</w:t>
      </w:r>
      <w:r>
        <w:t>g</w:t>
      </w:r>
      <w:r>
        <w:t>en med naturresurser. Sådana krav inkluderar anläggningar för turiständamål. Utskottets uppfattning är att yrkandet i motion 1995/96:Jo32 (mp) om krav på miljökonsekvensbeskrivningar för turisprojekts miljö- och naturpåverkan redan är tillgodosett i nuvarande regelverk och att ytterligare lagstiftningså</w:t>
      </w:r>
      <w:r>
        <w:t>t</w:t>
      </w:r>
      <w:r>
        <w:t>gärder ej är behövliga. Näringsutskottet avstyrker därför motion 1995/96: Jo32 (mp) i här berörd del.</w:t>
      </w:r>
    </w:p>
    <w:p w:rsidR="00C30F4A" w:rsidRDefault="00C30F4A">
      <w:pPr>
        <w:pStyle w:val="Normaltindrag"/>
      </w:pPr>
      <w:r>
        <w:t>Näringsutskottet konstaterar vidare att Turistdelegationen – på uppdrag av regeringen – genomfört ett ambitiöst programarbete för att säkerställa att målen för turismen även innefattar vederbörliga miljöhänsyn. Utskottet not</w:t>
      </w:r>
      <w:r>
        <w:t>e</w:t>
      </w:r>
      <w:r>
        <w:t>rar också det handlingsprogram som skall utarbetas i syfte att säkerställa turismens bidrag till en hållbar utveckling. Med detta anser utskottet att det som tas upp i motion 1995/96:Jo35 (kds) i denna del blir tillgodosett. Även beträffande utvecklingen av en samisk natur- och kulturturism, vilken berörs i samma motion, menar utskottet att betydande insatser är under genomf</w:t>
      </w:r>
      <w:r>
        <w:t>ö</w:t>
      </w:r>
      <w:r>
        <w:t xml:space="preserve">rande. Den tidigare redogörelsen visar att omfattande resurser kommer att ställas till förfogande i syfte att främja den samiska kulturturismen. </w:t>
      </w:r>
    </w:p>
    <w:p w:rsidR="00C30F4A" w:rsidRDefault="00C30F4A">
      <w:pPr>
        <w:pStyle w:val="Normaltindrag"/>
      </w:pPr>
      <w:r>
        <w:t>Med det sagda avstyrker näringsutskottet motion 1995/96:Jo35 (kds) såvitt här är i fråga.</w:t>
      </w:r>
    </w:p>
    <w:p w:rsidR="00C30F4A" w:rsidRDefault="00C30F4A">
      <w:pPr>
        <w:pStyle w:val="Normaltindrag"/>
      </w:pPr>
    </w:p>
    <w:p w:rsidR="00C30F4A" w:rsidRDefault="00C30F4A">
      <w:r>
        <w:t>Stockholm den 22 oktober 1996</w:t>
      </w:r>
    </w:p>
    <w:p w:rsidR="00C30F4A" w:rsidRDefault="00C30F4A">
      <w:r>
        <w:t>På näringsutskottets vägnar</w:t>
      </w:r>
    </w:p>
    <w:p w:rsidR="00C30F4A" w:rsidRDefault="00C30F4A">
      <w:pPr>
        <w:pStyle w:val="Ordfnamn"/>
      </w:pPr>
      <w:bookmarkStart w:id="1" w:name="Ordförande"/>
      <w:bookmarkEnd w:id="1"/>
      <w:r>
        <w:t>Birgitta Johansson</w:t>
      </w:r>
    </w:p>
    <w:p w:rsidR="00C30F4A" w:rsidRDefault="00C30F4A">
      <w:pPr>
        <w:pStyle w:val="Citat"/>
      </w:pPr>
      <w:bookmarkStart w:id="2" w:name="Deltagare"/>
      <w:bookmarkStart w:id="3" w:name="_Toc368993403"/>
      <w:bookmarkEnd w:id="2"/>
    </w:p>
    <w:p w:rsidR="00C30F4A" w:rsidRDefault="00C30F4A">
      <w:pPr>
        <w:pStyle w:val="Citat"/>
      </w:pPr>
      <w:r>
        <w:t>I beslutet har deltagit: Birgitta Johansson (s), Christer Eirefelt (fp), Reynoldh Furustrand (s), Mikael Odenberg (m), Sylvia Lindgren (s), Kjell Ericsson (c), Barbro Andersson (s), Chris Heister (m), Marie Granlund (s), Lennart Beijer (v), Dag Ericson (s), Ola Karlsson (m), Eva Goës (mp), Nils-Göran Hol</w:t>
      </w:r>
      <w:r>
        <w:t>m</w:t>
      </w:r>
      <w:r>
        <w:t>qvist (s), Laila Bäck (s), Sten Tolgfors (m) och Tuve Skånberg (kd).</w:t>
      </w:r>
    </w:p>
    <w:p w:rsidR="00C30F4A" w:rsidRDefault="00C30F4A">
      <w:pPr>
        <w:pStyle w:val="Rubrik1"/>
      </w:pPr>
      <w:r>
        <w:t>Avvikande mening</w:t>
      </w:r>
      <w:bookmarkEnd w:id="3"/>
    </w:p>
    <w:p w:rsidR="00C30F4A" w:rsidRDefault="00C30F4A">
      <w:pPr>
        <w:pStyle w:val="Rubrik2"/>
        <w:spacing w:before="123"/>
      </w:pPr>
      <w:r>
        <w:t>Mineralutvinning i fjällområdena</w:t>
      </w:r>
    </w:p>
    <w:p w:rsidR="00C30F4A" w:rsidRDefault="00C30F4A">
      <w:r>
        <w:t>Eva Goës (mp) anser att den del av näringsutskottets yttrande – under rubr</w:t>
      </w:r>
      <w:r>
        <w:t>i</w:t>
      </w:r>
      <w:r>
        <w:t>ken Mineralutvinning i fjällområdena – som börjar med ”</w:t>
      </w:r>
      <w:r>
        <w:rPr>
          <w:i/>
        </w:rPr>
        <w:t>Näringsutskottet</w:t>
      </w:r>
      <w:r>
        <w:t xml:space="preserve"> har” och slutar med ”i fråga” bort ha följande lydelse:</w:t>
      </w:r>
    </w:p>
    <w:p w:rsidR="00C30F4A" w:rsidRDefault="00C30F4A">
      <w:pPr>
        <w:pStyle w:val="Normaltindrag"/>
      </w:pPr>
      <w:r>
        <w:t>I enlighet med Miljövårdsberedningens förslag ser näringsutskottet det som angeläget att tillståndsprövningen i ärenden som gäller rätten att påbörja undersökningsarbete i obrutna fjällområden flyttas från länsstyrelsen till regeringen. Det finns skäl att anta att regeringen på ett bättre sätt än berörd länsstyrelse kan avväga det sysselsättningsmässiga intresset av att ge tillåte</w:t>
      </w:r>
      <w:r>
        <w:t>l</w:t>
      </w:r>
      <w:r>
        <w:t>se till brytning i förhållande till de mycket stora och bestående skador som ett sådant ingrepp medför. Utskottet anser också att regeringen bör ge B</w:t>
      </w:r>
      <w:r>
        <w:t>o</w:t>
      </w:r>
      <w:r>
        <w:t xml:space="preserve">verket i uppdrag att ta fram förslag till hur skyddet av fjällområdena kan förbättras så att mineralutvinning inte kan komma till stånd i de obrutna fjällområdena. </w:t>
      </w:r>
    </w:p>
    <w:p w:rsidR="00C30F4A" w:rsidRDefault="00C30F4A">
      <w:pPr>
        <w:pStyle w:val="Normaltindrag"/>
      </w:pPr>
      <w:r>
        <w:t>Med det anförda tillstyrker näringsutskottet motion 1995/96:Jo32 (mp) i berörd del.</w:t>
      </w:r>
    </w:p>
    <w:p w:rsidR="00C30F4A" w:rsidRDefault="00C30F4A">
      <w:pPr>
        <w:pStyle w:val="Innehll"/>
      </w:pPr>
      <w:bookmarkStart w:id="4" w:name="Nästa_Reservation"/>
      <w:bookmarkEnd w:id="4"/>
    </w:p>
    <w:p w:rsidR="00C30F4A" w:rsidRDefault="00C30F4A">
      <w:pPr>
        <w:pStyle w:val="Innehll"/>
      </w:pPr>
    </w:p>
    <w:p w:rsidR="00C30F4A" w:rsidRDefault="00C30F4A"/>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Normaltindrag"/>
      </w:pPr>
    </w:p>
    <w:p w:rsidR="00C30F4A" w:rsidRDefault="00C30F4A">
      <w:pPr>
        <w:pStyle w:val="Tryckort"/>
      </w:pPr>
    </w:p>
    <w:p w:rsidR="00C30F4A" w:rsidRDefault="00C30F4A">
      <w:pPr>
        <w:pStyle w:val="Tryckort"/>
      </w:pPr>
      <w:r>
        <w:t>Gotab, Stockholm  1996</w:t>
      </w:r>
    </w:p>
    <w:sectPr w:rsidR="00C30F4A">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F4A" w:rsidRDefault="00C30F4A">
      <w:pPr>
        <w:spacing w:before="0" w:line="240" w:lineRule="auto"/>
      </w:pPr>
      <w:r>
        <w:separator/>
      </w:r>
    </w:p>
  </w:endnote>
  <w:endnote w:type="continuationSeparator" w:id="0">
    <w:p w:rsidR="00C30F4A" w:rsidRDefault="00C30F4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F4A" w:rsidRDefault="00C30F4A">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F4A" w:rsidRDefault="00C30F4A">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F4A" w:rsidRDefault="00C30F4A">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F4A" w:rsidRDefault="00C30F4A">
      <w:pPr>
        <w:spacing w:before="0" w:line="240" w:lineRule="auto"/>
      </w:pPr>
      <w:r>
        <w:separator/>
      </w:r>
    </w:p>
  </w:footnote>
  <w:footnote w:type="continuationSeparator" w:id="0">
    <w:p w:rsidR="00C30F4A" w:rsidRDefault="00C30F4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F4A" w:rsidRDefault="00C30F4A">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1996/97:NU3y</w:t>
    </w:r>
    <w:r>
      <w:fldChar w:fldCharType="end"/>
    </w:r>
  </w:p>
  <w:p w:rsidR="00C30F4A" w:rsidRDefault="00C30F4A">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30F4A" w:rsidRDefault="00C30F4A">
    <w:pPr>
      <w:pStyle w:val="SidhuvudV"/>
      <w:framePr w:w="2302" w:h="1928" w:hRule="exact" w:wrap="notBeside"/>
    </w:pPr>
    <w:r>
      <w:fldChar w:fldCharType="end"/>
    </w:r>
  </w:p>
  <w:p w:rsidR="00C30F4A" w:rsidRDefault="00C30F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F4A" w:rsidRDefault="00C30F4A">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1996/97:NU3y</w:t>
    </w:r>
    <w:r>
      <w:rPr>
        <w:sz w:val="21"/>
      </w:rPr>
      <w:fldChar w:fldCharType="end"/>
    </w:r>
  </w:p>
  <w:p w:rsidR="00C30F4A" w:rsidRDefault="00C30F4A">
    <w:pPr>
      <w:pStyle w:val="SidhuvudKant"/>
      <w:framePr w:hSpace="284" w:wrap="around" w:y="568"/>
      <w:rPr>
        <w:vanish/>
      </w:rPr>
    </w:pPr>
    <w:r>
      <w:rPr>
        <w:vanish/>
      </w:rPr>
      <w:t>&gt;B</w:t>
    </w:r>
  </w:p>
  <w:p w:rsidR="00C30F4A" w:rsidRDefault="00C30F4A">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F4A" w:rsidRDefault="00C30F4A">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69" r:id="rId2"/>
      </w:object>
    </w:r>
  </w:p>
  <w:p w:rsidR="00C30F4A" w:rsidRDefault="00C30F4A">
    <w:pPr>
      <w:pStyle w:val="SidhuvudFVapen"/>
      <w:framePr w:wrap="notBeside" w:x="7253" w:y="188"/>
      <w:spacing w:line="230" w:lineRule="auto"/>
      <w:rPr>
        <w:sz w:val="24"/>
      </w:rPr>
    </w:pPr>
    <w:bookmarkStart w:id="5" w:name="BnrVapen"/>
    <w:r>
      <w:rPr>
        <w:sz w:val="24"/>
      </w:rPr>
      <w:t>1996/97</w:t>
    </w:r>
  </w:p>
  <w:p w:rsidR="00C30F4A" w:rsidRDefault="00C30F4A">
    <w:pPr>
      <w:pStyle w:val="SidhuvudFVapen"/>
      <w:framePr w:wrap="notBeside" w:x="7253" w:y="188"/>
      <w:spacing w:line="230" w:lineRule="auto"/>
      <w:rPr>
        <w:sz w:val="24"/>
      </w:rPr>
    </w:pPr>
    <w:r>
      <w:rPr>
        <w:sz w:val="24"/>
      </w:rPr>
      <w:t xml:space="preserve">NU3y </w:t>
    </w:r>
    <w:bookmarkEnd w:id="5"/>
    <w:r w:rsidR="000C559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510414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229BA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30F4A" w:rsidRDefault="00C30F4A">
    <w:pPr>
      <w:pStyle w:val="SidhuvudFText"/>
      <w:framePr w:w="5727" w:h="2722" w:hRule="exact" w:hSpace="0" w:wrap="notBeside" w:hAnchor="page" w:x="1135" w:y="568"/>
      <w:spacing w:line="400" w:lineRule="exact"/>
      <w:ind w:right="629"/>
      <w:rPr>
        <w:sz w:val="36"/>
      </w:rPr>
    </w:pPr>
    <w:bookmarkStart w:id="6" w:name="DokumentTyp"/>
    <w:r>
      <w:rPr>
        <w:sz w:val="36"/>
      </w:rPr>
      <w:t xml:space="preserve">Näringsutskottets yttrande </w:t>
    </w:r>
    <w:bookmarkEnd w:id="6"/>
  </w:p>
  <w:p w:rsidR="00C30F4A" w:rsidRDefault="00C30F4A">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1996/97:NU3y </w:t>
    </w:r>
    <w:bookmarkEnd w:id="7"/>
    <w:r>
      <w:rPr>
        <w:sz w:val="36"/>
      </w:rPr>
      <w:t xml:space="preserve">       </w:t>
    </w:r>
    <w:bookmarkStart w:id="8" w:name="Utkast"/>
    <w:r>
      <w:rPr>
        <w:sz w:val="36"/>
      </w:rPr>
      <w:t xml:space="preserve"> </w:t>
    </w:r>
  </w:p>
  <w:p w:rsidR="00C30F4A" w:rsidRDefault="00C30F4A">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Hållbar utveckling i landets fjällområden</w:t>
    </w:r>
    <w:r>
      <w:rPr>
        <w:sz w:val="26"/>
      </w:rPr>
      <w:t xml:space="preserve"> </w:t>
    </w:r>
    <w:bookmarkEnd w:id="9"/>
    <w:r>
      <w:rPr>
        <w:sz w:val="26"/>
      </w:rPr>
      <w:t xml:space="preserve"> </w:t>
    </w:r>
  </w:p>
  <w:p w:rsidR="00C30F4A" w:rsidRDefault="00C30F4A">
    <w:pPr>
      <w:pStyle w:val="SidhuvudFText"/>
      <w:framePr w:w="5727" w:h="2722" w:hRule="exact" w:hSpace="0" w:wrap="notBeside" w:hAnchor="page" w:x="1135" w:y="568"/>
      <w:spacing w:line="460" w:lineRule="exact"/>
      <w:ind w:right="629"/>
      <w:rPr>
        <w:sz w:val="36"/>
      </w:rPr>
    </w:pPr>
  </w:p>
  <w:p w:rsidR="00C30F4A" w:rsidRDefault="00C30F4A">
    <w:pPr>
      <w:pStyle w:val="SidhuvudFText"/>
      <w:framePr w:w="5727" w:h="2722" w:hRule="exact" w:hSpace="0" w:wrap="notBeside" w:hAnchor="page" w:x="1135" w:y="568"/>
      <w:spacing w:before="40" w:after="900" w:line="300" w:lineRule="exact"/>
      <w:ind w:right="629"/>
      <w:rPr>
        <w:sz w:val="26"/>
      </w:rPr>
    </w:pPr>
    <w:r>
      <w:rPr>
        <w:sz w:val="26"/>
      </w:rPr>
      <w:t xml:space="preserve"> </w:t>
    </w:r>
  </w:p>
  <w:p w:rsidR="00C30F4A" w:rsidRDefault="00C30F4A">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3y"/>
    <w:docVar w:name="Flyttförsök" w:val="JA"/>
    <w:docVar w:name="HelaNamnet" w:val="1996/97:NU3y"/>
    <w:docVar w:name="NR" w:val="3y"/>
    <w:docVar w:name="RUBRIK" w:val="Hållbar utveckling i landets fjällområden"/>
    <w:docVar w:name="SkapVERSION" w:val="V7.0, 960919"/>
    <w:docVar w:name="USK" w:val="NU"/>
    <w:docVar w:name="USKKORT" w:val="NU"/>
    <w:docVar w:name="USKNAMN" w:val="Näringsutskottets"/>
    <w:docVar w:name="USKNAMNG" w:val="näringsutskottets"/>
    <w:docVar w:name="ÅR" w:val="1996/97"/>
  </w:docVars>
  <w:rsids>
    <w:rsidRoot w:val="006D2206"/>
    <w:rsid w:val="000C559B"/>
    <w:rsid w:val="006D2206"/>
    <w:rsid w:val="00C30F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F25363-A7A3-4B94-B4B4-906DA388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2430</Words>
  <Characters>15775</Characters>
  <Application>Microsoft Office Word</Application>
  <DocSecurity>4</DocSecurity>
  <Lines>303</Lines>
  <Paragraphs>59</Paragraphs>
  <ScaleCrop>false</ScaleCrop>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3y</dc:title>
  <dc:subject>Näringsutskottets betänkande nr 3y</dc:subject>
  <dc:creator>Riksdagen</dc:creator>
  <cp:keywords>Riksdagen</cp:keywords>
  <cp:lastModifiedBy>Lars Brink</cp:lastModifiedBy>
  <cp:revision>2</cp:revision>
  <cp:lastPrinted>1996-10-30T11:55:00Z</cp:lastPrinted>
  <dcterms:created xsi:type="dcterms:W3CDTF">2025-12-15T18:43:00Z</dcterms:created>
  <dcterms:modified xsi:type="dcterms:W3CDTF">2025-12-15T18:43:00Z</dcterms:modified>
</cp:coreProperties>
</file>