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559"/>
      </w:tblGrid>
      <w:tr w:rsidR="00000000" w:rsidRPr="00A35B3E">
        <w:tblPrEx>
          <w:tblCellMar>
            <w:top w:w="0" w:type="dxa"/>
            <w:bottom w:w="0" w:type="dxa"/>
          </w:tblCellMar>
        </w:tblPrEx>
        <w:trPr>
          <w:cantSplit/>
          <w:trHeight w:hRule="exact" w:val="1260"/>
        </w:trPr>
        <w:tc>
          <w:tcPr>
            <w:tcW w:w="6024" w:type="dxa"/>
            <w:gridSpan w:val="2"/>
            <w:vMerge w:val="restart"/>
          </w:tcPr>
          <w:p w:rsidR="0000161E" w:rsidRPr="00A35B3E" w:rsidRDefault="0000161E">
            <w:pPr>
              <w:pStyle w:val="HuvudRubrik"/>
            </w:pPr>
            <w:bookmarkStart w:id="0" w:name="BetänkandeRubrik"/>
            <w:bookmarkEnd w:id="0"/>
            <w:r w:rsidRPr="00A35B3E">
              <w:t>Justitieutskottets yttrande</w:t>
            </w:r>
            <w:r w:rsidR="00A35B3E" w:rsidRPr="00A35B3E">
              <w:rPr>
                <w:noProof/>
              </w:rPr>
              <mc:AlternateContent>
                <mc:Choice Requires="wps">
                  <w:drawing>
                    <wp:anchor distT="0" distB="0" distL="114300" distR="114300" simplePos="0" relativeHeight="251657728" behindDoc="0" locked="0" layoutInCell="0" allowOverlap="1">
                      <wp:simplePos x="0" y="0"/>
                      <wp:positionH relativeFrom="page">
                        <wp:posOffset>4608830</wp:posOffset>
                      </wp:positionH>
                      <wp:positionV relativeFrom="page">
                        <wp:posOffset>198120</wp:posOffset>
                      </wp:positionV>
                      <wp:extent cx="1150620" cy="981075"/>
                      <wp:effectExtent l="0" t="0" r="0" b="0"/>
                      <wp:wrapNone/>
                      <wp:docPr id="12245886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929452563"/>
                                <w:bookmarkStart w:id="2" w:name="_MON_929529912"/>
                                <w:bookmarkStart w:id="3" w:name="_MON_932818888"/>
                                <w:bookmarkStart w:id="4" w:name="_MON_947076358"/>
                                <w:bookmarkStart w:id="5" w:name="_MON_947165881"/>
                                <w:bookmarkStart w:id="6" w:name="_MON_968067888"/>
                                <w:bookmarkStart w:id="7" w:name="_MON_968068624"/>
                                <w:bookmarkStart w:id="8" w:name="_MON_973953492"/>
                                <w:bookmarkEnd w:id="1"/>
                                <w:bookmarkEnd w:id="2"/>
                                <w:bookmarkEnd w:id="3"/>
                                <w:bookmarkEnd w:id="4"/>
                                <w:bookmarkEnd w:id="5"/>
                                <w:bookmarkEnd w:id="6"/>
                                <w:bookmarkEnd w:id="7"/>
                                <w:bookmarkEnd w:id="8"/>
                                <w:p w:rsidR="0000161E" w:rsidRPr="00A35B3E" w:rsidRDefault="0000161E">
                                  <w:pPr>
                                    <w:pStyle w:val="Logo"/>
                                  </w:pPr>
                                  <w:r w:rsidRPr="00A35B3E">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5pt;height:77.15pt" fillcolor="window">
                                        <v:imagedata r:id="rId6" o:title="" cropright="-75835f"/>
                                      </v:shape>
                                      <o:OLEObject Type="Embed" ProgID="Word.Picture.8" ShapeID="_x0000_i1025" DrawAspect="Content" ObjectID="_1827347523" r:id="rId7"/>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9pt;margin-top:15.6pt;width:90.6pt;height:77.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" o:allowincell="f" stroked="f">
                      <v:textbox inset="0,0,0,0">
                        <w:txbxContent>
                          <w:bookmarkStart w:id="9" w:name="_MON_929452563"/>
                          <w:bookmarkStart w:id="10" w:name="_MON_929529912"/>
                          <w:bookmarkStart w:id="11" w:name="_MON_932818888"/>
                          <w:bookmarkStart w:id="12" w:name="_MON_947076358"/>
                          <w:bookmarkStart w:id="13" w:name="_MON_947165881"/>
                          <w:bookmarkStart w:id="14" w:name="_MON_968067888"/>
                          <w:bookmarkStart w:id="15" w:name="_MON_968068624"/>
                          <w:bookmarkStart w:id="16" w:name="_MON_973953492"/>
                          <w:bookmarkEnd w:id="9"/>
                          <w:bookmarkEnd w:id="10"/>
                          <w:bookmarkEnd w:id="11"/>
                          <w:bookmarkEnd w:id="12"/>
                          <w:bookmarkEnd w:id="13"/>
                          <w:bookmarkEnd w:id="14"/>
                          <w:bookmarkEnd w:id="15"/>
                          <w:bookmarkEnd w:id="16"/>
                          <w:p w:rsidR="0000161E" w:rsidRPr="00A35B3E" w:rsidRDefault="0000161E">
                            <w:pPr>
                              <w:pStyle w:val="Logo"/>
                            </w:pPr>
                            <w:r w:rsidRPr="00A35B3E">
                              <w:object w:dxaOrig="840" w:dyaOrig="1545">
                                <v:shape id="_x0000_i1025" type="#_x0000_t75" style="width:90.45pt;height:77.15pt" fillcolor="window">
                                  <v:imagedata r:id="rId6" o:title="" cropright="-75835f"/>
                                </v:shape>
                                <o:OLEObject Type="Embed" ProgID="Word.Picture.8" ShapeID="_x0000_i1025" DrawAspect="Content" ObjectID="_1827347523" r:id="rId8"/>
                              </w:object>
                            </w:r>
                          </w:p>
                        </w:txbxContent>
                      </v:textbox>
                      <w10:wrap anchorx="page" anchory="page"/>
                    </v:shape>
                  </w:pict>
                </mc:Fallback>
              </mc:AlternateContent>
            </w:r>
          </w:p>
          <w:p w:rsidR="0000161E" w:rsidRPr="00A35B3E" w:rsidRDefault="0000161E">
            <w:pPr>
              <w:pStyle w:val="HuvudRubrikRad2"/>
            </w:pPr>
            <w:bookmarkStart w:id="17" w:name="BetänkandeNr"/>
            <w:bookmarkEnd w:id="17"/>
            <w:r w:rsidRPr="00A35B3E">
              <w:t>1999/2000:JuU4y</w:t>
            </w:r>
          </w:p>
          <w:p w:rsidR="0000161E" w:rsidRPr="00A35B3E" w:rsidRDefault="0000161E">
            <w:pPr>
              <w:pStyle w:val="BetnkandeRubrik"/>
            </w:pPr>
            <w:bookmarkStart w:id="18" w:name="Huvudrubrik"/>
            <w:bookmarkEnd w:id="18"/>
            <w:r w:rsidRPr="00A35B3E">
              <w:t>Vårpropositionen</w:t>
            </w:r>
          </w:p>
        </w:tc>
        <w:tc>
          <w:tcPr>
            <w:tcW w:w="1559" w:type="dxa"/>
            <w:tcBorders>
              <w:bottom w:val="nil"/>
            </w:tcBorders>
          </w:tcPr>
          <w:p w:rsidR="0000161E" w:rsidRPr="00A35B3E" w:rsidRDefault="0000161E">
            <w:pPr>
              <w:spacing w:before="0" w:line="230" w:lineRule="auto"/>
              <w:rPr>
                <w:sz w:val="24"/>
              </w:rPr>
            </w:pPr>
          </w:p>
        </w:tc>
      </w:tr>
      <w:tr w:rsidR="00000000" w:rsidRPr="00A35B3E">
        <w:tblPrEx>
          <w:tblCellMar>
            <w:top w:w="0" w:type="dxa"/>
            <w:bottom w:w="0" w:type="dxa"/>
          </w:tblCellMar>
        </w:tblPrEx>
        <w:trPr>
          <w:cantSplit/>
          <w:trHeight w:hRule="exact" w:val="240"/>
        </w:trPr>
        <w:tc>
          <w:tcPr>
            <w:tcW w:w="6024" w:type="dxa"/>
            <w:gridSpan w:val="2"/>
            <w:vMerge/>
            <w:tcBorders>
              <w:top w:val="nil"/>
              <w:bottom w:val="nil"/>
            </w:tcBorders>
          </w:tcPr>
          <w:p w:rsidR="0000161E" w:rsidRPr="00A35B3E" w:rsidRDefault="0000161E">
            <w:pPr>
              <w:spacing w:before="40" w:after="900" w:line="280" w:lineRule="exact"/>
              <w:jc w:val="left"/>
              <w:rPr>
                <w:sz w:val="28"/>
              </w:rPr>
            </w:pPr>
          </w:p>
        </w:tc>
        <w:tc>
          <w:tcPr>
            <w:tcW w:w="1559" w:type="dxa"/>
          </w:tcPr>
          <w:p w:rsidR="0000161E" w:rsidRPr="00A35B3E" w:rsidRDefault="0000161E">
            <w:pPr>
              <w:pStyle w:val="rtal"/>
            </w:pPr>
            <w:r w:rsidRPr="00A35B3E">
              <w:t>1999/2000</w:t>
            </w:r>
          </w:p>
        </w:tc>
      </w:tr>
      <w:tr w:rsidR="00000000" w:rsidRPr="00A35B3E">
        <w:tblPrEx>
          <w:tblCellMar>
            <w:top w:w="0" w:type="dxa"/>
            <w:bottom w:w="0" w:type="dxa"/>
          </w:tblCellMar>
        </w:tblPrEx>
        <w:trPr>
          <w:cantSplit/>
          <w:trHeight w:val="560"/>
        </w:trPr>
        <w:tc>
          <w:tcPr>
            <w:tcW w:w="6024" w:type="dxa"/>
            <w:gridSpan w:val="2"/>
            <w:vMerge/>
            <w:tcBorders>
              <w:top w:val="nil"/>
              <w:bottom w:val="single" w:sz="6" w:space="0" w:color="auto"/>
            </w:tcBorders>
          </w:tcPr>
          <w:p w:rsidR="0000161E" w:rsidRPr="00A35B3E" w:rsidRDefault="0000161E">
            <w:pPr>
              <w:spacing w:before="40" w:after="900" w:line="280" w:lineRule="exact"/>
              <w:jc w:val="left"/>
              <w:rPr>
                <w:sz w:val="28"/>
              </w:rPr>
            </w:pPr>
          </w:p>
        </w:tc>
        <w:tc>
          <w:tcPr>
            <w:tcW w:w="1559" w:type="dxa"/>
            <w:tcBorders>
              <w:bottom w:val="single" w:sz="6" w:space="0" w:color="auto"/>
            </w:tcBorders>
          </w:tcPr>
          <w:p w:rsidR="0000161E" w:rsidRPr="00A35B3E" w:rsidRDefault="0000161E">
            <w:pPr>
              <w:pStyle w:val="rtal"/>
            </w:pPr>
            <w:r w:rsidRPr="00A35B3E">
              <w:t>JuU4y</w:t>
            </w:r>
          </w:p>
        </w:tc>
      </w:tr>
      <w:tr w:rsidR="00000000" w:rsidRPr="00A35B3E">
        <w:tblPrEx>
          <w:tblCellMar>
            <w:top w:w="0" w:type="dxa"/>
            <w:bottom w:w="0" w:type="dxa"/>
          </w:tblCellMar>
        </w:tblPrEx>
        <w:trPr>
          <w:cantSplit/>
          <w:trHeight w:hRule="exact" w:val="660"/>
        </w:trPr>
        <w:tc>
          <w:tcPr>
            <w:tcW w:w="3012" w:type="dxa"/>
          </w:tcPr>
          <w:p w:rsidR="0000161E" w:rsidRPr="00A35B3E" w:rsidRDefault="0000161E">
            <w:pPr>
              <w:pStyle w:val="StatusSida1"/>
            </w:pPr>
          </w:p>
        </w:tc>
        <w:tc>
          <w:tcPr>
            <w:tcW w:w="3012" w:type="dxa"/>
          </w:tcPr>
          <w:p w:rsidR="0000161E" w:rsidRPr="00A35B3E" w:rsidRDefault="0000161E">
            <w:pPr>
              <w:pStyle w:val="UtskriftsdatumSida1"/>
              <w:rPr>
                <w:b/>
                <w:sz w:val="28"/>
              </w:rPr>
            </w:pPr>
          </w:p>
        </w:tc>
        <w:tc>
          <w:tcPr>
            <w:tcW w:w="1559" w:type="dxa"/>
          </w:tcPr>
          <w:p w:rsidR="0000161E" w:rsidRPr="00A35B3E" w:rsidRDefault="0000161E"/>
        </w:tc>
      </w:tr>
    </w:tbl>
    <w:p w:rsidR="0000161E" w:rsidRPr="00A35B3E" w:rsidRDefault="0000161E">
      <w:pPr>
        <w:pStyle w:val="Rubrik1"/>
        <w:spacing w:before="0"/>
      </w:pPr>
      <w:bookmarkStart w:id="19" w:name="_Toc482686463"/>
      <w:r w:rsidRPr="00A35B3E">
        <w:t>Till finansutskottet</w:t>
      </w:r>
      <w:bookmarkEnd w:id="19"/>
    </w:p>
    <w:p w:rsidR="0000161E" w:rsidRPr="00A35B3E" w:rsidRDefault="0000161E">
      <w:pPr>
        <w:pStyle w:val="Rubrik2"/>
      </w:pPr>
      <w:bookmarkStart w:id="20" w:name="Textstart"/>
      <w:bookmarkStart w:id="21" w:name="_Toc451059665"/>
      <w:bookmarkStart w:id="22" w:name="_Toc482686464"/>
      <w:bookmarkEnd w:id="20"/>
      <w:r w:rsidRPr="00A35B3E">
        <w:t>Inledning</w:t>
      </w:r>
      <w:bookmarkEnd w:id="21"/>
      <w:bookmarkEnd w:id="22"/>
    </w:p>
    <w:p w:rsidR="0000161E" w:rsidRPr="00A35B3E" w:rsidRDefault="0000161E">
      <w:r w:rsidRPr="00A35B3E">
        <w:t>Finansutskottet har berett samtliga utskott tillfälle att avge yttrande över proposition 1999/2000:100 2000 års ekonomiska vårproposition med förslag till riktlinjer för den ekonomiska politiken, utgiftstak, ändrade anslag för budgetåret 2000, m.m. jämte motioner i de delar som berör respektive u</w:t>
      </w:r>
      <w:r w:rsidRPr="00A35B3E">
        <w:t>t</w:t>
      </w:r>
      <w:r w:rsidRPr="00A35B3E">
        <w:t xml:space="preserve">skotts beredningsområde. </w:t>
      </w:r>
    </w:p>
    <w:p w:rsidR="0000161E" w:rsidRPr="00A35B3E" w:rsidRDefault="0000161E">
      <w:pPr>
        <w:pStyle w:val="Normaltindrag"/>
      </w:pPr>
      <w:r w:rsidRPr="00A35B3E">
        <w:t>Med anledning av propositionen har motionerna 1999/2000:Fi12–Fi47 väckts.</w:t>
      </w:r>
    </w:p>
    <w:p w:rsidR="0000161E" w:rsidRPr="00A35B3E" w:rsidRDefault="0000161E">
      <w:pPr>
        <w:pStyle w:val="Normaltindrag"/>
      </w:pPr>
      <w:r w:rsidRPr="00A35B3E">
        <w:t>Utskottet avgränsar sitt yttrande till att avse frågor som rör utgiftsområde 4 Rättsväsendet. Tilläggsbudgeten för år 2000 i de delar som berör justitieu</w:t>
      </w:r>
      <w:r w:rsidRPr="00A35B3E">
        <w:t>t</w:t>
      </w:r>
      <w:r w:rsidRPr="00A35B3E">
        <w:t>skottet behandlas i ett separat yttrande (1999/2000:JuU5y).</w:t>
      </w:r>
    </w:p>
    <w:p w:rsidR="0000161E" w:rsidRPr="00A35B3E" w:rsidRDefault="0000161E">
      <w:pPr>
        <w:pStyle w:val="Normaltindrag"/>
      </w:pPr>
      <w:r w:rsidRPr="00A35B3E">
        <w:t>I propositionens yrkande 6 föreslår regeringen att riksdagen godkänner den preliminära fördelningen av utgifterna på utgiftsområden för åren 2001–2003 enligt tabell 7.1 som riktlinje för regeringens budgetarbete (avsnitt 7.1).</w:t>
      </w:r>
    </w:p>
    <w:p w:rsidR="0000161E" w:rsidRPr="00A35B3E" w:rsidRDefault="0000161E">
      <w:pPr>
        <w:pStyle w:val="Normaltindrag"/>
      </w:pPr>
      <w:r w:rsidRPr="00A35B3E">
        <w:t>I motion 1999/2000:Fi12 av Bo Lundgren m.fl. (m) yrkande 6 föreslås</w:t>
      </w:r>
      <w:r w:rsidRPr="00A35B3E">
        <w:rPr>
          <w:b/>
        </w:rPr>
        <w:t xml:space="preserve"> </w:t>
      </w:r>
      <w:r w:rsidRPr="00A35B3E">
        <w:t>att riksdagen godkänner den preliminära fördelningen av utgifterna på utgift</w:t>
      </w:r>
      <w:r w:rsidRPr="00A35B3E">
        <w:t>s</w:t>
      </w:r>
      <w:r w:rsidRPr="00A35B3E">
        <w:t>områden för åren 2001–2003 i enlighet med vad som anförts i motionen om riktlinje för budgetarbetet. I samma motion yrkande 18 begärs att riksdagen som sin mening ger regeringen till känna vad i motionen anförts om bättre rättssäkerhet och förbättrad trygghet.</w:t>
      </w:r>
    </w:p>
    <w:p w:rsidR="0000161E" w:rsidRPr="00A35B3E" w:rsidRDefault="0000161E">
      <w:pPr>
        <w:pStyle w:val="Normaltindrag"/>
      </w:pPr>
      <w:r w:rsidRPr="00A35B3E">
        <w:t>I motion 1999/2000:Fi13 av Alf Svensson m.fl. (kd) yrkande 3 föreslås att riksdagen godkänner den preliminära fördelningen av utgifterna på utgift</w:t>
      </w:r>
      <w:r w:rsidRPr="00A35B3E">
        <w:t>s</w:t>
      </w:r>
      <w:r w:rsidRPr="00A35B3E">
        <w:t>områden för åren 2001–2003 enligt tabell 9.1 som riktlinje för regeringens budgeta</w:t>
      </w:r>
      <w:r w:rsidRPr="00A35B3E">
        <w:t>r</w:t>
      </w:r>
      <w:r w:rsidRPr="00A35B3E">
        <w:t>bete (avsnitt 9).</w:t>
      </w:r>
    </w:p>
    <w:p w:rsidR="0000161E" w:rsidRPr="00A35B3E" w:rsidRDefault="0000161E">
      <w:pPr>
        <w:pStyle w:val="Normaltindrag"/>
      </w:pPr>
      <w:r w:rsidRPr="00A35B3E">
        <w:t>I motion 1999/2000:Fi14 av Lennart Daléus m.fl. (c) yrkande 17 föreslås att riksdagen godkänner den preliminära fördelningen av utgifterna på u</w:t>
      </w:r>
      <w:r w:rsidRPr="00A35B3E">
        <w:t>t</w:t>
      </w:r>
      <w:r w:rsidRPr="00A35B3E">
        <w:t>giftsområdena 1–27 åren 2001–2003 som riktlinjer för regeringens arbete i enlighet med vad i motionen anförts. I samma motion yrkande 12 begärs att riksdagen som sin mening ger regeringen till känna vad i motionen anförts om rättsväsendets inriktning.</w:t>
      </w:r>
    </w:p>
    <w:p w:rsidR="0000161E" w:rsidRPr="00A35B3E" w:rsidRDefault="0000161E">
      <w:pPr>
        <w:pStyle w:val="Normaltindrag"/>
      </w:pPr>
      <w:r w:rsidRPr="00A35B3E">
        <w:t>I motion 1999/2000:Fi15 av Lars Leijonborg m.fl. (fp) yrkande 6 föreslås att riksdagen godkänner den preliminära fördelningen av utgifterna på u</w:t>
      </w:r>
      <w:r w:rsidRPr="00A35B3E">
        <w:t>t</w:t>
      </w:r>
      <w:r w:rsidRPr="00A35B3E">
        <w:t>giftsområden för åren 2001–2003 som redovisas i motionen som riktlinjer för regeringens budgetarbete (tabell A).</w:t>
      </w:r>
    </w:p>
    <w:p w:rsidR="0000161E" w:rsidRPr="00A35B3E" w:rsidRDefault="0000161E">
      <w:pPr>
        <w:pStyle w:val="Normaltindrag"/>
      </w:pPr>
      <w:r w:rsidRPr="00A35B3E">
        <w:lastRenderedPageBreak/>
        <w:t>I motion 1999/2000:Fi24 av Marietta de Pourbaix–Lundin (m) yrkande 1 begärs att riksdagen som sin mening ger regeringen till känna vad i motionen anförts om utgiftsområde 4.</w:t>
      </w:r>
    </w:p>
    <w:p w:rsidR="0000161E" w:rsidRPr="00A35B3E" w:rsidRDefault="0000161E">
      <w:pPr>
        <w:pStyle w:val="Normaltindrag"/>
      </w:pPr>
      <w:r w:rsidRPr="00A35B3E">
        <w:t xml:space="preserve">I motion 1999/2000:Fi30 av Bo Lundgren m.fl. (m) yrkande 1 begärs att riksdagen som sin mening ger regeringen till känna vad i motionen anförts om resurser till polisen. I samma motion yrkande 2 begärs att riksdagen som sin mening ger regeringen till känna vad i motionen anförts om att rusta upp rättsväsendet. </w:t>
      </w:r>
    </w:p>
    <w:p w:rsidR="0000161E" w:rsidRPr="00A35B3E" w:rsidRDefault="0000161E">
      <w:pPr>
        <w:pStyle w:val="Normaltindrag"/>
      </w:pPr>
      <w:r w:rsidRPr="00A35B3E">
        <w:t>Ärendet föranleder följande yttrande från justitieutskottet.</w:t>
      </w:r>
    </w:p>
    <w:p w:rsidR="0000161E" w:rsidRPr="00A35B3E" w:rsidRDefault="0000161E">
      <w:pPr>
        <w:pStyle w:val="Rubrik2"/>
      </w:pPr>
      <w:bookmarkStart w:id="23" w:name="_Toc451059666"/>
      <w:bookmarkStart w:id="24" w:name="_Toc482686465"/>
      <w:r w:rsidRPr="00A35B3E">
        <w:t>Utskottet</w:t>
      </w:r>
      <w:bookmarkEnd w:id="23"/>
      <w:bookmarkEnd w:id="24"/>
    </w:p>
    <w:p w:rsidR="0000161E" w:rsidRPr="00A35B3E" w:rsidRDefault="0000161E">
      <w:pPr>
        <w:pStyle w:val="Rubrik3"/>
        <w:spacing w:before="123"/>
      </w:pPr>
      <w:bookmarkStart w:id="25" w:name="_Toc451059667"/>
      <w:bookmarkStart w:id="26" w:name="_Toc482686466"/>
      <w:r w:rsidRPr="00A35B3E">
        <w:t>Propositionen</w:t>
      </w:r>
      <w:bookmarkEnd w:id="25"/>
      <w:bookmarkEnd w:id="26"/>
    </w:p>
    <w:p w:rsidR="0000161E" w:rsidRPr="00A35B3E" w:rsidRDefault="0000161E">
      <w:r w:rsidRPr="00A35B3E">
        <w:t>I propositionen lägger regeringen fram förslag till riktlinjer för den ekon</w:t>
      </w:r>
      <w:r w:rsidRPr="00A35B3E">
        <w:t>o</w:t>
      </w:r>
      <w:r w:rsidRPr="00A35B3E">
        <w:t>miska politiken. Regeringen föreslår därvid utgiftstak för staten år 2001–2003 samt sätter upp mål för det finansiella sparandet i offentlig sektor. Reg</w:t>
      </w:r>
      <w:r w:rsidRPr="00A35B3E">
        <w:t>e</w:t>
      </w:r>
      <w:r w:rsidRPr="00A35B3E">
        <w:t>ringen aviserar inom ramen för budgetmålen en politik för jämlikhet och utveckling. Regeringen redovisar även sin bedömning av kommunsektorns ekonomiska utveckling m.m. samt lämnar förslag till tilläggsbudget för bu</w:t>
      </w:r>
      <w:r w:rsidRPr="00A35B3E">
        <w:t>d</w:t>
      </w:r>
      <w:r w:rsidRPr="00A35B3E">
        <w:t xml:space="preserve">getåret 2000. </w:t>
      </w:r>
    </w:p>
    <w:p w:rsidR="0000161E" w:rsidRPr="00A35B3E" w:rsidRDefault="0000161E">
      <w:pPr>
        <w:pStyle w:val="Normaltindrag"/>
      </w:pPr>
      <w:r w:rsidRPr="00A35B3E">
        <w:t>Utgiftsområde 4 Rättsväsendet omfattar bl.a. polisväsendet, åklagarväse</w:t>
      </w:r>
      <w:r w:rsidRPr="00A35B3E">
        <w:t>n</w:t>
      </w:r>
      <w:r w:rsidRPr="00A35B3E">
        <w:t>det, domstolsväsendet, kriminalvården, exekutionsväsendet, Brottsföreby</w:t>
      </w:r>
      <w:r w:rsidRPr="00A35B3E">
        <w:t>g</w:t>
      </w:r>
      <w:r w:rsidRPr="00A35B3E">
        <w:t>gande rådet (BRÅ) och Brottsoffermyndigheten. De totala utgifterna för området uppgår för innevarande år till cirka 22,7 miljarder kronor. Härav avser utgifterna för polisv</w:t>
      </w:r>
      <w:r w:rsidRPr="00A35B3E">
        <w:t>ä</w:t>
      </w:r>
      <w:r w:rsidRPr="00A35B3E">
        <w:t xml:space="preserve">sendet drygt hälften. </w:t>
      </w:r>
    </w:p>
    <w:p w:rsidR="0000161E" w:rsidRPr="00A35B3E" w:rsidRDefault="0000161E">
      <w:pPr>
        <w:pStyle w:val="Normaltindrag"/>
      </w:pPr>
      <w:r w:rsidRPr="00A35B3E">
        <w:t>Riksdagen godkände i sitt budgetbeslut hösten 1999 den preliminära fö</w:t>
      </w:r>
      <w:r w:rsidRPr="00A35B3E">
        <w:t>r</w:t>
      </w:r>
      <w:r w:rsidRPr="00A35B3E">
        <w:t>delningen av utgifterna på utgiftsområden för åren 2001 och 2002 som rik</w:t>
      </w:r>
      <w:r w:rsidRPr="00A35B3E">
        <w:t>t</w:t>
      </w:r>
      <w:r w:rsidRPr="00A35B3E">
        <w:t xml:space="preserve">linje för regeringens budgetarbete (se bet. 1999/2000:FiU1 s. 240 f och 257). Utgiftsområde 4 bestämdes därvid preliminärt till 23 019 miljoner kronor för år 2001 och 23 382 miljoner kronor för år 2002. </w:t>
      </w:r>
    </w:p>
    <w:p w:rsidR="0000161E" w:rsidRPr="00A35B3E" w:rsidRDefault="0000161E">
      <w:pPr>
        <w:pStyle w:val="Normaltindrag"/>
      </w:pPr>
      <w:r w:rsidRPr="00A35B3E">
        <w:t>För år 2003 föreslår regeringen nu en utgiftsram på 25 737 miljoner kr</w:t>
      </w:r>
      <w:r w:rsidRPr="00A35B3E">
        <w:t>o</w:t>
      </w:r>
      <w:r w:rsidRPr="00A35B3E">
        <w:t xml:space="preserve">nor. Samtidigt revideras de tidigare besluten avseende budgetåren 2001 och 2002. För år 2001 föreslås en höjning om drygt 1 miljard kronor och för år 2002 föreslås en höjning om drygt 1,7 miljarder kronor. </w:t>
      </w:r>
    </w:p>
    <w:p w:rsidR="0000161E" w:rsidRPr="00A35B3E" w:rsidRDefault="0000161E">
      <w:pPr>
        <w:pStyle w:val="Normaltindrag"/>
      </w:pPr>
      <w:r w:rsidRPr="00A35B3E">
        <w:t>Tidigare anslagsbeslut för innevarande budgetår, tidigare preliminära ra</w:t>
      </w:r>
      <w:r w:rsidRPr="00A35B3E">
        <w:t>m</w:t>
      </w:r>
      <w:r w:rsidRPr="00A35B3E">
        <w:t>beslut för åren 2001 och 2002 och preliminära ramförslag för åren 2001–2003 i den nu aktuella propositionen framgår av nedanstående tabell. Beloppen avser miljoner kronor.</w:t>
      </w:r>
    </w:p>
    <w:p w:rsidR="0000161E" w:rsidRPr="00A35B3E" w:rsidRDefault="0000161E">
      <w:pPr>
        <w:pStyle w:val="Normaltindrag"/>
      </w:pPr>
    </w:p>
    <w:tbl>
      <w:tblPr>
        <w:tblW w:w="0" w:type="auto"/>
        <w:tblInd w:w="-92" w:type="dxa"/>
        <w:tblBorders>
          <w:top w:val="single" w:sz="12" w:space="0" w:color="000000"/>
          <w:left w:val="single" w:sz="12" w:space="0" w:color="000000"/>
          <w:bottom w:val="single" w:sz="12" w:space="0" w:color="000000"/>
          <w:right w:val="single" w:sz="12" w:space="0" w:color="000000"/>
        </w:tblBorders>
        <w:tblLayout w:type="fixed"/>
        <w:tblCellMar>
          <w:left w:w="70" w:type="dxa"/>
          <w:right w:w="70" w:type="dxa"/>
        </w:tblCellMar>
        <w:tblLook w:val="00B7" w:firstRow="1" w:lastRow="0" w:firstColumn="1" w:lastColumn="0" w:noHBand="0" w:noVBand="0"/>
      </w:tblPr>
      <w:tblGrid>
        <w:gridCol w:w="3614"/>
        <w:gridCol w:w="851"/>
        <w:gridCol w:w="992"/>
        <w:gridCol w:w="850"/>
        <w:gridCol w:w="851"/>
      </w:tblGrid>
      <w:tr w:rsidR="00000000" w:rsidRPr="00A35B3E">
        <w:tblPrEx>
          <w:tblCellMar>
            <w:top w:w="0" w:type="dxa"/>
            <w:bottom w:w="0" w:type="dxa"/>
          </w:tblCellMar>
        </w:tblPrEx>
        <w:tc>
          <w:tcPr>
            <w:tcW w:w="3614" w:type="dxa"/>
            <w:tcBorders>
              <w:top w:val="single" w:sz="18" w:space="0" w:color="auto"/>
              <w:left w:val="single" w:sz="18" w:space="0" w:color="auto"/>
              <w:bottom w:val="single" w:sz="18" w:space="0" w:color="auto"/>
              <w:right w:val="nil"/>
            </w:tcBorders>
          </w:tcPr>
          <w:p w:rsidR="0000161E" w:rsidRPr="00A35B3E" w:rsidRDefault="0000161E">
            <w:pPr>
              <w:pStyle w:val="Normaltindrag"/>
              <w:rPr>
                <w:sz w:val="18"/>
              </w:rPr>
            </w:pPr>
          </w:p>
        </w:tc>
        <w:tc>
          <w:tcPr>
            <w:tcW w:w="851" w:type="dxa"/>
            <w:tcBorders>
              <w:top w:val="single" w:sz="18" w:space="0" w:color="auto"/>
              <w:left w:val="single" w:sz="12" w:space="0" w:color="auto"/>
              <w:bottom w:val="single" w:sz="18" w:space="0" w:color="auto"/>
              <w:right w:val="single" w:sz="12" w:space="0" w:color="auto"/>
            </w:tcBorders>
          </w:tcPr>
          <w:p w:rsidR="0000161E" w:rsidRPr="00A35B3E" w:rsidRDefault="0000161E">
            <w:pPr>
              <w:pStyle w:val="Normaltindrag"/>
              <w:rPr>
                <w:sz w:val="18"/>
              </w:rPr>
            </w:pPr>
            <w:r w:rsidRPr="00A35B3E">
              <w:rPr>
                <w:sz w:val="18"/>
              </w:rPr>
              <w:t>2000</w:t>
            </w:r>
          </w:p>
        </w:tc>
        <w:tc>
          <w:tcPr>
            <w:tcW w:w="992" w:type="dxa"/>
            <w:tcBorders>
              <w:top w:val="single" w:sz="18" w:space="0" w:color="auto"/>
              <w:left w:val="nil"/>
              <w:bottom w:val="single" w:sz="18" w:space="0" w:color="auto"/>
              <w:right w:val="nil"/>
            </w:tcBorders>
          </w:tcPr>
          <w:p w:rsidR="0000161E" w:rsidRPr="00A35B3E" w:rsidRDefault="0000161E">
            <w:pPr>
              <w:pStyle w:val="Normaltindrag"/>
              <w:rPr>
                <w:sz w:val="18"/>
              </w:rPr>
            </w:pPr>
            <w:r w:rsidRPr="00A35B3E">
              <w:rPr>
                <w:sz w:val="18"/>
              </w:rPr>
              <w:t>2001</w:t>
            </w:r>
          </w:p>
        </w:tc>
        <w:tc>
          <w:tcPr>
            <w:tcW w:w="850" w:type="dxa"/>
            <w:tcBorders>
              <w:top w:val="single" w:sz="18" w:space="0" w:color="auto"/>
              <w:left w:val="single" w:sz="12" w:space="0" w:color="auto"/>
              <w:bottom w:val="single" w:sz="18" w:space="0" w:color="auto"/>
              <w:right w:val="single" w:sz="12" w:space="0" w:color="auto"/>
            </w:tcBorders>
          </w:tcPr>
          <w:p w:rsidR="0000161E" w:rsidRPr="00A35B3E" w:rsidRDefault="0000161E">
            <w:pPr>
              <w:pStyle w:val="Normaltindrag"/>
              <w:rPr>
                <w:sz w:val="18"/>
              </w:rPr>
            </w:pPr>
            <w:r w:rsidRPr="00A35B3E">
              <w:rPr>
                <w:sz w:val="18"/>
              </w:rPr>
              <w:t>2002</w:t>
            </w:r>
          </w:p>
        </w:tc>
        <w:tc>
          <w:tcPr>
            <w:tcW w:w="851" w:type="dxa"/>
            <w:tcBorders>
              <w:top w:val="single" w:sz="18" w:space="0" w:color="auto"/>
              <w:left w:val="nil"/>
              <w:bottom w:val="single" w:sz="18" w:space="0" w:color="auto"/>
              <w:right w:val="single" w:sz="18" w:space="0" w:color="auto"/>
            </w:tcBorders>
          </w:tcPr>
          <w:p w:rsidR="0000161E" w:rsidRPr="00A35B3E" w:rsidRDefault="0000161E">
            <w:pPr>
              <w:pStyle w:val="Normaltindrag"/>
              <w:rPr>
                <w:sz w:val="18"/>
              </w:rPr>
            </w:pPr>
            <w:r w:rsidRPr="00A35B3E">
              <w:rPr>
                <w:sz w:val="18"/>
              </w:rPr>
              <w:t>2003</w:t>
            </w:r>
          </w:p>
        </w:tc>
      </w:tr>
      <w:tr w:rsidR="00000000" w:rsidRPr="00A35B3E">
        <w:tblPrEx>
          <w:tblCellMar>
            <w:top w:w="0" w:type="dxa"/>
            <w:bottom w:w="0" w:type="dxa"/>
          </w:tblCellMar>
        </w:tblPrEx>
        <w:tc>
          <w:tcPr>
            <w:tcW w:w="3614" w:type="dxa"/>
            <w:tcBorders>
              <w:top w:val="single" w:sz="18" w:space="0" w:color="auto"/>
              <w:left w:val="single" w:sz="18" w:space="0" w:color="auto"/>
              <w:bottom w:val="nil"/>
              <w:right w:val="nil"/>
            </w:tcBorders>
          </w:tcPr>
          <w:p w:rsidR="0000161E" w:rsidRPr="00A35B3E" w:rsidRDefault="0000161E">
            <w:pPr>
              <w:pStyle w:val="Normaltindrag"/>
              <w:rPr>
                <w:sz w:val="18"/>
              </w:rPr>
            </w:pPr>
          </w:p>
        </w:tc>
        <w:tc>
          <w:tcPr>
            <w:tcW w:w="851" w:type="dxa"/>
            <w:tcBorders>
              <w:top w:val="single" w:sz="18" w:space="0" w:color="auto"/>
              <w:left w:val="single" w:sz="12" w:space="0" w:color="auto"/>
              <w:bottom w:val="nil"/>
              <w:right w:val="single" w:sz="12" w:space="0" w:color="auto"/>
            </w:tcBorders>
          </w:tcPr>
          <w:p w:rsidR="0000161E" w:rsidRPr="00A35B3E" w:rsidRDefault="0000161E">
            <w:pPr>
              <w:pStyle w:val="Normaltindrag"/>
              <w:rPr>
                <w:sz w:val="18"/>
              </w:rPr>
            </w:pPr>
          </w:p>
        </w:tc>
        <w:tc>
          <w:tcPr>
            <w:tcW w:w="992" w:type="dxa"/>
            <w:tcBorders>
              <w:top w:val="single" w:sz="18" w:space="0" w:color="auto"/>
              <w:left w:val="nil"/>
              <w:bottom w:val="nil"/>
              <w:right w:val="nil"/>
            </w:tcBorders>
          </w:tcPr>
          <w:p w:rsidR="0000161E" w:rsidRPr="00A35B3E" w:rsidRDefault="0000161E">
            <w:pPr>
              <w:pStyle w:val="Normaltindrag"/>
              <w:rPr>
                <w:sz w:val="18"/>
              </w:rPr>
            </w:pPr>
          </w:p>
        </w:tc>
        <w:tc>
          <w:tcPr>
            <w:tcW w:w="850" w:type="dxa"/>
            <w:tcBorders>
              <w:top w:val="single" w:sz="18" w:space="0" w:color="auto"/>
              <w:left w:val="single" w:sz="12" w:space="0" w:color="auto"/>
              <w:bottom w:val="nil"/>
              <w:right w:val="single" w:sz="12" w:space="0" w:color="auto"/>
            </w:tcBorders>
          </w:tcPr>
          <w:p w:rsidR="0000161E" w:rsidRPr="00A35B3E" w:rsidRDefault="0000161E">
            <w:pPr>
              <w:pStyle w:val="Normaltindrag"/>
              <w:rPr>
                <w:sz w:val="18"/>
              </w:rPr>
            </w:pPr>
          </w:p>
        </w:tc>
        <w:tc>
          <w:tcPr>
            <w:tcW w:w="851" w:type="dxa"/>
            <w:tcBorders>
              <w:top w:val="single" w:sz="18" w:space="0" w:color="auto"/>
              <w:left w:val="nil"/>
              <w:bottom w:val="nil"/>
              <w:right w:val="single" w:sz="18" w:space="0" w:color="auto"/>
            </w:tcBorders>
          </w:tcPr>
          <w:p w:rsidR="0000161E" w:rsidRPr="00A35B3E" w:rsidRDefault="0000161E">
            <w:pPr>
              <w:pStyle w:val="Normaltindrag"/>
              <w:rPr>
                <w:sz w:val="18"/>
              </w:rPr>
            </w:pPr>
          </w:p>
        </w:tc>
      </w:tr>
      <w:tr w:rsidR="00000000" w:rsidRPr="00A35B3E">
        <w:tblPrEx>
          <w:tblCellMar>
            <w:top w:w="0" w:type="dxa"/>
            <w:bottom w:w="0" w:type="dxa"/>
          </w:tblCellMar>
        </w:tblPrEx>
        <w:tc>
          <w:tcPr>
            <w:tcW w:w="3614" w:type="dxa"/>
            <w:tcBorders>
              <w:top w:val="single" w:sz="6" w:space="0" w:color="auto"/>
              <w:left w:val="single" w:sz="18" w:space="0" w:color="auto"/>
              <w:bottom w:val="single" w:sz="6" w:space="0" w:color="auto"/>
              <w:right w:val="nil"/>
            </w:tcBorders>
          </w:tcPr>
          <w:p w:rsidR="0000161E" w:rsidRPr="00A35B3E" w:rsidRDefault="0000161E">
            <w:pPr>
              <w:pStyle w:val="Normaltindrag"/>
              <w:rPr>
                <w:sz w:val="18"/>
              </w:rPr>
            </w:pPr>
            <w:r w:rsidRPr="00A35B3E">
              <w:rPr>
                <w:sz w:val="18"/>
              </w:rPr>
              <w:t>Anslag</w:t>
            </w:r>
          </w:p>
        </w:tc>
        <w:tc>
          <w:tcPr>
            <w:tcW w:w="851" w:type="dxa"/>
            <w:tcBorders>
              <w:top w:val="single" w:sz="6" w:space="0" w:color="auto"/>
              <w:left w:val="single" w:sz="12" w:space="0" w:color="auto"/>
              <w:bottom w:val="single" w:sz="6" w:space="0" w:color="auto"/>
              <w:right w:val="single" w:sz="12" w:space="0" w:color="auto"/>
            </w:tcBorders>
          </w:tcPr>
          <w:p w:rsidR="0000161E" w:rsidRPr="00A35B3E" w:rsidRDefault="0000161E">
            <w:pPr>
              <w:pStyle w:val="Normaltindrag"/>
              <w:rPr>
                <w:sz w:val="18"/>
              </w:rPr>
            </w:pPr>
            <w:r w:rsidRPr="00A35B3E">
              <w:rPr>
                <w:sz w:val="18"/>
              </w:rPr>
              <w:t>22 667</w:t>
            </w:r>
          </w:p>
        </w:tc>
        <w:tc>
          <w:tcPr>
            <w:tcW w:w="992" w:type="dxa"/>
            <w:tcBorders>
              <w:top w:val="single" w:sz="6" w:space="0" w:color="auto"/>
              <w:left w:val="nil"/>
              <w:bottom w:val="single" w:sz="6" w:space="0" w:color="auto"/>
              <w:right w:val="nil"/>
            </w:tcBorders>
          </w:tcPr>
          <w:p w:rsidR="0000161E" w:rsidRPr="00A35B3E" w:rsidRDefault="0000161E">
            <w:pPr>
              <w:pStyle w:val="Normaltindrag"/>
              <w:rPr>
                <w:sz w:val="18"/>
              </w:rPr>
            </w:pPr>
          </w:p>
        </w:tc>
        <w:tc>
          <w:tcPr>
            <w:tcW w:w="850" w:type="dxa"/>
            <w:tcBorders>
              <w:top w:val="single" w:sz="6" w:space="0" w:color="auto"/>
              <w:left w:val="single" w:sz="12" w:space="0" w:color="auto"/>
              <w:bottom w:val="single" w:sz="6" w:space="0" w:color="auto"/>
              <w:right w:val="single" w:sz="12" w:space="0" w:color="auto"/>
            </w:tcBorders>
          </w:tcPr>
          <w:p w:rsidR="0000161E" w:rsidRPr="00A35B3E" w:rsidRDefault="0000161E">
            <w:pPr>
              <w:pStyle w:val="Normaltindrag"/>
              <w:rPr>
                <w:sz w:val="18"/>
              </w:rPr>
            </w:pPr>
          </w:p>
        </w:tc>
        <w:tc>
          <w:tcPr>
            <w:tcW w:w="851" w:type="dxa"/>
            <w:tcBorders>
              <w:top w:val="single" w:sz="6" w:space="0" w:color="auto"/>
              <w:left w:val="nil"/>
              <w:bottom w:val="single" w:sz="6" w:space="0" w:color="auto"/>
              <w:right w:val="single" w:sz="18" w:space="0" w:color="auto"/>
            </w:tcBorders>
          </w:tcPr>
          <w:p w:rsidR="0000161E" w:rsidRPr="00A35B3E" w:rsidRDefault="0000161E">
            <w:pPr>
              <w:pStyle w:val="Normaltindrag"/>
              <w:rPr>
                <w:sz w:val="18"/>
              </w:rPr>
            </w:pPr>
          </w:p>
        </w:tc>
      </w:tr>
      <w:tr w:rsidR="00000000" w:rsidRPr="00A35B3E">
        <w:tblPrEx>
          <w:tblCellMar>
            <w:top w:w="0" w:type="dxa"/>
            <w:bottom w:w="0" w:type="dxa"/>
          </w:tblCellMar>
        </w:tblPrEx>
        <w:tc>
          <w:tcPr>
            <w:tcW w:w="3614" w:type="dxa"/>
            <w:tcBorders>
              <w:top w:val="nil"/>
              <w:left w:val="single" w:sz="18" w:space="0" w:color="auto"/>
              <w:bottom w:val="nil"/>
              <w:right w:val="nil"/>
            </w:tcBorders>
          </w:tcPr>
          <w:p w:rsidR="0000161E" w:rsidRPr="00A35B3E" w:rsidRDefault="0000161E">
            <w:pPr>
              <w:pStyle w:val="Normaltindrag"/>
              <w:rPr>
                <w:sz w:val="18"/>
              </w:rPr>
            </w:pPr>
            <w:r w:rsidRPr="00A35B3E">
              <w:rPr>
                <w:sz w:val="18"/>
              </w:rPr>
              <w:t>Preliminärt rambeslut (1999/2000:FiU1)</w:t>
            </w:r>
          </w:p>
        </w:tc>
        <w:tc>
          <w:tcPr>
            <w:tcW w:w="851" w:type="dxa"/>
            <w:tcBorders>
              <w:top w:val="nil"/>
              <w:left w:val="single" w:sz="12" w:space="0" w:color="auto"/>
              <w:bottom w:val="nil"/>
              <w:right w:val="single" w:sz="12" w:space="0" w:color="auto"/>
            </w:tcBorders>
          </w:tcPr>
          <w:p w:rsidR="0000161E" w:rsidRPr="00A35B3E" w:rsidRDefault="0000161E">
            <w:pPr>
              <w:pStyle w:val="Normaltindrag"/>
              <w:rPr>
                <w:sz w:val="18"/>
              </w:rPr>
            </w:pPr>
          </w:p>
        </w:tc>
        <w:tc>
          <w:tcPr>
            <w:tcW w:w="992" w:type="dxa"/>
            <w:tcBorders>
              <w:top w:val="nil"/>
              <w:left w:val="nil"/>
              <w:bottom w:val="nil"/>
              <w:right w:val="nil"/>
            </w:tcBorders>
          </w:tcPr>
          <w:p w:rsidR="0000161E" w:rsidRPr="00A35B3E" w:rsidRDefault="0000161E">
            <w:pPr>
              <w:pStyle w:val="Normaltindrag"/>
              <w:rPr>
                <w:sz w:val="18"/>
              </w:rPr>
            </w:pPr>
            <w:r w:rsidRPr="00A35B3E">
              <w:rPr>
                <w:sz w:val="18"/>
              </w:rPr>
              <w:t>23 019</w:t>
            </w:r>
          </w:p>
        </w:tc>
        <w:tc>
          <w:tcPr>
            <w:tcW w:w="850" w:type="dxa"/>
            <w:tcBorders>
              <w:top w:val="nil"/>
              <w:left w:val="single" w:sz="12" w:space="0" w:color="auto"/>
              <w:bottom w:val="nil"/>
              <w:right w:val="single" w:sz="12" w:space="0" w:color="auto"/>
            </w:tcBorders>
          </w:tcPr>
          <w:p w:rsidR="0000161E" w:rsidRPr="00A35B3E" w:rsidRDefault="0000161E">
            <w:pPr>
              <w:pStyle w:val="Normaltindrag"/>
              <w:rPr>
                <w:sz w:val="18"/>
              </w:rPr>
            </w:pPr>
            <w:r w:rsidRPr="00A35B3E">
              <w:rPr>
                <w:sz w:val="18"/>
              </w:rPr>
              <w:t>23 382</w:t>
            </w:r>
          </w:p>
        </w:tc>
        <w:tc>
          <w:tcPr>
            <w:tcW w:w="851" w:type="dxa"/>
            <w:tcBorders>
              <w:top w:val="nil"/>
              <w:left w:val="nil"/>
              <w:bottom w:val="nil"/>
              <w:right w:val="single" w:sz="18" w:space="0" w:color="auto"/>
            </w:tcBorders>
          </w:tcPr>
          <w:p w:rsidR="0000161E" w:rsidRPr="00A35B3E" w:rsidRDefault="0000161E">
            <w:pPr>
              <w:pStyle w:val="Normaltindrag"/>
              <w:rPr>
                <w:sz w:val="18"/>
              </w:rPr>
            </w:pPr>
          </w:p>
        </w:tc>
      </w:tr>
      <w:tr w:rsidR="00000000" w:rsidRPr="00A35B3E">
        <w:tblPrEx>
          <w:tblCellMar>
            <w:top w:w="0" w:type="dxa"/>
            <w:bottom w:w="0" w:type="dxa"/>
          </w:tblCellMar>
        </w:tblPrEx>
        <w:tc>
          <w:tcPr>
            <w:tcW w:w="3614" w:type="dxa"/>
            <w:tcBorders>
              <w:top w:val="single" w:sz="6" w:space="0" w:color="000000"/>
              <w:left w:val="single" w:sz="18" w:space="0" w:color="auto"/>
              <w:bottom w:val="single" w:sz="6" w:space="0" w:color="000000"/>
              <w:right w:val="nil"/>
            </w:tcBorders>
          </w:tcPr>
          <w:p w:rsidR="0000161E" w:rsidRPr="00A35B3E" w:rsidRDefault="0000161E">
            <w:pPr>
              <w:pStyle w:val="Normaltindrag"/>
              <w:ind w:right="-70"/>
              <w:rPr>
                <w:sz w:val="18"/>
              </w:rPr>
            </w:pPr>
            <w:r w:rsidRPr="00A35B3E">
              <w:rPr>
                <w:sz w:val="18"/>
              </w:rPr>
              <w:t>Preliminärt ramförslag (prop. 1999/2000:100)</w:t>
            </w:r>
          </w:p>
        </w:tc>
        <w:tc>
          <w:tcPr>
            <w:tcW w:w="851" w:type="dxa"/>
            <w:tcBorders>
              <w:top w:val="single" w:sz="6" w:space="0" w:color="000000"/>
              <w:left w:val="single" w:sz="12" w:space="0" w:color="auto"/>
              <w:bottom w:val="single" w:sz="6" w:space="0" w:color="000000"/>
              <w:right w:val="single" w:sz="12" w:space="0" w:color="auto"/>
            </w:tcBorders>
          </w:tcPr>
          <w:p w:rsidR="0000161E" w:rsidRPr="00A35B3E" w:rsidRDefault="0000161E">
            <w:pPr>
              <w:pStyle w:val="Normaltindrag"/>
              <w:rPr>
                <w:sz w:val="18"/>
              </w:rPr>
            </w:pPr>
          </w:p>
        </w:tc>
        <w:tc>
          <w:tcPr>
            <w:tcW w:w="992" w:type="dxa"/>
            <w:tcBorders>
              <w:top w:val="single" w:sz="6" w:space="0" w:color="000000"/>
              <w:left w:val="nil"/>
              <w:bottom w:val="single" w:sz="6" w:space="0" w:color="000000"/>
              <w:right w:val="nil"/>
            </w:tcBorders>
          </w:tcPr>
          <w:p w:rsidR="0000161E" w:rsidRPr="00A35B3E" w:rsidRDefault="0000161E">
            <w:pPr>
              <w:pStyle w:val="Normaltindrag"/>
              <w:rPr>
                <w:sz w:val="18"/>
              </w:rPr>
            </w:pPr>
            <w:r w:rsidRPr="00A35B3E">
              <w:rPr>
                <w:sz w:val="18"/>
              </w:rPr>
              <w:t>24 032</w:t>
            </w:r>
          </w:p>
        </w:tc>
        <w:tc>
          <w:tcPr>
            <w:tcW w:w="850" w:type="dxa"/>
            <w:tcBorders>
              <w:top w:val="single" w:sz="6" w:space="0" w:color="000000"/>
              <w:left w:val="single" w:sz="12" w:space="0" w:color="auto"/>
              <w:bottom w:val="single" w:sz="6" w:space="0" w:color="000000"/>
              <w:right w:val="single" w:sz="12" w:space="0" w:color="auto"/>
            </w:tcBorders>
          </w:tcPr>
          <w:p w:rsidR="0000161E" w:rsidRPr="00A35B3E" w:rsidRDefault="0000161E">
            <w:pPr>
              <w:pStyle w:val="Normaltindrag"/>
              <w:rPr>
                <w:sz w:val="18"/>
              </w:rPr>
            </w:pPr>
            <w:r w:rsidRPr="00A35B3E">
              <w:rPr>
                <w:sz w:val="18"/>
              </w:rPr>
              <w:t>25 102</w:t>
            </w:r>
          </w:p>
        </w:tc>
        <w:tc>
          <w:tcPr>
            <w:tcW w:w="851" w:type="dxa"/>
            <w:tcBorders>
              <w:top w:val="single" w:sz="6" w:space="0" w:color="000000"/>
              <w:left w:val="nil"/>
              <w:bottom w:val="single" w:sz="6" w:space="0" w:color="000000"/>
              <w:right w:val="single" w:sz="18" w:space="0" w:color="auto"/>
            </w:tcBorders>
          </w:tcPr>
          <w:p w:rsidR="0000161E" w:rsidRPr="00A35B3E" w:rsidRDefault="0000161E">
            <w:pPr>
              <w:pStyle w:val="Normaltindrag"/>
              <w:rPr>
                <w:sz w:val="18"/>
              </w:rPr>
            </w:pPr>
            <w:r w:rsidRPr="00A35B3E">
              <w:rPr>
                <w:sz w:val="18"/>
              </w:rPr>
              <w:t>25 737</w:t>
            </w:r>
          </w:p>
        </w:tc>
      </w:tr>
      <w:tr w:rsidR="00000000" w:rsidRPr="00A35B3E">
        <w:tblPrEx>
          <w:tblCellMar>
            <w:top w:w="0" w:type="dxa"/>
            <w:bottom w:w="0" w:type="dxa"/>
          </w:tblCellMar>
        </w:tblPrEx>
        <w:tc>
          <w:tcPr>
            <w:tcW w:w="3614" w:type="dxa"/>
            <w:tcBorders>
              <w:top w:val="single" w:sz="6" w:space="0" w:color="000000"/>
              <w:left w:val="single" w:sz="18" w:space="0" w:color="auto"/>
              <w:bottom w:val="single" w:sz="18" w:space="0" w:color="auto"/>
              <w:right w:val="nil"/>
            </w:tcBorders>
          </w:tcPr>
          <w:p w:rsidR="0000161E" w:rsidRPr="00A35B3E" w:rsidRDefault="0000161E">
            <w:pPr>
              <w:pStyle w:val="Normaltindrag"/>
              <w:ind w:right="-70"/>
            </w:pPr>
          </w:p>
        </w:tc>
        <w:tc>
          <w:tcPr>
            <w:tcW w:w="851" w:type="dxa"/>
            <w:tcBorders>
              <w:top w:val="single" w:sz="6" w:space="0" w:color="000000"/>
              <w:left w:val="single" w:sz="12" w:space="0" w:color="auto"/>
              <w:bottom w:val="single" w:sz="18" w:space="0" w:color="auto"/>
              <w:right w:val="single" w:sz="12" w:space="0" w:color="auto"/>
            </w:tcBorders>
          </w:tcPr>
          <w:p w:rsidR="0000161E" w:rsidRPr="00A35B3E" w:rsidRDefault="0000161E">
            <w:pPr>
              <w:pStyle w:val="Normaltindrag"/>
              <w:jc w:val="right"/>
            </w:pPr>
          </w:p>
        </w:tc>
        <w:tc>
          <w:tcPr>
            <w:tcW w:w="992" w:type="dxa"/>
            <w:tcBorders>
              <w:top w:val="single" w:sz="6" w:space="0" w:color="000000"/>
              <w:left w:val="nil"/>
              <w:bottom w:val="single" w:sz="18" w:space="0" w:color="auto"/>
              <w:right w:val="nil"/>
            </w:tcBorders>
          </w:tcPr>
          <w:p w:rsidR="0000161E" w:rsidRPr="00A35B3E" w:rsidRDefault="0000161E">
            <w:pPr>
              <w:pStyle w:val="Normaltindrag"/>
              <w:jc w:val="right"/>
            </w:pPr>
          </w:p>
        </w:tc>
        <w:tc>
          <w:tcPr>
            <w:tcW w:w="850" w:type="dxa"/>
            <w:tcBorders>
              <w:top w:val="single" w:sz="6" w:space="0" w:color="000000"/>
              <w:left w:val="single" w:sz="12" w:space="0" w:color="auto"/>
              <w:bottom w:val="single" w:sz="18" w:space="0" w:color="auto"/>
              <w:right w:val="single" w:sz="12" w:space="0" w:color="auto"/>
            </w:tcBorders>
          </w:tcPr>
          <w:p w:rsidR="0000161E" w:rsidRPr="00A35B3E" w:rsidRDefault="0000161E">
            <w:pPr>
              <w:pStyle w:val="Normaltindrag"/>
              <w:jc w:val="right"/>
            </w:pPr>
          </w:p>
        </w:tc>
        <w:tc>
          <w:tcPr>
            <w:tcW w:w="851" w:type="dxa"/>
            <w:tcBorders>
              <w:top w:val="single" w:sz="6" w:space="0" w:color="000000"/>
              <w:left w:val="nil"/>
              <w:bottom w:val="single" w:sz="18" w:space="0" w:color="auto"/>
              <w:right w:val="single" w:sz="18" w:space="0" w:color="auto"/>
            </w:tcBorders>
          </w:tcPr>
          <w:p w:rsidR="0000161E" w:rsidRPr="00A35B3E" w:rsidRDefault="0000161E">
            <w:pPr>
              <w:pStyle w:val="Normaltindrag"/>
              <w:jc w:val="right"/>
            </w:pPr>
          </w:p>
        </w:tc>
      </w:tr>
    </w:tbl>
    <w:p w:rsidR="0000161E" w:rsidRPr="00A35B3E" w:rsidRDefault="0000161E">
      <w:pPr>
        <w:pStyle w:val="Normaltindrag"/>
      </w:pPr>
    </w:p>
    <w:p w:rsidR="0000161E" w:rsidRPr="00A35B3E" w:rsidRDefault="0000161E">
      <w:r w:rsidRPr="00A35B3E">
        <w:t>Enligt regeringen är det flera faktorer som leder till reviderade utgiftsramar för rättsväsendet för åren 2001 och 2002 jämfört med beräkningen i budge</w:t>
      </w:r>
      <w:r w:rsidRPr="00A35B3E">
        <w:t>t</w:t>
      </w:r>
      <w:r w:rsidRPr="00A35B3E">
        <w:t>propositionen för år 2000. Bland annat föreslås satsningar om 0,8 miljarder kronor år 2001 och 1,3 miljarder kronor år 2002. Dessutom har pris- och löneomräkningen reviderats för de aktuella åren. Förslaget avseende år 2003 är beräknat med utgångspunkt i förslaget för år 2002 med justering enligt relevanta prisi</w:t>
      </w:r>
      <w:r w:rsidRPr="00A35B3E">
        <w:t>n</w:t>
      </w:r>
      <w:r w:rsidRPr="00A35B3E">
        <w:t>dex och en ytterligare satsning om 100 miljoner kronor.</w:t>
      </w:r>
    </w:p>
    <w:p w:rsidR="0000161E" w:rsidRPr="00A35B3E" w:rsidRDefault="0000161E">
      <w:pPr>
        <w:pStyle w:val="Normaltindrag"/>
      </w:pPr>
      <w:r w:rsidRPr="00A35B3E">
        <w:t>Enligt regeringen innebär förslaget att rättsväsendet under åren 2001–2003 tillförs 1, 1,5 respektive 1,6 miljarder kronor. Härav avser 180 m</w:t>
      </w:r>
      <w:r w:rsidRPr="00A35B3E">
        <w:t>iljoner kronor de inkomster avseende passavgifter som polisen enligt regeringens förslag i tilläggsbudgeten (se 1999/2000:JuU5y) skall få disponera. Dessa påverkar inte ramen.</w:t>
      </w:r>
    </w:p>
    <w:p w:rsidR="0000161E" w:rsidRPr="00A35B3E" w:rsidRDefault="0000161E">
      <w:pPr>
        <w:pStyle w:val="Normaltindrag"/>
      </w:pPr>
      <w:r w:rsidRPr="00A35B3E">
        <w:t>De satsningar som nu görs skall enligt regeringen användas för fortsatt modernisering av rättsväsendet. Moderniseringsarbetet skall leda till ett rationellt strukturerat rättsväsende som utifrån en helhetssyn på myndigh</w:t>
      </w:r>
      <w:r w:rsidRPr="00A35B3E">
        <w:t>e</w:t>
      </w:r>
      <w:r w:rsidRPr="00A35B3E">
        <w:t>ternas verksamhet uppfyller medborgarnas berättigade krav på snabbhet, rättssäkerhet och hög kvalitet. För att uppnå detta krävs enligt regeringen verksamhetsuppföljning och redskap för effektiv budgetkontroll inom r</w:t>
      </w:r>
      <w:r w:rsidRPr="00A35B3E">
        <w:t>e</w:t>
      </w:r>
      <w:r w:rsidRPr="00A35B3E">
        <w:t>spektive verksamhetsområde. I de mål som uppställs ingår att öka rättsv</w:t>
      </w:r>
      <w:r w:rsidRPr="00A35B3E">
        <w:t>ä</w:t>
      </w:r>
      <w:r w:rsidRPr="00A35B3E">
        <w:t>sendets förmåga och effektivitet när det gäller att förebygga och bekämpa vardagsbrottslighet, den nya och grövre kriminaliteten i form av bl.a. ek</w:t>
      </w:r>
      <w:r w:rsidRPr="00A35B3E">
        <w:t>o</w:t>
      </w:r>
      <w:r w:rsidRPr="00A35B3E">
        <w:t>nomisk brottslighet, inklusive miljöbrottslighet och IT-relaterad brottsli</w:t>
      </w:r>
      <w:r w:rsidRPr="00A35B3E">
        <w:t>ghet, narkotikabrottslighet, våldsbrottslighet, särskilt våld mot kvinnor och barn, brott med homofobiska inslag och brott med rasistiska eller extremistiska förtecken. Ett mycket viktigt inslag i detta är enligt regeringen att öka antalet poliser och att ytterligare utveckla kompetensen inom hela rättsväsendet. Andra viktiga inslag regeringen nämner är att förbättra gränskontrollen och delta i det EU-relaterade arbetet, att utveckla närpolisverksamheten och det problemorienterade arbetssättet, att konsolid</w:t>
      </w:r>
      <w:r w:rsidRPr="00A35B3E">
        <w:t>era och utveckla det omfattande reformarbete som genomförts inom åklagarväsendet, att fullfölja modernis</w:t>
      </w:r>
      <w:r w:rsidRPr="00A35B3E">
        <w:t>e</w:t>
      </w:r>
      <w:r w:rsidRPr="00A35B3E">
        <w:t>ringen av domstolsväsendet och att ge kriminalvården förutsättningar att möta ett ökat platsbehov och fortsätta att utveckla ver</w:t>
      </w:r>
      <w:r w:rsidRPr="00A35B3E">
        <w:t>k</w:t>
      </w:r>
      <w:r w:rsidRPr="00A35B3E">
        <w:t>samheten.</w:t>
      </w:r>
    </w:p>
    <w:p w:rsidR="0000161E" w:rsidRPr="00A35B3E" w:rsidRDefault="0000161E">
      <w:pPr>
        <w:pStyle w:val="Normaltindrag"/>
      </w:pPr>
      <w:r w:rsidRPr="00A35B3E">
        <w:t>Regeringen anger också i propositionen att den avser att noga följa rättsv</w:t>
      </w:r>
      <w:r w:rsidRPr="00A35B3E">
        <w:t>ä</w:t>
      </w:r>
      <w:r w:rsidRPr="00A35B3E">
        <w:t>sendets verksamhet och resultat och att återkomma till riksdagen om de ytterligare insatser som erfordras för att fullfölja statsmakternas intentioner för rättsv</w:t>
      </w:r>
      <w:r w:rsidRPr="00A35B3E">
        <w:t>ä</w:t>
      </w:r>
      <w:r w:rsidRPr="00A35B3E">
        <w:t xml:space="preserve">sendet. </w:t>
      </w:r>
    </w:p>
    <w:p w:rsidR="0000161E" w:rsidRPr="00A35B3E" w:rsidRDefault="0000161E">
      <w:pPr>
        <w:pStyle w:val="Rubrik3"/>
      </w:pPr>
      <w:bookmarkStart w:id="27" w:name="_Toc482686467"/>
      <w:r w:rsidRPr="00A35B3E">
        <w:t>Motionerna</w:t>
      </w:r>
      <w:bookmarkEnd w:id="27"/>
    </w:p>
    <w:p w:rsidR="0000161E" w:rsidRPr="00A35B3E" w:rsidRDefault="0000161E">
      <w:r w:rsidRPr="00A35B3E">
        <w:t>I propositionen föreslår regeringen alltså preliminära utgiftsramar för åren 2001–2003. Dessa skall ligga till grund för regeringens budgetarbete. I fyra motioner föreslås ändringar av utgiftsramen avseende utgiftsområde 4. Reg</w:t>
      </w:r>
      <w:r w:rsidRPr="00A35B3E">
        <w:t>e</w:t>
      </w:r>
      <w:r w:rsidRPr="00A35B3E">
        <w:t>ringens förslag och ändringsförslagen framgår av nedanstående tabell. B</w:t>
      </w:r>
      <w:r w:rsidRPr="00A35B3E">
        <w:t>e</w:t>
      </w:r>
      <w:r w:rsidRPr="00A35B3E">
        <w:t>loppen avser miljoner kronor.</w:t>
      </w:r>
    </w:p>
    <w:p w:rsidR="0000161E" w:rsidRPr="00A35B3E" w:rsidRDefault="0000161E">
      <w:pPr>
        <w:pStyle w:val="Normaltindrag"/>
      </w:pPr>
    </w:p>
    <w:p w:rsidR="0000161E" w:rsidRPr="00A35B3E" w:rsidRDefault="0000161E">
      <w:pPr>
        <w:pStyle w:val="Normaltindrag"/>
      </w:pPr>
    </w:p>
    <w:p w:rsidR="0000161E" w:rsidRPr="00A35B3E" w:rsidRDefault="0000161E">
      <w:pPr>
        <w:pStyle w:val="Normaltindrag"/>
      </w:pPr>
    </w:p>
    <w:p w:rsidR="0000161E" w:rsidRPr="00A35B3E" w:rsidRDefault="0000161E">
      <w:pPr>
        <w:pStyle w:val="Normaltindrag"/>
      </w:pPr>
    </w:p>
    <w:tbl>
      <w:tblPr>
        <w:tblW w:w="0" w:type="auto"/>
        <w:tblInd w:w="-92" w:type="dxa"/>
        <w:tblLayout w:type="fixed"/>
        <w:tblCellMar>
          <w:left w:w="70" w:type="dxa"/>
          <w:right w:w="70" w:type="dxa"/>
        </w:tblCellMar>
        <w:tblLook w:val="00B7" w:firstRow="1" w:lastRow="0" w:firstColumn="1" w:lastColumn="0" w:noHBand="0" w:noVBand="0"/>
      </w:tblPr>
      <w:tblGrid>
        <w:gridCol w:w="2622"/>
        <w:gridCol w:w="1138"/>
        <w:gridCol w:w="1138"/>
        <w:gridCol w:w="1138"/>
      </w:tblGrid>
      <w:tr w:rsidR="00000000" w:rsidRPr="00A35B3E">
        <w:tblPrEx>
          <w:tblCellMar>
            <w:top w:w="0" w:type="dxa"/>
            <w:bottom w:w="0" w:type="dxa"/>
          </w:tblCellMar>
        </w:tblPrEx>
        <w:tc>
          <w:tcPr>
            <w:tcW w:w="2622" w:type="dxa"/>
            <w:tcBorders>
              <w:top w:val="single" w:sz="18" w:space="0" w:color="000000"/>
              <w:left w:val="single" w:sz="18" w:space="0" w:color="auto"/>
            </w:tcBorders>
          </w:tcPr>
          <w:p w:rsidR="0000161E" w:rsidRPr="00A35B3E" w:rsidRDefault="0000161E">
            <w:pPr>
              <w:pStyle w:val="Normaltindrag"/>
              <w:rPr>
                <w:b/>
              </w:rPr>
            </w:pPr>
          </w:p>
        </w:tc>
        <w:tc>
          <w:tcPr>
            <w:tcW w:w="1138" w:type="dxa"/>
            <w:tcBorders>
              <w:top w:val="single" w:sz="18" w:space="0" w:color="000000"/>
              <w:left w:val="single" w:sz="12" w:space="0" w:color="000000"/>
              <w:right w:val="single" w:sz="12" w:space="0" w:color="000000"/>
            </w:tcBorders>
          </w:tcPr>
          <w:p w:rsidR="0000161E" w:rsidRPr="00A35B3E" w:rsidRDefault="0000161E">
            <w:pPr>
              <w:pStyle w:val="Normaltindrag"/>
              <w:jc w:val="center"/>
            </w:pPr>
            <w:r w:rsidRPr="00A35B3E">
              <w:t>2001</w:t>
            </w:r>
          </w:p>
        </w:tc>
        <w:tc>
          <w:tcPr>
            <w:tcW w:w="1138" w:type="dxa"/>
            <w:tcBorders>
              <w:top w:val="single" w:sz="18" w:space="0" w:color="000000"/>
              <w:left w:val="nil"/>
            </w:tcBorders>
          </w:tcPr>
          <w:p w:rsidR="0000161E" w:rsidRPr="00A35B3E" w:rsidRDefault="0000161E">
            <w:pPr>
              <w:pStyle w:val="Normaltindrag"/>
              <w:jc w:val="center"/>
            </w:pPr>
            <w:r w:rsidRPr="00A35B3E">
              <w:t>2002</w:t>
            </w:r>
          </w:p>
        </w:tc>
        <w:tc>
          <w:tcPr>
            <w:tcW w:w="1138" w:type="dxa"/>
            <w:tcBorders>
              <w:top w:val="single" w:sz="18" w:space="0" w:color="000000"/>
              <w:left w:val="single" w:sz="12" w:space="0" w:color="auto"/>
              <w:right w:val="single" w:sz="18" w:space="0" w:color="auto"/>
            </w:tcBorders>
          </w:tcPr>
          <w:p w:rsidR="0000161E" w:rsidRPr="00A35B3E" w:rsidRDefault="0000161E">
            <w:pPr>
              <w:pStyle w:val="Normaltindrag"/>
              <w:jc w:val="center"/>
            </w:pPr>
            <w:r w:rsidRPr="00A35B3E">
              <w:t>2003</w:t>
            </w:r>
          </w:p>
        </w:tc>
      </w:tr>
      <w:tr w:rsidR="00000000" w:rsidRPr="00A35B3E">
        <w:tblPrEx>
          <w:tblCellMar>
            <w:top w:w="0" w:type="dxa"/>
            <w:bottom w:w="0" w:type="dxa"/>
          </w:tblCellMar>
        </w:tblPrEx>
        <w:tc>
          <w:tcPr>
            <w:tcW w:w="2622" w:type="dxa"/>
            <w:tcBorders>
              <w:top w:val="single" w:sz="18" w:space="0" w:color="000000"/>
              <w:left w:val="single" w:sz="18" w:space="0" w:color="auto"/>
            </w:tcBorders>
          </w:tcPr>
          <w:p w:rsidR="0000161E" w:rsidRPr="00A35B3E" w:rsidRDefault="0000161E">
            <w:pPr>
              <w:pStyle w:val="Normaltindrag"/>
              <w:rPr>
                <w:b/>
              </w:rPr>
            </w:pPr>
          </w:p>
        </w:tc>
        <w:tc>
          <w:tcPr>
            <w:tcW w:w="1138" w:type="dxa"/>
            <w:tcBorders>
              <w:top w:val="single" w:sz="18" w:space="0" w:color="000000"/>
              <w:left w:val="single" w:sz="12" w:space="0" w:color="000000"/>
              <w:right w:val="single" w:sz="12" w:space="0" w:color="000000"/>
            </w:tcBorders>
          </w:tcPr>
          <w:p w:rsidR="0000161E" w:rsidRPr="00A35B3E" w:rsidRDefault="0000161E">
            <w:pPr>
              <w:pStyle w:val="Normaltindrag"/>
              <w:jc w:val="right"/>
              <w:rPr>
                <w:b/>
              </w:rPr>
            </w:pPr>
          </w:p>
        </w:tc>
        <w:tc>
          <w:tcPr>
            <w:tcW w:w="1138" w:type="dxa"/>
            <w:tcBorders>
              <w:top w:val="single" w:sz="18" w:space="0" w:color="000000"/>
              <w:left w:val="nil"/>
            </w:tcBorders>
          </w:tcPr>
          <w:p w:rsidR="0000161E" w:rsidRPr="00A35B3E" w:rsidRDefault="0000161E">
            <w:pPr>
              <w:pStyle w:val="Normaltindrag"/>
              <w:jc w:val="right"/>
              <w:rPr>
                <w:b/>
              </w:rPr>
            </w:pPr>
          </w:p>
        </w:tc>
        <w:tc>
          <w:tcPr>
            <w:tcW w:w="1138" w:type="dxa"/>
            <w:tcBorders>
              <w:top w:val="single" w:sz="18" w:space="0" w:color="000000"/>
              <w:left w:val="single" w:sz="12" w:space="0" w:color="auto"/>
              <w:right w:val="single" w:sz="18" w:space="0" w:color="auto"/>
            </w:tcBorders>
          </w:tcPr>
          <w:p w:rsidR="0000161E" w:rsidRPr="00A35B3E" w:rsidRDefault="0000161E">
            <w:pPr>
              <w:pStyle w:val="Normaltindrag"/>
              <w:jc w:val="right"/>
              <w:rPr>
                <w:b/>
              </w:rPr>
            </w:pPr>
          </w:p>
        </w:tc>
      </w:tr>
      <w:tr w:rsidR="00000000" w:rsidRPr="00A35B3E">
        <w:tblPrEx>
          <w:tblCellMar>
            <w:top w:w="0" w:type="dxa"/>
            <w:bottom w:w="0" w:type="dxa"/>
          </w:tblCellMar>
        </w:tblPrEx>
        <w:tc>
          <w:tcPr>
            <w:tcW w:w="2622" w:type="dxa"/>
            <w:tcBorders>
              <w:top w:val="single" w:sz="6" w:space="0" w:color="auto"/>
              <w:left w:val="single" w:sz="18" w:space="0" w:color="auto"/>
            </w:tcBorders>
          </w:tcPr>
          <w:p w:rsidR="0000161E" w:rsidRPr="00A35B3E" w:rsidRDefault="0000161E">
            <w:pPr>
              <w:pStyle w:val="Normaltindrag"/>
            </w:pPr>
            <w:r w:rsidRPr="00A35B3E">
              <w:t>Regeringens förslag</w:t>
            </w:r>
          </w:p>
        </w:tc>
        <w:tc>
          <w:tcPr>
            <w:tcW w:w="1138" w:type="dxa"/>
            <w:tcBorders>
              <w:top w:val="single" w:sz="6" w:space="0" w:color="auto"/>
              <w:left w:val="single" w:sz="12" w:space="0" w:color="000000"/>
              <w:right w:val="single" w:sz="12" w:space="0" w:color="000000"/>
            </w:tcBorders>
          </w:tcPr>
          <w:p w:rsidR="0000161E" w:rsidRPr="00A35B3E" w:rsidRDefault="0000161E">
            <w:pPr>
              <w:pStyle w:val="Normaltindrag"/>
              <w:jc w:val="right"/>
            </w:pPr>
            <w:r w:rsidRPr="00A35B3E">
              <w:t>24 032</w:t>
            </w:r>
          </w:p>
        </w:tc>
        <w:tc>
          <w:tcPr>
            <w:tcW w:w="1138" w:type="dxa"/>
            <w:tcBorders>
              <w:top w:val="single" w:sz="6" w:space="0" w:color="auto"/>
              <w:left w:val="nil"/>
            </w:tcBorders>
          </w:tcPr>
          <w:p w:rsidR="0000161E" w:rsidRPr="00A35B3E" w:rsidRDefault="0000161E">
            <w:pPr>
              <w:pStyle w:val="Normaltindrag"/>
              <w:jc w:val="right"/>
            </w:pPr>
            <w:r w:rsidRPr="00A35B3E">
              <w:t>25 101</w:t>
            </w:r>
          </w:p>
        </w:tc>
        <w:tc>
          <w:tcPr>
            <w:tcW w:w="1138" w:type="dxa"/>
            <w:tcBorders>
              <w:top w:val="single" w:sz="6" w:space="0" w:color="auto"/>
              <w:left w:val="single" w:sz="12" w:space="0" w:color="auto"/>
              <w:right w:val="single" w:sz="18" w:space="0" w:color="auto"/>
            </w:tcBorders>
          </w:tcPr>
          <w:p w:rsidR="0000161E" w:rsidRPr="00A35B3E" w:rsidRDefault="0000161E">
            <w:pPr>
              <w:pStyle w:val="Normaltindrag"/>
              <w:jc w:val="right"/>
            </w:pPr>
            <w:r w:rsidRPr="00A35B3E">
              <w:t>25 737</w:t>
            </w:r>
          </w:p>
        </w:tc>
      </w:tr>
      <w:tr w:rsidR="00000000" w:rsidRPr="00A35B3E">
        <w:tblPrEx>
          <w:tblCellMar>
            <w:top w:w="0" w:type="dxa"/>
            <w:bottom w:w="0" w:type="dxa"/>
          </w:tblCellMar>
        </w:tblPrEx>
        <w:tc>
          <w:tcPr>
            <w:tcW w:w="2622" w:type="dxa"/>
            <w:tcBorders>
              <w:top w:val="single" w:sz="6" w:space="0" w:color="auto"/>
              <w:left w:val="single" w:sz="18" w:space="0" w:color="auto"/>
              <w:bottom w:val="single" w:sz="6" w:space="0" w:color="auto"/>
            </w:tcBorders>
          </w:tcPr>
          <w:p w:rsidR="0000161E" w:rsidRPr="00A35B3E" w:rsidRDefault="0000161E">
            <w:pPr>
              <w:pStyle w:val="Normaltindrag"/>
            </w:pPr>
          </w:p>
        </w:tc>
        <w:tc>
          <w:tcPr>
            <w:tcW w:w="1138" w:type="dxa"/>
            <w:tcBorders>
              <w:top w:val="single" w:sz="6" w:space="0" w:color="auto"/>
              <w:left w:val="single" w:sz="12" w:space="0" w:color="000000"/>
              <w:bottom w:val="single" w:sz="6" w:space="0" w:color="auto"/>
              <w:right w:val="single" w:sz="12" w:space="0" w:color="000000"/>
            </w:tcBorders>
          </w:tcPr>
          <w:p w:rsidR="0000161E" w:rsidRPr="00A35B3E" w:rsidRDefault="0000161E">
            <w:pPr>
              <w:pStyle w:val="Normaltindrag"/>
              <w:jc w:val="right"/>
            </w:pPr>
          </w:p>
        </w:tc>
        <w:tc>
          <w:tcPr>
            <w:tcW w:w="1138" w:type="dxa"/>
            <w:tcBorders>
              <w:top w:val="single" w:sz="6" w:space="0" w:color="auto"/>
              <w:left w:val="nil"/>
              <w:bottom w:val="single" w:sz="6" w:space="0" w:color="auto"/>
            </w:tcBorders>
          </w:tcPr>
          <w:p w:rsidR="0000161E" w:rsidRPr="00A35B3E" w:rsidRDefault="0000161E">
            <w:pPr>
              <w:pStyle w:val="Normaltindrag"/>
              <w:jc w:val="right"/>
            </w:pPr>
          </w:p>
        </w:tc>
        <w:tc>
          <w:tcPr>
            <w:tcW w:w="1138" w:type="dxa"/>
            <w:tcBorders>
              <w:top w:val="single" w:sz="6" w:space="0" w:color="auto"/>
              <w:left w:val="single" w:sz="12" w:space="0" w:color="auto"/>
              <w:bottom w:val="single" w:sz="6" w:space="0" w:color="auto"/>
              <w:right w:val="single" w:sz="18" w:space="0" w:color="auto"/>
            </w:tcBorders>
          </w:tcPr>
          <w:p w:rsidR="0000161E" w:rsidRPr="00A35B3E" w:rsidRDefault="0000161E">
            <w:pPr>
              <w:pStyle w:val="Normaltindrag"/>
              <w:jc w:val="right"/>
            </w:pPr>
          </w:p>
        </w:tc>
      </w:tr>
      <w:tr w:rsidR="00000000" w:rsidRPr="00A35B3E">
        <w:tblPrEx>
          <w:tblCellMar>
            <w:top w:w="0" w:type="dxa"/>
            <w:bottom w:w="0" w:type="dxa"/>
          </w:tblCellMar>
        </w:tblPrEx>
        <w:tc>
          <w:tcPr>
            <w:tcW w:w="2622" w:type="dxa"/>
            <w:tcBorders>
              <w:left w:val="single" w:sz="18" w:space="0" w:color="auto"/>
            </w:tcBorders>
          </w:tcPr>
          <w:p w:rsidR="0000161E" w:rsidRPr="00A35B3E" w:rsidRDefault="0000161E">
            <w:pPr>
              <w:pStyle w:val="Normaltindrag"/>
            </w:pPr>
            <w:r w:rsidRPr="00A35B3E">
              <w:t>Ändringsförslag:</w:t>
            </w:r>
          </w:p>
        </w:tc>
        <w:tc>
          <w:tcPr>
            <w:tcW w:w="1138" w:type="dxa"/>
            <w:tcBorders>
              <w:left w:val="single" w:sz="12" w:space="0" w:color="000000"/>
              <w:right w:val="single" w:sz="12" w:space="0" w:color="000000"/>
            </w:tcBorders>
          </w:tcPr>
          <w:p w:rsidR="0000161E" w:rsidRPr="00A35B3E" w:rsidRDefault="0000161E">
            <w:pPr>
              <w:pStyle w:val="Normaltindrag"/>
              <w:jc w:val="right"/>
            </w:pPr>
          </w:p>
        </w:tc>
        <w:tc>
          <w:tcPr>
            <w:tcW w:w="1138" w:type="dxa"/>
            <w:tcBorders>
              <w:left w:val="nil"/>
            </w:tcBorders>
          </w:tcPr>
          <w:p w:rsidR="0000161E" w:rsidRPr="00A35B3E" w:rsidRDefault="0000161E">
            <w:pPr>
              <w:pStyle w:val="Normaltindrag"/>
              <w:jc w:val="right"/>
            </w:pPr>
          </w:p>
        </w:tc>
        <w:tc>
          <w:tcPr>
            <w:tcW w:w="1138" w:type="dxa"/>
            <w:tcBorders>
              <w:left w:val="single" w:sz="12" w:space="0" w:color="auto"/>
              <w:right w:val="single" w:sz="18" w:space="0" w:color="auto"/>
            </w:tcBorders>
          </w:tcPr>
          <w:p w:rsidR="0000161E" w:rsidRPr="00A35B3E" w:rsidRDefault="0000161E">
            <w:pPr>
              <w:pStyle w:val="Normaltindrag"/>
              <w:jc w:val="right"/>
            </w:pPr>
          </w:p>
        </w:tc>
      </w:tr>
      <w:tr w:rsidR="00000000" w:rsidRPr="00A35B3E">
        <w:tblPrEx>
          <w:tblCellMar>
            <w:top w:w="0" w:type="dxa"/>
            <w:bottom w:w="0" w:type="dxa"/>
          </w:tblCellMar>
        </w:tblPrEx>
        <w:tc>
          <w:tcPr>
            <w:tcW w:w="2622" w:type="dxa"/>
            <w:tcBorders>
              <w:top w:val="single" w:sz="6" w:space="0" w:color="auto"/>
              <w:left w:val="single" w:sz="18" w:space="0" w:color="auto"/>
              <w:bottom w:val="single" w:sz="6" w:space="0" w:color="auto"/>
            </w:tcBorders>
          </w:tcPr>
          <w:p w:rsidR="0000161E" w:rsidRPr="00A35B3E" w:rsidRDefault="0000161E">
            <w:pPr>
              <w:pStyle w:val="Normaltindrag"/>
            </w:pPr>
            <w:r w:rsidRPr="00A35B3E">
              <w:t>Fi12 yrkande 6 (m)</w:t>
            </w:r>
          </w:p>
        </w:tc>
        <w:tc>
          <w:tcPr>
            <w:tcW w:w="1138" w:type="dxa"/>
            <w:tcBorders>
              <w:top w:val="single" w:sz="6" w:space="0" w:color="auto"/>
              <w:left w:val="single" w:sz="12" w:space="0" w:color="000000"/>
              <w:bottom w:val="single" w:sz="6" w:space="0" w:color="auto"/>
              <w:right w:val="single" w:sz="12" w:space="0" w:color="000000"/>
            </w:tcBorders>
          </w:tcPr>
          <w:p w:rsidR="0000161E" w:rsidRPr="00A35B3E" w:rsidRDefault="0000161E">
            <w:pPr>
              <w:pStyle w:val="Normaltindrag"/>
              <w:jc w:val="right"/>
            </w:pPr>
            <w:r w:rsidRPr="00A35B3E">
              <w:t>+ 1 023</w:t>
            </w:r>
          </w:p>
        </w:tc>
        <w:tc>
          <w:tcPr>
            <w:tcW w:w="1138" w:type="dxa"/>
            <w:tcBorders>
              <w:top w:val="single" w:sz="6" w:space="0" w:color="auto"/>
              <w:left w:val="nil"/>
              <w:bottom w:val="single" w:sz="6" w:space="0" w:color="auto"/>
            </w:tcBorders>
          </w:tcPr>
          <w:p w:rsidR="0000161E" w:rsidRPr="00A35B3E" w:rsidRDefault="0000161E">
            <w:pPr>
              <w:pStyle w:val="Normaltindrag"/>
              <w:jc w:val="right"/>
            </w:pPr>
            <w:r w:rsidRPr="00A35B3E">
              <w:t>+ 846</w:t>
            </w:r>
          </w:p>
        </w:tc>
        <w:tc>
          <w:tcPr>
            <w:tcW w:w="1138" w:type="dxa"/>
            <w:tcBorders>
              <w:top w:val="single" w:sz="6" w:space="0" w:color="auto"/>
              <w:left w:val="single" w:sz="12" w:space="0" w:color="auto"/>
              <w:bottom w:val="single" w:sz="6" w:space="0" w:color="auto"/>
              <w:right w:val="single" w:sz="18" w:space="0" w:color="auto"/>
            </w:tcBorders>
          </w:tcPr>
          <w:p w:rsidR="0000161E" w:rsidRPr="00A35B3E" w:rsidRDefault="0000161E">
            <w:pPr>
              <w:pStyle w:val="Normaltindrag"/>
              <w:jc w:val="right"/>
            </w:pPr>
            <w:r w:rsidRPr="00A35B3E">
              <w:t>+ 846</w:t>
            </w:r>
          </w:p>
        </w:tc>
      </w:tr>
      <w:tr w:rsidR="00000000" w:rsidRPr="00A35B3E">
        <w:tblPrEx>
          <w:tblCellMar>
            <w:top w:w="0" w:type="dxa"/>
            <w:bottom w:w="0" w:type="dxa"/>
          </w:tblCellMar>
        </w:tblPrEx>
        <w:tc>
          <w:tcPr>
            <w:tcW w:w="2622" w:type="dxa"/>
            <w:tcBorders>
              <w:left w:val="single" w:sz="18" w:space="0" w:color="auto"/>
            </w:tcBorders>
          </w:tcPr>
          <w:p w:rsidR="0000161E" w:rsidRPr="00A35B3E" w:rsidRDefault="0000161E">
            <w:pPr>
              <w:pStyle w:val="Normaltindrag"/>
            </w:pPr>
            <w:r w:rsidRPr="00A35B3E">
              <w:t>Fi13 yrkande 3 (kd)</w:t>
            </w:r>
          </w:p>
        </w:tc>
        <w:tc>
          <w:tcPr>
            <w:tcW w:w="1138" w:type="dxa"/>
            <w:tcBorders>
              <w:left w:val="single" w:sz="12" w:space="0" w:color="000000"/>
              <w:right w:val="single" w:sz="12" w:space="0" w:color="000000"/>
            </w:tcBorders>
          </w:tcPr>
          <w:p w:rsidR="0000161E" w:rsidRPr="00A35B3E" w:rsidRDefault="0000161E">
            <w:pPr>
              <w:pStyle w:val="Normaltindrag"/>
              <w:jc w:val="right"/>
            </w:pPr>
            <w:r w:rsidRPr="00A35B3E">
              <w:t>+ 250</w:t>
            </w:r>
          </w:p>
        </w:tc>
        <w:tc>
          <w:tcPr>
            <w:tcW w:w="1138" w:type="dxa"/>
            <w:tcBorders>
              <w:left w:val="nil"/>
            </w:tcBorders>
          </w:tcPr>
          <w:p w:rsidR="0000161E" w:rsidRPr="00A35B3E" w:rsidRDefault="0000161E">
            <w:pPr>
              <w:pStyle w:val="Normaltindrag"/>
              <w:jc w:val="right"/>
            </w:pPr>
            <w:r w:rsidRPr="00A35B3E">
              <w:t>+ 190</w:t>
            </w:r>
          </w:p>
        </w:tc>
        <w:tc>
          <w:tcPr>
            <w:tcW w:w="1138" w:type="dxa"/>
            <w:tcBorders>
              <w:left w:val="single" w:sz="12" w:space="0" w:color="auto"/>
              <w:right w:val="single" w:sz="18" w:space="0" w:color="auto"/>
            </w:tcBorders>
          </w:tcPr>
          <w:p w:rsidR="0000161E" w:rsidRPr="00A35B3E" w:rsidRDefault="0000161E">
            <w:pPr>
              <w:pStyle w:val="Normaltindrag"/>
              <w:jc w:val="right"/>
            </w:pPr>
            <w:r w:rsidRPr="00A35B3E">
              <w:t>+ 100</w:t>
            </w:r>
          </w:p>
        </w:tc>
      </w:tr>
      <w:tr w:rsidR="00000000" w:rsidRPr="00A35B3E">
        <w:tblPrEx>
          <w:tblCellMar>
            <w:top w:w="0" w:type="dxa"/>
            <w:bottom w:w="0" w:type="dxa"/>
          </w:tblCellMar>
        </w:tblPrEx>
        <w:tc>
          <w:tcPr>
            <w:tcW w:w="2622" w:type="dxa"/>
            <w:tcBorders>
              <w:top w:val="single" w:sz="6" w:space="0" w:color="auto"/>
              <w:left w:val="single" w:sz="18" w:space="0" w:color="auto"/>
              <w:bottom w:val="single" w:sz="6" w:space="0" w:color="auto"/>
            </w:tcBorders>
          </w:tcPr>
          <w:p w:rsidR="0000161E" w:rsidRPr="00A35B3E" w:rsidRDefault="0000161E">
            <w:pPr>
              <w:pStyle w:val="Normaltindrag"/>
            </w:pPr>
            <w:r w:rsidRPr="00A35B3E">
              <w:t>Fi14 yrkande 17 (c)</w:t>
            </w:r>
          </w:p>
        </w:tc>
        <w:tc>
          <w:tcPr>
            <w:tcW w:w="1138" w:type="dxa"/>
            <w:tcBorders>
              <w:top w:val="single" w:sz="6" w:space="0" w:color="auto"/>
              <w:left w:val="single" w:sz="12" w:space="0" w:color="000000"/>
              <w:bottom w:val="single" w:sz="6" w:space="0" w:color="auto"/>
              <w:right w:val="single" w:sz="12" w:space="0" w:color="000000"/>
            </w:tcBorders>
          </w:tcPr>
          <w:p w:rsidR="0000161E" w:rsidRPr="00A35B3E" w:rsidRDefault="0000161E">
            <w:pPr>
              <w:pStyle w:val="Normaltindrag"/>
              <w:jc w:val="right"/>
            </w:pPr>
            <w:r w:rsidRPr="00A35B3E">
              <w:t>+ 100</w:t>
            </w:r>
          </w:p>
        </w:tc>
        <w:tc>
          <w:tcPr>
            <w:tcW w:w="1138" w:type="dxa"/>
            <w:tcBorders>
              <w:top w:val="single" w:sz="6" w:space="0" w:color="auto"/>
              <w:left w:val="nil"/>
              <w:bottom w:val="single" w:sz="6" w:space="0" w:color="auto"/>
            </w:tcBorders>
          </w:tcPr>
          <w:p w:rsidR="0000161E" w:rsidRPr="00A35B3E" w:rsidRDefault="0000161E">
            <w:pPr>
              <w:pStyle w:val="Normaltindrag"/>
              <w:jc w:val="right"/>
            </w:pPr>
            <w:r w:rsidRPr="00A35B3E">
              <w:t>+ 200</w:t>
            </w:r>
          </w:p>
        </w:tc>
        <w:tc>
          <w:tcPr>
            <w:tcW w:w="1138" w:type="dxa"/>
            <w:tcBorders>
              <w:top w:val="single" w:sz="6" w:space="0" w:color="auto"/>
              <w:left w:val="single" w:sz="12" w:space="0" w:color="auto"/>
              <w:bottom w:val="single" w:sz="6" w:space="0" w:color="auto"/>
              <w:right w:val="single" w:sz="18" w:space="0" w:color="auto"/>
            </w:tcBorders>
          </w:tcPr>
          <w:p w:rsidR="0000161E" w:rsidRPr="00A35B3E" w:rsidRDefault="0000161E">
            <w:pPr>
              <w:pStyle w:val="Normaltindrag"/>
              <w:jc w:val="right"/>
            </w:pPr>
            <w:r w:rsidRPr="00A35B3E">
              <w:t>+ 300</w:t>
            </w:r>
          </w:p>
        </w:tc>
      </w:tr>
      <w:tr w:rsidR="00000000" w:rsidRPr="00A35B3E">
        <w:tblPrEx>
          <w:tblCellMar>
            <w:top w:w="0" w:type="dxa"/>
            <w:bottom w:w="0" w:type="dxa"/>
          </w:tblCellMar>
        </w:tblPrEx>
        <w:tc>
          <w:tcPr>
            <w:tcW w:w="2622" w:type="dxa"/>
            <w:tcBorders>
              <w:left w:val="single" w:sz="18" w:space="0" w:color="auto"/>
            </w:tcBorders>
          </w:tcPr>
          <w:p w:rsidR="0000161E" w:rsidRPr="00A35B3E" w:rsidRDefault="0000161E">
            <w:pPr>
              <w:pStyle w:val="Normaltindrag"/>
            </w:pPr>
            <w:r w:rsidRPr="00A35B3E">
              <w:t>Fi15 yrkande 6 (fp)</w:t>
            </w:r>
          </w:p>
        </w:tc>
        <w:tc>
          <w:tcPr>
            <w:tcW w:w="1138" w:type="dxa"/>
            <w:tcBorders>
              <w:left w:val="single" w:sz="12" w:space="0" w:color="000000"/>
              <w:right w:val="single" w:sz="12" w:space="0" w:color="000000"/>
            </w:tcBorders>
          </w:tcPr>
          <w:p w:rsidR="0000161E" w:rsidRPr="00A35B3E" w:rsidRDefault="0000161E">
            <w:pPr>
              <w:pStyle w:val="Normaltindrag"/>
              <w:jc w:val="right"/>
            </w:pPr>
            <w:r w:rsidRPr="00A35B3E">
              <w:t>+ 292</w:t>
            </w:r>
          </w:p>
        </w:tc>
        <w:tc>
          <w:tcPr>
            <w:tcW w:w="1138" w:type="dxa"/>
            <w:tcBorders>
              <w:left w:val="nil"/>
            </w:tcBorders>
          </w:tcPr>
          <w:p w:rsidR="0000161E" w:rsidRPr="00A35B3E" w:rsidRDefault="0000161E">
            <w:pPr>
              <w:pStyle w:val="Normaltindrag"/>
              <w:jc w:val="right"/>
            </w:pPr>
            <w:r w:rsidRPr="00A35B3E">
              <w:t>+ 322</w:t>
            </w:r>
          </w:p>
        </w:tc>
        <w:tc>
          <w:tcPr>
            <w:tcW w:w="1138" w:type="dxa"/>
            <w:tcBorders>
              <w:left w:val="single" w:sz="12" w:space="0" w:color="auto"/>
              <w:right w:val="single" w:sz="18" w:space="0" w:color="auto"/>
            </w:tcBorders>
          </w:tcPr>
          <w:p w:rsidR="0000161E" w:rsidRPr="00A35B3E" w:rsidRDefault="0000161E">
            <w:pPr>
              <w:pStyle w:val="Normaltindrag"/>
              <w:jc w:val="right"/>
            </w:pPr>
            <w:r w:rsidRPr="00A35B3E">
              <w:t>+ 322</w:t>
            </w:r>
          </w:p>
        </w:tc>
      </w:tr>
      <w:tr w:rsidR="00000000" w:rsidRPr="00A35B3E">
        <w:tblPrEx>
          <w:tblCellMar>
            <w:top w:w="0" w:type="dxa"/>
            <w:bottom w:w="0" w:type="dxa"/>
          </w:tblCellMar>
        </w:tblPrEx>
        <w:tc>
          <w:tcPr>
            <w:tcW w:w="2622" w:type="dxa"/>
            <w:tcBorders>
              <w:top w:val="single" w:sz="6" w:space="0" w:color="000000"/>
              <w:left w:val="single" w:sz="18" w:space="0" w:color="auto"/>
              <w:bottom w:val="single" w:sz="18" w:space="0" w:color="000000"/>
            </w:tcBorders>
          </w:tcPr>
          <w:p w:rsidR="0000161E" w:rsidRPr="00A35B3E" w:rsidRDefault="0000161E">
            <w:pPr>
              <w:pStyle w:val="Normaltindrag"/>
              <w:rPr>
                <w:b/>
              </w:rPr>
            </w:pPr>
          </w:p>
        </w:tc>
        <w:tc>
          <w:tcPr>
            <w:tcW w:w="1138" w:type="dxa"/>
            <w:tcBorders>
              <w:top w:val="single" w:sz="6" w:space="0" w:color="000000"/>
              <w:left w:val="single" w:sz="12" w:space="0" w:color="000000"/>
              <w:bottom w:val="single" w:sz="18" w:space="0" w:color="000000"/>
              <w:right w:val="single" w:sz="12" w:space="0" w:color="000000"/>
            </w:tcBorders>
          </w:tcPr>
          <w:p w:rsidR="0000161E" w:rsidRPr="00A35B3E" w:rsidRDefault="0000161E">
            <w:pPr>
              <w:pStyle w:val="Normaltindrag"/>
              <w:jc w:val="right"/>
            </w:pPr>
          </w:p>
        </w:tc>
        <w:tc>
          <w:tcPr>
            <w:tcW w:w="1138" w:type="dxa"/>
            <w:tcBorders>
              <w:top w:val="single" w:sz="6" w:space="0" w:color="000000"/>
              <w:left w:val="nil"/>
              <w:bottom w:val="single" w:sz="18" w:space="0" w:color="000000"/>
            </w:tcBorders>
          </w:tcPr>
          <w:p w:rsidR="0000161E" w:rsidRPr="00A35B3E" w:rsidRDefault="0000161E">
            <w:pPr>
              <w:pStyle w:val="Normaltindrag"/>
              <w:jc w:val="right"/>
            </w:pPr>
          </w:p>
        </w:tc>
        <w:tc>
          <w:tcPr>
            <w:tcW w:w="1138" w:type="dxa"/>
            <w:tcBorders>
              <w:top w:val="single" w:sz="6" w:space="0" w:color="000000"/>
              <w:left w:val="single" w:sz="12" w:space="0" w:color="auto"/>
              <w:bottom w:val="single" w:sz="18" w:space="0" w:color="000000"/>
              <w:right w:val="single" w:sz="18" w:space="0" w:color="auto"/>
            </w:tcBorders>
          </w:tcPr>
          <w:p w:rsidR="0000161E" w:rsidRPr="00A35B3E" w:rsidRDefault="0000161E">
            <w:pPr>
              <w:pStyle w:val="Normaltindrag"/>
              <w:jc w:val="right"/>
            </w:pPr>
          </w:p>
        </w:tc>
      </w:tr>
    </w:tbl>
    <w:p w:rsidR="0000161E" w:rsidRPr="00A35B3E" w:rsidRDefault="0000161E">
      <w:pPr>
        <w:pStyle w:val="Normaltindrag"/>
      </w:pPr>
    </w:p>
    <w:p w:rsidR="0000161E" w:rsidRPr="00A35B3E" w:rsidRDefault="0000161E">
      <w:pPr>
        <w:pStyle w:val="Normaltindrag"/>
      </w:pPr>
      <w:r w:rsidRPr="00A35B3E">
        <w:t>I motion Fi12 (m) begärs ökningar av ramen för utgiftsområdet med 1 023, 846 respektive 846 miljoner kronor för budgetåren 2001–2003 jämfört med regeringens förslag. De ytterligare medlen behövs enligt motionärerna för att stärka kampen mot brottsligheten och öka rättstryggheten. Bland annat måste polisen förstärkas och åtgärder vidtas för att renodla den uniformerade pe</w:t>
      </w:r>
      <w:r w:rsidRPr="00A35B3E">
        <w:t>r</w:t>
      </w:r>
      <w:r w:rsidRPr="00A35B3E">
        <w:t>sonalens arbetsuppgifter. Även kriminalvården bör enligt motionärerna ges ökade resurser.</w:t>
      </w:r>
    </w:p>
    <w:p w:rsidR="0000161E" w:rsidRPr="00A35B3E" w:rsidRDefault="0000161E">
      <w:pPr>
        <w:pStyle w:val="Normaltindrag"/>
      </w:pPr>
      <w:r w:rsidRPr="00A35B3E">
        <w:t>I motion Fi13 (kd) begärs ökningar av ramen för utgiftsområdet med 250, 190 respektive 100 miljoner kronor för budgetåren 2001–2003 jämfört med regeringens förslag. Förstärkningarna skall bl.a. användas till att förbättra personalsituationen hos polisen. Vidare skall åklagarväsendet och domsto</w:t>
      </w:r>
      <w:r w:rsidRPr="00A35B3E">
        <w:t>l</w:t>
      </w:r>
      <w:r w:rsidRPr="00A35B3E">
        <w:t>s-väsendet ges ytterligare resurser för att en snabbare hantering av inkomna mål skall kunna åstadkommas. Också kriminalvårdens och BRÅ:s verksa</w:t>
      </w:r>
      <w:r w:rsidRPr="00A35B3E">
        <w:t>m</w:t>
      </w:r>
      <w:r w:rsidRPr="00A35B3E">
        <w:t xml:space="preserve">het bör enligt motionärerna ges mer resurser. </w:t>
      </w:r>
    </w:p>
    <w:p w:rsidR="0000161E" w:rsidRPr="00A35B3E" w:rsidRDefault="0000161E">
      <w:pPr>
        <w:pStyle w:val="Normaltindrag"/>
      </w:pPr>
      <w:r w:rsidRPr="00A35B3E">
        <w:t>I motion Fi14 (c) begärs ökningar av ramen för utgiftsområdet med 100, 200 respektive 300 miljoner kronor för budgetåren 2001–2003 jämfört med regeringens förslag. Motionärerna vill med de ytterligare resurserna förstärka polisstyrkan och utöka antalet civilanställda inom polisen. Vidare vill moti</w:t>
      </w:r>
      <w:r w:rsidRPr="00A35B3E">
        <w:t>o</w:t>
      </w:r>
      <w:r w:rsidRPr="00A35B3E">
        <w:t>närerna förstärka åklagarorganisationen och domstolsväsendet. Också krim</w:t>
      </w:r>
      <w:r w:rsidRPr="00A35B3E">
        <w:t>i</w:t>
      </w:r>
      <w:r w:rsidRPr="00A35B3E">
        <w:t>nalvården bör enligt motionärerna tilldelas ytterligare resurser för att bl.a. kunna vidareutveckla programver</w:t>
      </w:r>
      <w:r w:rsidRPr="00A35B3E">
        <w:t>k</w:t>
      </w:r>
      <w:r w:rsidRPr="00A35B3E">
        <w:t xml:space="preserve">samheten. </w:t>
      </w:r>
    </w:p>
    <w:p w:rsidR="0000161E" w:rsidRPr="00A35B3E" w:rsidRDefault="0000161E">
      <w:pPr>
        <w:pStyle w:val="Normaltindrag"/>
      </w:pPr>
      <w:r w:rsidRPr="00A35B3E">
        <w:t>I motion Fi15 (fp) begärs ökningar av ramen för utgiftsområdet med 292, 322 respektive 322 miljoner kronor för budgetåren 2001–2003 jämfört med regeringens förslag. Motionärerna menar att mer resurser behövs inom pol</w:t>
      </w:r>
      <w:r w:rsidRPr="00A35B3E">
        <w:t>i</w:t>
      </w:r>
      <w:r w:rsidRPr="00A35B3E">
        <w:t>sen för att bl.a. klara av de ökade kostnader som följer av Schengenavtalet. Vidare måste enligt motionärerna åklagarorganisationen och domstolsorgan</w:t>
      </w:r>
      <w:r w:rsidRPr="00A35B3E">
        <w:t>i</w:t>
      </w:r>
      <w:r w:rsidRPr="00A35B3E">
        <w:t xml:space="preserve">sationen förstärkas och satsningar göras för att förbättra skyddet för kvinnor utsatta för våld och hot. </w:t>
      </w:r>
    </w:p>
    <w:p w:rsidR="0000161E" w:rsidRPr="00A35B3E" w:rsidRDefault="0000161E">
      <w:pPr>
        <w:pStyle w:val="Normaltindrag"/>
      </w:pPr>
      <w:r w:rsidRPr="00A35B3E">
        <w:t>I ärendet föreligger också fem motionsyrkanden rörande rättsväsendets i</w:t>
      </w:r>
      <w:r w:rsidRPr="00A35B3E">
        <w:t>n</w:t>
      </w:r>
      <w:r w:rsidRPr="00A35B3E">
        <w:t>riktning framöver.</w:t>
      </w:r>
    </w:p>
    <w:p w:rsidR="0000161E" w:rsidRPr="00A35B3E" w:rsidRDefault="0000161E">
      <w:pPr>
        <w:pStyle w:val="Normaltindrag"/>
      </w:pPr>
      <w:r w:rsidRPr="00A35B3E">
        <w:t>I motionerna Fi12, Fi24 och Fi30 (samtliga m) framhålls att rättsväsendet är i behov av upprustning, bl.a. måste rättstryggheten för medborgarna fö</w:t>
      </w:r>
      <w:r w:rsidRPr="00A35B3E">
        <w:t>r</w:t>
      </w:r>
      <w:r w:rsidRPr="00A35B3E">
        <w:t>bättras och människors förtroende för rättsväsendet återupprättas. I detta syfte måste satsningar av olika slag göras hos framförallt polisen och do</w:t>
      </w:r>
      <w:r w:rsidRPr="00A35B3E">
        <w:t>m</w:t>
      </w:r>
      <w:r w:rsidRPr="00A35B3E">
        <w:t>stola</w:t>
      </w:r>
      <w:r w:rsidRPr="00A35B3E">
        <w:t>r</w:t>
      </w:r>
      <w:r w:rsidRPr="00A35B3E">
        <w:t xml:space="preserve">na. </w:t>
      </w:r>
    </w:p>
    <w:p w:rsidR="0000161E" w:rsidRPr="00A35B3E" w:rsidRDefault="0000161E">
      <w:pPr>
        <w:pStyle w:val="Normaltindrag"/>
      </w:pPr>
      <w:r w:rsidRPr="00A35B3E">
        <w:t>Även motionärerna bakom motion Fi14 (c) anser i liknande syfte att sat</w:t>
      </w:r>
      <w:r w:rsidRPr="00A35B3E">
        <w:t>s</w:t>
      </w:r>
      <w:r w:rsidRPr="00A35B3E">
        <w:t>ningar skall göras för att förstärka polisen och domstolsväsendet.</w:t>
      </w:r>
      <w:bookmarkStart w:id="28" w:name="_Toc451059669"/>
      <w:r w:rsidRPr="00A35B3E">
        <w:t xml:space="preserve"> Motion</w:t>
      </w:r>
      <w:r w:rsidRPr="00A35B3E">
        <w:t>ä</w:t>
      </w:r>
      <w:r w:rsidRPr="00A35B3E">
        <w:t>rerna framhåller också att skyddet för målsägande och vittnen måste förbät</w:t>
      </w:r>
      <w:r w:rsidRPr="00A35B3E">
        <w:t>t</w:t>
      </w:r>
      <w:r w:rsidRPr="00A35B3E">
        <w:t>ras och att ytterligare medel måste tillföras kriminalvården i syfte att u</w:t>
      </w:r>
      <w:r w:rsidRPr="00A35B3E">
        <w:t>t</w:t>
      </w:r>
      <w:r w:rsidRPr="00A35B3E">
        <w:t>veckla dess verksamhet.</w:t>
      </w:r>
    </w:p>
    <w:p w:rsidR="0000161E" w:rsidRPr="00A35B3E" w:rsidRDefault="0000161E">
      <w:pPr>
        <w:pStyle w:val="Rubrik3"/>
      </w:pPr>
      <w:bookmarkStart w:id="29" w:name="_Toc482686468"/>
      <w:r w:rsidRPr="00A35B3E">
        <w:t>Överv</w:t>
      </w:r>
      <w:r w:rsidRPr="00A35B3E">
        <w:t>ä</w:t>
      </w:r>
      <w:r w:rsidRPr="00A35B3E">
        <w:t>ganden</w:t>
      </w:r>
      <w:bookmarkEnd w:id="28"/>
      <w:bookmarkEnd w:id="29"/>
    </w:p>
    <w:p w:rsidR="0000161E" w:rsidRPr="00A35B3E" w:rsidRDefault="0000161E">
      <w:r w:rsidRPr="00A35B3E">
        <w:t>Riksdagen har tidigare fastställt utgiftstaket för staten för budgetåren 2001 och 2002 till 790 respektive 814 miljarder kronor. I detta ärende föreslår regeringen att en teknisk justering görs och att utgiftstaket för dessa år b</w:t>
      </w:r>
      <w:r w:rsidRPr="00A35B3E">
        <w:t>e</w:t>
      </w:r>
      <w:r w:rsidRPr="00A35B3E">
        <w:t>stäms till 792 respektive 817 miljarder kronor. Regeringen föreslår också att ett utgiftstak om 847 miljarder kronor fastställs för år 2003. Regeringen begär vidare att riksdagen skall fastställa den preliminära fördelningen på utgiftsområden för åren 2001–2003. Denna skall sedan tjäna som riktlinje för regeringens budgeta</w:t>
      </w:r>
      <w:r w:rsidRPr="00A35B3E">
        <w:t>r</w:t>
      </w:r>
      <w:r w:rsidRPr="00A35B3E">
        <w:t xml:space="preserve">bete. </w:t>
      </w:r>
    </w:p>
    <w:p w:rsidR="0000161E" w:rsidRPr="00A35B3E" w:rsidRDefault="0000161E">
      <w:pPr>
        <w:pStyle w:val="Normaltindrag"/>
      </w:pPr>
      <w:r w:rsidRPr="00A35B3E">
        <w:t>Justitieutskottet har att yttra sig till finansutskottet över storleken på den utgiftsram som föreslås för utgiftsområde 4 Rättsväsendet. Finansutskottet kommer sedan, efter att h</w:t>
      </w:r>
      <w:r w:rsidRPr="00A35B3E">
        <w:t>a inhämtat yttranden från samtliga berörda utskott, att göra en samlad bedömning och lägga fram ett förslag för riksd</w:t>
      </w:r>
      <w:r w:rsidRPr="00A35B3E">
        <w:t>a</w:t>
      </w:r>
      <w:r w:rsidRPr="00A35B3E">
        <w:t xml:space="preserve">gen. </w:t>
      </w:r>
    </w:p>
    <w:p w:rsidR="0000161E" w:rsidRPr="00A35B3E" w:rsidRDefault="0000161E">
      <w:pPr>
        <w:pStyle w:val="Normaltindrag"/>
      </w:pPr>
      <w:r w:rsidRPr="00A35B3E">
        <w:t>Till grund för de i ärendet aktuella motionerna ligger önskemål om fö</w:t>
      </w:r>
      <w:r w:rsidRPr="00A35B3E">
        <w:t>r</w:t>
      </w:r>
      <w:r w:rsidRPr="00A35B3E">
        <w:t>stärkningar till olika delar av rättsväsendet. Också regeringsförslaget utgår från behovet av sådana förstärkningar. Regeringen framhåller bl.a. att antalet poliser måste ökas och att närpolisverksamheten måste utvecklas. Förstär</w:t>
      </w:r>
      <w:r w:rsidRPr="00A35B3E">
        <w:t>k</w:t>
      </w:r>
      <w:r w:rsidRPr="00A35B3E">
        <w:t>ningar skall också göras inom åklagarväsendet, domstolsväsendet och krim</w:t>
      </w:r>
      <w:r w:rsidRPr="00A35B3E">
        <w:t>i</w:t>
      </w:r>
      <w:r w:rsidRPr="00A35B3E">
        <w:t>nalvå</w:t>
      </w:r>
      <w:r w:rsidRPr="00A35B3E">
        <w:t>r</w:t>
      </w:r>
      <w:r w:rsidRPr="00A35B3E">
        <w:t xml:space="preserve">den. </w:t>
      </w:r>
    </w:p>
    <w:p w:rsidR="0000161E" w:rsidRPr="00A35B3E" w:rsidRDefault="0000161E">
      <w:pPr>
        <w:pStyle w:val="Normaltindrag"/>
      </w:pPr>
      <w:r w:rsidRPr="00A35B3E">
        <w:t>Utskottet kommer att återkomma till frågan om anslagsförändringar i höst när beslut skall fattas om anslag för budgetåret 2001. Vad det nu främst handlar om är den övergripande prioriteringen mell</w:t>
      </w:r>
      <w:r w:rsidRPr="00A35B3E">
        <w:t>an utgiftso</w:t>
      </w:r>
      <w:r w:rsidRPr="00A35B3E">
        <w:t>m</w:t>
      </w:r>
      <w:r w:rsidRPr="00A35B3E">
        <w:t>råden.</w:t>
      </w:r>
    </w:p>
    <w:p w:rsidR="0000161E" w:rsidRPr="00A35B3E" w:rsidRDefault="0000161E">
      <w:pPr>
        <w:pStyle w:val="Normaltindrag"/>
      </w:pPr>
      <w:r w:rsidRPr="00A35B3E">
        <w:t>Vid behandlingen av förra årets vårproposition underströk utskottet (1998/99:JuU3y) att den centrala uppgiften för rättsväsendets myndigheter är att värna den enskildes rättssäkerhet och rättstrygghet, vilket ger verksa</w:t>
      </w:r>
      <w:r w:rsidRPr="00A35B3E">
        <w:t>m</w:t>
      </w:r>
      <w:r w:rsidRPr="00A35B3E">
        <w:t>heten inom rättsväsendet en särställning i den statliga verksamheten. U</w:t>
      </w:r>
      <w:r w:rsidRPr="00A35B3E">
        <w:t>t</w:t>
      </w:r>
      <w:r w:rsidRPr="00A35B3E">
        <w:t>skottet framhöll också att denna verksamhet är en förutsättning för ett fritt och demokratiskt samhälle samt att detta ställer särskilda krav. I fråga om de av regeringen föreslagna utgiftsramarna för rättsväsendet konstaterade u</w:t>
      </w:r>
      <w:r w:rsidRPr="00A35B3E">
        <w:t>t</w:t>
      </w:r>
      <w:r w:rsidRPr="00A35B3E">
        <w:t>skottet såvitt gällde år 2000 att förslaget, som innebar en förstärkning med 150 miljoner kronor, fick anses tillfredsställande. Såvitt gällde år 2001 och 2002 ville utskottet avvakta med sitt ställningstagand</w:t>
      </w:r>
      <w:r w:rsidRPr="00A35B3E">
        <w:t>e till dess att regeringen presenterat en utförlig redovisning av det medelsbehov som förelåg inom rättsv</w:t>
      </w:r>
      <w:r w:rsidRPr="00A35B3E">
        <w:t>ä</w:t>
      </w:r>
      <w:r w:rsidRPr="00A35B3E">
        <w:t>sendet.</w:t>
      </w:r>
    </w:p>
    <w:p w:rsidR="0000161E" w:rsidRPr="00A35B3E" w:rsidRDefault="0000161E">
      <w:pPr>
        <w:pStyle w:val="Normaltindrag"/>
      </w:pPr>
      <w:r w:rsidRPr="00A35B3E">
        <w:t>Utskottet behandlade frågan om utgiftsramen för rättsväsendet senast i samband med budgetpropositionen för innevarande år (bet. 1999/2000:JuU1 och 1999/2000:JuU1y). Utskottet konstaterade därvid att det i stort delade regeringens bedömningar beträffande medelsbehovet och prioriteringar inom utgiftsområdet. Utskottet ville dock framhålla att anledning fanns till oro inför framtiden. Utskottet höl</w:t>
      </w:r>
      <w:r w:rsidRPr="00A35B3E">
        <w:t>l för sin del för sannolikt att förstärkningar skulle bli nödvändiga då vissa anslag inom utgiftsområdet under de senaste åren bestämts så att det uppbyggda anslagssparandet skulle komma att tas i anspråk för den löpande verksamheten. Enligt utskottet hade så också skett och medelsbehovet skulle nu, i den utsträckning verksamheten inte samtidigt minskat i omfattning eller effektiviserats, komma att göra sig gällande. U</w:t>
      </w:r>
      <w:r w:rsidRPr="00A35B3E">
        <w:t>t</w:t>
      </w:r>
      <w:r w:rsidRPr="00A35B3E">
        <w:t>skottet framhöll därvid att hänsyn också behövde tas till effekterna av den s.k. rättsked</w:t>
      </w:r>
      <w:r w:rsidRPr="00A35B3E">
        <w:t>jan. – Denna innebär i korthet att ett effektivare polisarbete ett visst år något år senare kommer att påverka medelsbehovet inom i tur och ordning åklagarverksamheten, domstolsväsendet och kriminalvården. – E</w:t>
      </w:r>
      <w:r w:rsidRPr="00A35B3E">
        <w:t>n</w:t>
      </w:r>
      <w:r w:rsidRPr="00A35B3E">
        <w:t>ligt utskottet hade dock regeringen frågan om det framtida medelsbehovet under bevakning och avsåg att behandla frågan i den nu aktuella vårpropos</w:t>
      </w:r>
      <w:r w:rsidRPr="00A35B3E">
        <w:t>i</w:t>
      </w:r>
      <w:r w:rsidRPr="00A35B3E">
        <w:t>tionen.</w:t>
      </w:r>
    </w:p>
    <w:p w:rsidR="0000161E" w:rsidRPr="00A35B3E" w:rsidRDefault="0000161E">
      <w:pPr>
        <w:pStyle w:val="Normaltindrag"/>
      </w:pPr>
      <w:r w:rsidRPr="00A35B3E">
        <w:t xml:space="preserve">Utskottet vill med anledning av nu aktuellt förslag till utgiftsram år 2001–2003 för utgiftsområde 4 framhålla följande. </w:t>
      </w:r>
    </w:p>
    <w:p w:rsidR="0000161E" w:rsidRPr="00A35B3E" w:rsidRDefault="0000161E">
      <w:pPr>
        <w:pStyle w:val="Normaltindrag"/>
      </w:pPr>
      <w:r w:rsidRPr="00A35B3E">
        <w:t>Som utskottet tidigare påtalat är en fungerande verksamhet inom rättsv</w:t>
      </w:r>
      <w:r w:rsidRPr="00A35B3E">
        <w:t>ä</w:t>
      </w:r>
      <w:r w:rsidRPr="00A35B3E">
        <w:t>sendet en förutsättning för ett fritt och demokratiskt samhälle. Enligt utsko</w:t>
      </w:r>
      <w:r w:rsidRPr="00A35B3E">
        <w:t>t</w:t>
      </w:r>
      <w:r w:rsidRPr="00A35B3E">
        <w:t>tet är det därför mycket viktigt att rättsväsendet har tillgång till erforderliga medel för att kunna lösa sina uppgifter och för att verksamheten skall kunna utvecklas och moderniseras i enlighet med de mål som statsmakterna har ställt upp. För närvarande har vissa av myndigheterna inom utgiftsområdet svårigheter med att få verksamheten att rymmas inom fastställda ramar. Samtidigt saknar myndigheterna möjlighet att påverka omfat</w:t>
      </w:r>
      <w:r w:rsidRPr="00A35B3E">
        <w:t>tningen av ver</w:t>
      </w:r>
      <w:r w:rsidRPr="00A35B3E">
        <w:t>k</w:t>
      </w:r>
      <w:r w:rsidRPr="00A35B3E">
        <w:t>samheten. En resursförstärkning inom rättsväsendet är därför nödvändig. Regeringens förslag vad gäller utgiftsramarna innebär också att rättsväsendet tillförs ytterligare resurser. De föreslagna förstärkningarna är enligt utskottet tillfredsställande. Med hänsyn till bl.a. effekterna av den s.k. rättskedjan är det dock av vikt att regeringen fortsätter att noga följa rättsväsendets ver</w:t>
      </w:r>
      <w:r w:rsidRPr="00A35B3E">
        <w:t>k</w:t>
      </w:r>
      <w:r w:rsidRPr="00A35B3E">
        <w:t>samhet och resultat och återkommer till riksdagen om de ytterligare insatser som erfordras. Att en sådan upp</w:t>
      </w:r>
      <w:r w:rsidRPr="00A35B3E">
        <w:t xml:space="preserve">följning kommer att ske har regeringen också utfäst. </w:t>
      </w:r>
    </w:p>
    <w:p w:rsidR="0000161E" w:rsidRPr="00A35B3E" w:rsidRDefault="0000161E">
      <w:pPr>
        <w:pStyle w:val="Normaltindrag"/>
      </w:pPr>
      <w:r w:rsidRPr="00A35B3E">
        <w:t xml:space="preserve">Mot bakgrund av det anförda föreslår justitieutskottet att finansutskottet tillstyrker regeringens förslag till preliminär utgiftsram för utgiftsområde 4 Rättsväsendet år 2001–2003. Här behandlade delar av motionerna Fi12, Fi13, Fi14, Fi15, Fi24 och Fi30 bör avstyrkas. </w:t>
      </w:r>
    </w:p>
    <w:p w:rsidR="0000161E" w:rsidRPr="00A35B3E" w:rsidRDefault="0000161E">
      <w:pPr>
        <w:pStyle w:val="Normaltindrag"/>
      </w:pPr>
    </w:p>
    <w:p w:rsidR="0000161E" w:rsidRPr="00A35B3E" w:rsidRDefault="0000161E">
      <w:pPr>
        <w:pStyle w:val="Stockholm"/>
      </w:pPr>
      <w:r w:rsidRPr="00A35B3E">
        <w:t xml:space="preserve">Stockholm den 11 maj 2000 </w:t>
      </w:r>
    </w:p>
    <w:p w:rsidR="0000161E" w:rsidRPr="00A35B3E" w:rsidRDefault="0000161E">
      <w:pPr>
        <w:pStyle w:val="Vgnar"/>
      </w:pPr>
      <w:r w:rsidRPr="00A35B3E">
        <w:t>På justitieutskottets vägnar</w:t>
      </w:r>
    </w:p>
    <w:p w:rsidR="0000161E" w:rsidRPr="00A35B3E" w:rsidRDefault="0000161E">
      <w:pPr>
        <w:pStyle w:val="Ordfnamn"/>
      </w:pPr>
      <w:bookmarkStart w:id="30" w:name="Ordförande"/>
      <w:bookmarkEnd w:id="30"/>
      <w:r w:rsidRPr="00A35B3E">
        <w:t xml:space="preserve">Gun Hellsvik </w:t>
      </w:r>
    </w:p>
    <w:p w:rsidR="0000161E" w:rsidRPr="00A35B3E" w:rsidRDefault="0000161E">
      <w:pPr>
        <w:pStyle w:val="Deltagare"/>
      </w:pPr>
      <w:bookmarkStart w:id="31" w:name="Deltagare"/>
      <w:bookmarkEnd w:id="31"/>
      <w:r w:rsidRPr="00A35B3E">
        <w:t>I beslutet har deltagit: Gun Hellsvik (m), Märta Johansson (s), Margareta Sandgren (s), Ingemar Vänerlöv (kd), Ann-Marie Fagerström (s), Maud Ekendahl (m), Helena Zakariasén (s), Morgan Johansson (s), Yvonne O</w:t>
      </w:r>
      <w:r w:rsidRPr="00A35B3E">
        <w:t>s</w:t>
      </w:r>
      <w:r w:rsidRPr="00A35B3E">
        <w:t>carsson (v), Ragnwi Marcelind (kd), Jeppe Johnsson (m), Kia Andreasson (mp), Gunnel Wallin (c), Siw Persson (fp), Göran Norlander (s), Anita Sidén (m) och Sven-Erik Sj</w:t>
      </w:r>
      <w:r w:rsidRPr="00A35B3E">
        <w:t>ö</w:t>
      </w:r>
      <w:r w:rsidRPr="00A35B3E">
        <w:t>strand (v).</w:t>
      </w:r>
    </w:p>
    <w:p w:rsidR="0000161E" w:rsidRPr="00A35B3E" w:rsidRDefault="0000161E">
      <w:pPr>
        <w:pStyle w:val="Rubrik1"/>
        <w:spacing w:before="123"/>
      </w:pPr>
      <w:bookmarkStart w:id="32" w:name="_Toc482686469"/>
      <w:r w:rsidRPr="00A35B3E">
        <w:t>Avvikande meningar</w:t>
      </w:r>
      <w:bookmarkEnd w:id="32"/>
    </w:p>
    <w:p w:rsidR="0000161E" w:rsidRPr="00A35B3E" w:rsidRDefault="0000161E">
      <w:pPr>
        <w:pStyle w:val="Rubrik5"/>
      </w:pPr>
      <w:r w:rsidRPr="00A35B3E">
        <w:t>1. Gun Hellsvik (m), Maud Ekendahl (m), Jeppe Johnsson (m) och Anita Sidén (m) anför:</w:t>
      </w:r>
    </w:p>
    <w:p w:rsidR="0000161E" w:rsidRPr="00A35B3E" w:rsidRDefault="0000161E">
      <w:r w:rsidRPr="00A35B3E">
        <w:t>Vi anser att en av statens främsta uppgifter är att skapa ett tryggt samhälle för medborgarna, bl.a. genom att skydda dem mot brottsliga angrepp. Rätt</w:t>
      </w:r>
      <w:r w:rsidRPr="00A35B3E">
        <w:t>s</w:t>
      </w:r>
      <w:r w:rsidRPr="00A35B3E">
        <w:t>väsendets arbete är i detta sammanhang av stor betydelse. De senaste årens besparingar har emellertid lett till en kris inom rättsväsendet. Krisen visar sig bl.a. i att polisen redovisar allt färre ärenden till åklagare och i en oroande brottsutveckling. För att kunna rusta upp rättsväsendet och öka tryggheten för medborgarna krävs betydligt större förstärkningar än de som regeringen nu föreslår. Framförallt måste polisen förstärkas. Bland annat måste resurser finnas att anställa fler personer med speciali</w:t>
      </w:r>
      <w:r w:rsidRPr="00A35B3E">
        <w:t>stkompetens så att den uniform</w:t>
      </w:r>
      <w:r w:rsidRPr="00A35B3E">
        <w:t>e</w:t>
      </w:r>
      <w:r w:rsidRPr="00A35B3E">
        <w:t>rade polisen kan avlastas. Vidare måste antalet poliser utökas till minst       19 000 under de kommande åren. I detta syfte krävs en ökad antagning till polisutbildningen som bör förläggas till ytterligare en eller ett par orter. För att ge polisen möjlighet att utreda medborgarnas anmälningar om brott inom rimlig tid bör också särskilda utredningspoliser utbildas samt investeringar göras i polisens tekniksystem. Även domstolsväsendet och kriminalvården måste förstärkas så at</w:t>
      </w:r>
      <w:r w:rsidRPr="00A35B3E">
        <w:t>t de kan fullgöra de uppgifter som har ålagts dem. Det är väsentligt att de straffsatser som lagen föreskriver realiseras och att stra</w:t>
      </w:r>
      <w:r w:rsidRPr="00A35B3E">
        <w:t>f</w:t>
      </w:r>
      <w:r w:rsidRPr="00A35B3E">
        <w:t>fen döms ut i så nära anslutning till brotten som möjligt. Det är också viktigt att de som är dömda till fängelse inom rimlig tid kan placeras ut på anstalt för att verkställa sitt straff och att de under anstaltsvistelsen erbjuds ett m</w:t>
      </w:r>
      <w:r w:rsidRPr="00A35B3E">
        <w:t>e</w:t>
      </w:r>
      <w:r w:rsidRPr="00A35B3E">
        <w:t>ningsfullt verkställi</w:t>
      </w:r>
      <w:r w:rsidRPr="00A35B3E">
        <w:t>g</w:t>
      </w:r>
      <w:r w:rsidRPr="00A35B3E">
        <w:t>hetsinnehåll.</w:t>
      </w:r>
    </w:p>
    <w:p w:rsidR="0000161E" w:rsidRPr="00A35B3E" w:rsidRDefault="0000161E">
      <w:pPr>
        <w:pStyle w:val="Normaltindrag"/>
      </w:pPr>
      <w:r w:rsidRPr="00A35B3E">
        <w:t>Mot bakgrund av vad vi nu har anfört anser vi att justitieutskottet borde ha uppmanat finansutskottet at</w:t>
      </w:r>
      <w:r w:rsidRPr="00A35B3E">
        <w:t>t föreslå riksdagen att med anledning av moti</w:t>
      </w:r>
      <w:r w:rsidRPr="00A35B3E">
        <w:t>o</w:t>
      </w:r>
      <w:r w:rsidRPr="00A35B3E">
        <w:t>nerna Fi12, Fi24 och Fi30 i behandlade delar och med avslag på övriga m</w:t>
      </w:r>
      <w:r w:rsidRPr="00A35B3E">
        <w:t>o</w:t>
      </w:r>
      <w:r w:rsidRPr="00A35B3E">
        <w:t>tioner fastställa utgiftsramarna för rättsväsendet för budgetåren 2001–2003 till ett 1 023, 846 respektive 846 miljoner kronor högre belopp än regeringen för</w:t>
      </w:r>
      <w:r w:rsidRPr="00A35B3E">
        <w:t>e</w:t>
      </w:r>
      <w:r w:rsidRPr="00A35B3E">
        <w:t>slagit.</w:t>
      </w:r>
    </w:p>
    <w:p w:rsidR="0000161E" w:rsidRPr="00A35B3E" w:rsidRDefault="0000161E">
      <w:pPr>
        <w:pStyle w:val="Rubrik5"/>
      </w:pPr>
      <w:r w:rsidRPr="00A35B3E">
        <w:t>2. Ingemar Vänerlöv (kd) och Ragnwi Marcelind (kd) anför:</w:t>
      </w:r>
    </w:p>
    <w:p w:rsidR="0000161E" w:rsidRPr="00A35B3E" w:rsidRDefault="0000161E">
      <w:r w:rsidRPr="00A35B3E">
        <w:t>Vi har tidigare motsatt oss de nedskärningar som skett inom rättsväsendet och anser att ytterligare resurser nu måste tillföras. Polisen måste förstärkas så att ytterligare poliser kan arbeta ute på fältet. Bland annat måste antalet platser på polisutbildningen utökas kraftigt och arbetet vid närpoliskontoren utvecklas. Också i syfte att klara av det extra arbete som kommer att följa av Schengensamarbetet måste polisen tillföras mer resurser. Även åklagarv</w:t>
      </w:r>
      <w:r w:rsidRPr="00A35B3E">
        <w:t>ä</w:t>
      </w:r>
      <w:r w:rsidRPr="00A35B3E">
        <w:t>sendet och domstolsväsendet måste förstärkas. Antalet platser för nya åkl</w:t>
      </w:r>
      <w:r w:rsidRPr="00A35B3E">
        <w:t>a</w:t>
      </w:r>
      <w:r w:rsidRPr="00A35B3E">
        <w:t>gare måste öka liksom fortbildningen och kompetensutvecklingen inom åklagarväsendet. Inom domstolsväsendet bör extra resurser framförallt ges hovrätterna och kammarrätterna så att de kan avgöra inkomna mål inom en rimlig tid. För att tillförsäkra en snabbare hantering av bl.a. ungdomsbrott bör också särskilda ungdoms- och jourdomstolar inrättas. Slutligen måste kriminalvården och BRÅ ges mer resurser. Inom kriminalvården behövs först</w:t>
      </w:r>
      <w:r w:rsidRPr="00A35B3E">
        <w:t>ärkningar bl.a. för att utveckla programverksamheten och för att förbät</w:t>
      </w:r>
      <w:r w:rsidRPr="00A35B3E">
        <w:t>t</w:t>
      </w:r>
      <w:r w:rsidRPr="00A35B3E">
        <w:t xml:space="preserve">ra utslussningen ur fängelserna. BRÅ bör ges mer resurser till att stödja det lokala brottsförebyggande arbetet. </w:t>
      </w:r>
    </w:p>
    <w:p w:rsidR="0000161E" w:rsidRPr="00A35B3E" w:rsidRDefault="0000161E">
      <w:pPr>
        <w:pStyle w:val="Normaltindrag"/>
      </w:pPr>
      <w:r w:rsidRPr="00A35B3E">
        <w:t>Mot bakgrund av vad vi nu har anfört anser vi att justitieutskottet borde ha uppmanat finansutskottet att föreslå riksdagen att med anledning av motion Fi13 i behandlade delar och med avslag på övriga motioner fastställa utgift</w:t>
      </w:r>
      <w:r w:rsidRPr="00A35B3E">
        <w:t>s</w:t>
      </w:r>
      <w:r w:rsidRPr="00A35B3E">
        <w:t>ramarna för rättsväsendet för budgetåren 2001–2003 till ett 250, 190 respe</w:t>
      </w:r>
      <w:r w:rsidRPr="00A35B3E">
        <w:t>k</w:t>
      </w:r>
      <w:r w:rsidRPr="00A35B3E">
        <w:t>tive 100 miljoner kronor högre belopp än regeringen föreslagit.</w:t>
      </w:r>
    </w:p>
    <w:p w:rsidR="0000161E" w:rsidRPr="00A35B3E" w:rsidRDefault="0000161E">
      <w:pPr>
        <w:pStyle w:val="Rubrik5"/>
      </w:pPr>
      <w:r w:rsidRPr="00A35B3E">
        <w:t>3. Gunnel Wallin (c) anför:</w:t>
      </w:r>
    </w:p>
    <w:p w:rsidR="0000161E" w:rsidRPr="00A35B3E" w:rsidRDefault="0000161E">
      <w:r w:rsidRPr="00A35B3E">
        <w:t>Jag anser att en av samhällets hörnstenar är att garantera människors säkerhet och trygghet. För detta krävs ett effektivt, hållbart och trovärdigt rättssystem. Det är i och för sig bra att regeringen nu har insett behoven av ökade anslag inom rättsväsendet. Ytterligare förstärkningar krävs dock. Bland annat måste skyddet för målsäganden och vittnen förbättras och domstolsväsendet fö</w:t>
      </w:r>
      <w:r w:rsidRPr="00A35B3E">
        <w:t>r</w:t>
      </w:r>
      <w:r w:rsidRPr="00A35B3E">
        <w:t>stärkas i syfte att öka människors förtroende för rättsväsendet. Vidare måste polisväsendet kraftigt förstärkas både vad gäller civilanställda och poliser. För det senare ändamålet måste ytterligare två polishögskolor inrättas. Enligt min uppfattning bör ett av målen inom rättsväsendet vara att ha polisiär närvaro dygnet runt i varje kommun och, i de stora städerna, i varje stadsdel. En angelägen åtgärd är härvid att stärka närpolisreformens genomslag och att begränsa närpolisernas ansvar i utryckningsverk</w:t>
      </w:r>
      <w:r w:rsidRPr="00A35B3E">
        <w:t>samheten. Också åklagarv</w:t>
      </w:r>
      <w:r w:rsidRPr="00A35B3E">
        <w:t>ä</w:t>
      </w:r>
      <w:r w:rsidRPr="00A35B3E">
        <w:t>sendet och kriminalvården måste förstärkas. Framförallt måste programver</w:t>
      </w:r>
      <w:r w:rsidRPr="00A35B3E">
        <w:t>k</w:t>
      </w:r>
      <w:r w:rsidRPr="00A35B3E">
        <w:t>samheten och övriga behandlingsinsatser inom kriminalvården utvecklas. Även frigivningsförberedelserna för dem som är intagna på anstalt måste förbättras.</w:t>
      </w:r>
    </w:p>
    <w:p w:rsidR="0000161E" w:rsidRPr="00A35B3E" w:rsidRDefault="0000161E">
      <w:pPr>
        <w:pStyle w:val="Normaltindrag"/>
      </w:pPr>
      <w:r w:rsidRPr="00A35B3E">
        <w:t>Mot bakgrund av vad jag nu har anfört anser jag att justitieutskottet borde ha uppmanat finansutskottet att föreslå riksdagen att med anledning av m</w:t>
      </w:r>
      <w:r w:rsidRPr="00A35B3E">
        <w:t>o</w:t>
      </w:r>
      <w:r w:rsidRPr="00A35B3E">
        <w:t>tion Fi14 i behandlade delar och med avslag på övriga motioner fastställa utgiftsramarna för rättsväsendet för budgetåren 2001–2003 till ett 100, 200 respe</w:t>
      </w:r>
      <w:r w:rsidRPr="00A35B3E">
        <w:t>k</w:t>
      </w:r>
      <w:r w:rsidRPr="00A35B3E">
        <w:t>tive 300 miljoner kronor högre belopp än regeringen föreslagit.</w:t>
      </w:r>
    </w:p>
    <w:p w:rsidR="0000161E" w:rsidRPr="00A35B3E" w:rsidRDefault="0000161E">
      <w:pPr>
        <w:pStyle w:val="Rubrik5"/>
      </w:pPr>
      <w:r w:rsidRPr="00A35B3E">
        <w:t>4. Siw Persson (fp) anför:</w:t>
      </w:r>
    </w:p>
    <w:p w:rsidR="0000161E" w:rsidRPr="00A35B3E" w:rsidRDefault="0000161E">
      <w:r w:rsidRPr="00A35B3E">
        <w:t>Jag anser att rättsstaten måste ges tillräckliga resurser för att kunna upprät</w:t>
      </w:r>
      <w:r w:rsidRPr="00A35B3E">
        <w:t>t</w:t>
      </w:r>
      <w:r w:rsidRPr="00A35B3E">
        <w:t>hålla rättssäkerheten och rättstryggheten på ett tillfredsställande sätt. Den satsning som regeringen nu aviserar är inte tillräcklig. Framförallt behöver domstolsväsendet och polisen ytterligare resurser. Under senare år har     genomströmningstiderna för målen i domstolarna förlängts. Även i övrigt har arbetssituationen i domstolarna försämrats. Detta är enligt min mening oa</w:t>
      </w:r>
      <w:r w:rsidRPr="00A35B3E">
        <w:t>c</w:t>
      </w:r>
      <w:r w:rsidRPr="00A35B3E">
        <w:t>ceptabelt. Vad gäller polisen kommer bl.a. Schengenavtalet att medföra ökade kostnader som måste kompenseras. Därtill kommer att sä</w:t>
      </w:r>
      <w:r w:rsidRPr="00A35B3E">
        <w:t>rskilda sat</w:t>
      </w:r>
      <w:r w:rsidRPr="00A35B3E">
        <w:t>s</w:t>
      </w:r>
      <w:r w:rsidRPr="00A35B3E">
        <w:t>ningar måste göras för att hjälpa och skydda utsatta kvinnor i samhället.</w:t>
      </w:r>
    </w:p>
    <w:p w:rsidR="0000161E" w:rsidRPr="00A35B3E" w:rsidRDefault="0000161E">
      <w:pPr>
        <w:pStyle w:val="Normaltindrag"/>
        <w:sectPr w:rsidR="00000000" w:rsidRPr="00A35B3E">
          <w:headerReference w:type="default" r:id="rId9"/>
          <w:footerReference w:type="default" r:id="rId10"/>
          <w:pgSz w:w="11906" w:h="16838" w:code="9"/>
          <w:pgMar w:top="567" w:right="4876" w:bottom="4253" w:left="1134" w:header="227" w:footer="227" w:gutter="0"/>
          <w:cols w:space="720"/>
        </w:sectPr>
      </w:pPr>
      <w:r w:rsidRPr="00A35B3E">
        <w:t>Mot bakgrund av vad jag nu har anfört anser jag att justitieutskottet borde ha uppmanat finansutskottet att föreslå riksdagen att med anledning av m</w:t>
      </w:r>
      <w:r w:rsidRPr="00A35B3E">
        <w:t>o</w:t>
      </w:r>
      <w:r w:rsidRPr="00A35B3E">
        <w:t>tion Fi15 i behandlade delar och med avslag på övriga motioner fastställa utgiftsramarna för rättsväsendet för budgetåren 2001–2003 till ett 292, 322 respe</w:t>
      </w:r>
      <w:r w:rsidRPr="00A35B3E">
        <w:t>k</w:t>
      </w:r>
      <w:r w:rsidRPr="00A35B3E">
        <w:t>tive 322 miljoner kronor högre belopp än regeringen föreslagit.</w:t>
      </w:r>
      <w:bookmarkStart w:id="33" w:name="Nästa_Reservation"/>
      <w:bookmarkEnd w:id="33"/>
      <w:r w:rsidRPr="00A35B3E">
        <w:t xml:space="preserve"> </w:t>
      </w:r>
    </w:p>
    <w:p w:rsidR="0000161E" w:rsidRPr="00A35B3E" w:rsidRDefault="0000161E">
      <w:pPr>
        <w:pStyle w:val="Innehll"/>
        <w:outlineLvl w:val="1"/>
      </w:pPr>
      <w:r w:rsidRPr="00A35B3E">
        <w:t>Innehållsförteckning</w:t>
      </w:r>
    </w:p>
    <w:p w:rsidR="0000161E" w:rsidRPr="00A35B3E" w:rsidRDefault="0000161E">
      <w:pPr>
        <w:pStyle w:val="Innehll1"/>
      </w:pPr>
      <w:r w:rsidRPr="00A35B3E">
        <w:t>Till finansutskottet</w:t>
      </w:r>
      <w:r w:rsidRPr="00A35B3E">
        <w:tab/>
        <w:t>1</w:t>
      </w:r>
    </w:p>
    <w:p w:rsidR="0000161E" w:rsidRPr="00A35B3E" w:rsidRDefault="0000161E">
      <w:pPr>
        <w:pStyle w:val="Innehll2"/>
      </w:pPr>
      <w:r w:rsidRPr="00A35B3E">
        <w:t>Inledning</w:t>
      </w:r>
      <w:r w:rsidRPr="00A35B3E">
        <w:tab/>
        <w:t>1</w:t>
      </w:r>
    </w:p>
    <w:p w:rsidR="0000161E" w:rsidRPr="00A35B3E" w:rsidRDefault="0000161E">
      <w:pPr>
        <w:pStyle w:val="Innehll2"/>
      </w:pPr>
      <w:r w:rsidRPr="00A35B3E">
        <w:t>Utskottet</w:t>
      </w:r>
      <w:r w:rsidRPr="00A35B3E">
        <w:tab/>
        <w:t>2</w:t>
      </w:r>
    </w:p>
    <w:p w:rsidR="0000161E" w:rsidRPr="00A35B3E" w:rsidRDefault="0000161E">
      <w:pPr>
        <w:pStyle w:val="Innehll3"/>
      </w:pPr>
      <w:r w:rsidRPr="00A35B3E">
        <w:t>Propositionen</w:t>
      </w:r>
      <w:r w:rsidRPr="00A35B3E">
        <w:tab/>
        <w:t>2</w:t>
      </w:r>
    </w:p>
    <w:p w:rsidR="0000161E" w:rsidRPr="00A35B3E" w:rsidRDefault="0000161E">
      <w:pPr>
        <w:pStyle w:val="Innehll3"/>
      </w:pPr>
      <w:r w:rsidRPr="00A35B3E">
        <w:t>Motionerna</w:t>
      </w:r>
      <w:r w:rsidRPr="00A35B3E">
        <w:tab/>
        <w:t>3</w:t>
      </w:r>
    </w:p>
    <w:p w:rsidR="0000161E" w:rsidRPr="00A35B3E" w:rsidRDefault="0000161E">
      <w:pPr>
        <w:pStyle w:val="Innehll3"/>
      </w:pPr>
      <w:r w:rsidRPr="00A35B3E">
        <w:t>Överväganden</w:t>
      </w:r>
      <w:r w:rsidRPr="00A35B3E">
        <w:tab/>
        <w:t>5</w:t>
      </w:r>
    </w:p>
    <w:p w:rsidR="0000161E" w:rsidRPr="00A35B3E" w:rsidRDefault="0000161E">
      <w:pPr>
        <w:pStyle w:val="Innehll1"/>
      </w:pPr>
      <w:r w:rsidRPr="00A35B3E">
        <w:t>Avvikande meningar</w:t>
      </w:r>
      <w:r w:rsidRPr="00A35B3E">
        <w:tab/>
        <w:t>7</w:t>
      </w:r>
    </w:p>
    <w:p w:rsidR="0000161E" w:rsidRPr="00A35B3E" w:rsidRDefault="0000161E"/>
    <w:p w:rsidR="0000161E" w:rsidRPr="00A35B3E" w:rsidRDefault="0000161E">
      <w:pPr>
        <w:pStyle w:val="Tryckort"/>
        <w:framePr w:wrap="around"/>
      </w:pPr>
      <w:r w:rsidRPr="00A35B3E">
        <w:t>Elanders Gotab, Stockholm  2000</w:t>
      </w:r>
    </w:p>
    <w:p w:rsidR="0000161E" w:rsidRPr="00A35B3E" w:rsidRDefault="0000161E">
      <w:pPr>
        <w:pStyle w:val="Normaltindrag"/>
      </w:pPr>
    </w:p>
    <w:sectPr w:rsidR="0000161E" w:rsidRPr="00A35B3E">
      <w:headerReference w:type="default" r:id="rId11"/>
      <w:footerReference w:type="default" r:id="rId12"/>
      <w:pgSz w:w="11906" w:h="16838" w:code="9"/>
      <w:pgMar w:top="567" w:right="4876" w:bottom="4508" w:left="1134" w:header="227"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161E" w:rsidRPr="00A35B3E" w:rsidRDefault="0000161E">
      <w:pPr>
        <w:spacing w:before="0" w:line="240" w:lineRule="auto"/>
      </w:pPr>
      <w:r w:rsidRPr="00A35B3E">
        <w:separator/>
      </w:r>
    </w:p>
  </w:endnote>
  <w:endnote w:type="continuationSeparator" w:id="0">
    <w:p w:rsidR="0000161E" w:rsidRPr="00A35B3E" w:rsidRDefault="0000161E">
      <w:pPr>
        <w:spacing w:before="0" w:line="240" w:lineRule="auto"/>
      </w:pPr>
      <w:r w:rsidRPr="00A35B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161E" w:rsidRPr="00A35B3E" w:rsidRDefault="0000161E">
    <w:pPr>
      <w:pStyle w:val="SidfotH"/>
      <w:framePr w:wrap="around"/>
    </w:pPr>
    <w:r w:rsidRPr="00A35B3E">
      <w:fldChar w:fldCharType="begin" w:fldLock="1"/>
    </w:r>
    <w:r w:rsidRPr="00A35B3E">
      <w:instrText xml:space="preserve"> PAGE </w:instrText>
    </w:r>
    <w:r w:rsidRPr="00A35B3E">
      <w:fldChar w:fldCharType="separate"/>
    </w:r>
    <w:r w:rsidRPr="00A35B3E">
      <w:t>1</w:t>
    </w:r>
    <w:r w:rsidRPr="00A35B3E">
      <w:fldChar w:fldCharType="end"/>
    </w:r>
  </w:p>
  <w:p w:rsidR="0000161E" w:rsidRPr="00A35B3E" w:rsidRDefault="0000161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161E" w:rsidRPr="00A35B3E" w:rsidRDefault="0000161E">
    <w:pPr>
      <w:pStyle w:val="SidfotH"/>
      <w:framePr w:wrap="around"/>
    </w:pPr>
    <w:r w:rsidRPr="00A35B3E">
      <w:fldChar w:fldCharType="begin" w:fldLock="1"/>
    </w:r>
    <w:r w:rsidRPr="00A35B3E">
      <w:instrText xml:space="preserve"> PAGE </w:instrText>
    </w:r>
    <w:r w:rsidRPr="00A35B3E">
      <w:fldChar w:fldCharType="separate"/>
    </w:r>
    <w:r w:rsidRPr="00A35B3E">
      <w:t>9</w:t>
    </w:r>
    <w:r w:rsidRPr="00A35B3E">
      <w:fldChar w:fldCharType="end"/>
    </w:r>
  </w:p>
  <w:p w:rsidR="0000161E" w:rsidRPr="00A35B3E" w:rsidRDefault="0000161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161E" w:rsidRPr="00A35B3E" w:rsidRDefault="0000161E">
      <w:pPr>
        <w:pStyle w:val="Sidfot"/>
      </w:pPr>
    </w:p>
  </w:footnote>
  <w:footnote w:type="continuationSeparator" w:id="0">
    <w:p w:rsidR="0000161E" w:rsidRPr="00A35B3E" w:rsidRDefault="0000161E">
      <w:pPr>
        <w:spacing w:before="0" w:line="240" w:lineRule="auto"/>
      </w:pPr>
      <w:r w:rsidRPr="00A35B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161E" w:rsidRPr="00A35B3E" w:rsidRDefault="0000161E">
    <w:pPr>
      <w:pStyle w:val="SidhuvudKant"/>
      <w:framePr w:w="1758" w:h="2744" w:hRule="exact" w:wrap="around" w:vAnchor="page" w:hAnchor="page" w:x="7372" w:y="568" w:anchorLock="0"/>
    </w:pPr>
    <w:r w:rsidRPr="00A35B3E">
      <w:t>1999/2000:JuU4y</w:t>
    </w:r>
  </w:p>
  <w:p w:rsidR="0000161E" w:rsidRPr="00A35B3E" w:rsidRDefault="0000161E">
    <w:pPr>
      <w:pStyle w:val="SidhuvudKantBilaga"/>
      <w:framePr w:w="1758" w:h="2744" w:hRule="exact" w:wrap="around" w:vAnchor="page" w:hAnchor="page" w:x="7372" w:y="568" w:anchorLock="0"/>
    </w:pPr>
  </w:p>
  <w:p w:rsidR="0000161E" w:rsidRPr="00A35B3E" w:rsidRDefault="0000161E">
    <w:pPr>
      <w:pStyle w:val="SidhuvudKant"/>
      <w:framePr w:w="1758" w:h="2744" w:hRule="exact" w:wrap="around" w:vAnchor="page" w:hAnchor="page" w:x="7372" w:y="568" w:anchorLock="0"/>
    </w:pPr>
  </w:p>
  <w:p w:rsidR="0000161E" w:rsidRPr="00A35B3E" w:rsidRDefault="0000161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161E" w:rsidRPr="00A35B3E" w:rsidRDefault="0000161E">
    <w:pPr>
      <w:pStyle w:val="SidhuvudKant"/>
      <w:framePr w:w="1758" w:h="2744" w:hRule="exact" w:wrap="around" w:vAnchor="page" w:hAnchor="page" w:x="7372" w:y="568" w:anchorLock="0"/>
    </w:pPr>
    <w:r w:rsidRPr="00A35B3E">
      <w:t>1999/2000:JuU4y</w:t>
    </w:r>
  </w:p>
  <w:p w:rsidR="0000161E" w:rsidRPr="00A35B3E" w:rsidRDefault="0000161E">
    <w:pPr>
      <w:pStyle w:val="SidhuvudKantBilaga"/>
      <w:framePr w:w="1758" w:h="2744" w:hRule="exact" w:wrap="around" w:vAnchor="page" w:hAnchor="page" w:x="7372" w:y="568" w:anchorLock="0"/>
    </w:pPr>
  </w:p>
  <w:p w:rsidR="0000161E" w:rsidRPr="00A35B3E" w:rsidRDefault="0000161E">
    <w:pPr>
      <w:pStyle w:val="SidhuvudKant"/>
      <w:framePr w:w="1758" w:h="2744" w:hRule="exact" w:wrap="around" w:vAnchor="page" w:hAnchor="page" w:x="7372" w:y="568" w:anchorLock="0"/>
    </w:pPr>
  </w:p>
  <w:p w:rsidR="0000161E" w:rsidRPr="00A35B3E" w:rsidRDefault="0000161E">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hideGrammaticalErrors/>
  <w:defaultTabStop w:val="1304"/>
  <w:autoHyphenation/>
  <w:hyphenationZone w:val="40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justitieutskottets"/>
    <w:docVar w:name="Skapår" w:val="9900"/>
  </w:docVars>
  <w:rsids>
    <w:rsidRoot w:val="00917F21"/>
    <w:rsid w:val="0000161E"/>
    <w:rsid w:val="00917F21"/>
    <w:rsid w:val="00A35B3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881AE4-B94E-4635-A8FF-B6195880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Normal"/>
    <w:pPr>
      <w:suppressAutoHyphens/>
      <w:spacing w:before="0" w:line="400" w:lineRule="exact"/>
      <w:jc w:val="left"/>
    </w:pPr>
    <w:rPr>
      <w:sz w:val="36"/>
    </w:rPr>
  </w:style>
  <w:style w:type="paragraph" w:customStyle="1" w:styleId="BetnkandeRubrik">
    <w:name w:val="BetänkandeRubrik"/>
    <w:basedOn w:val="Normal"/>
    <w:pPr>
      <w:spacing w:before="40" w:after="720" w:line="280" w:lineRule="exact"/>
      <w:jc w:val="left"/>
    </w:pPr>
    <w:rPr>
      <w:sz w:val="28"/>
    </w:rPr>
  </w:style>
  <w:style w:type="paragraph" w:customStyle="1" w:styleId="rtal">
    <w:name w:val="Årtal"/>
    <w:basedOn w:val="Normal"/>
    <w:pPr>
      <w:spacing w:before="0" w:line="240" w:lineRule="auto"/>
      <w:ind w:left="113"/>
      <w:jc w:val="left"/>
    </w:pPr>
    <w:rPr>
      <w:sz w:val="24"/>
    </w:rPr>
  </w:style>
  <w:style w:type="paragraph" w:customStyle="1" w:styleId="StatusSida1">
    <w:name w:val="Status Sida1"/>
    <w:basedOn w:val="rtal"/>
    <w:pPr>
      <w:ind w:left="0"/>
    </w:pPr>
    <w:rPr>
      <w:b/>
      <w:sz w:val="28"/>
    </w:rPr>
  </w:style>
  <w:style w:type="paragraph" w:customStyle="1" w:styleId="UtskriftsdatumSida1">
    <w:name w:val="Utskriftsdatum Sida1"/>
    <w:basedOn w:val="SidhuvudKant"/>
    <w:pPr>
      <w:spacing w:line="240" w:lineRule="auto"/>
    </w:pPr>
  </w:style>
  <w:style w:type="paragraph" w:customStyle="1" w:styleId="BetRubrik">
    <w:name w:val="BetRubrik"/>
    <w:basedOn w:val="Rubrik1"/>
    <w:pPr>
      <w:spacing w:line="480" w:lineRule="exact"/>
      <w:outlineLvl w:val="9"/>
    </w:pPr>
    <w:rPr>
      <w:sz w:val="36"/>
    </w:rPr>
  </w:style>
  <w:style w:type="paragraph" w:styleId="Brdtext">
    <w:name w:val="Body Text"/>
    <w:basedOn w:val="Normal"/>
    <w:next w:val="Brdtextmedindrag"/>
    <w:semiHidden/>
  </w:style>
  <w:style w:type="paragraph" w:styleId="Brdtextmedindrag">
    <w:name w:val="Body Text Indent"/>
    <w:basedOn w:val="Normal"/>
    <w:semiHidden/>
    <w:pPr>
      <w:ind w:firstLine="284"/>
    </w:pPr>
  </w:style>
  <w:style w:type="paragraph" w:styleId="Citat">
    <w:name w:val="Quote"/>
    <w:basedOn w:val="Normal"/>
    <w:next w:val="Normal"/>
    <w:qFormat/>
    <w:pPr>
      <w:spacing w:before="125" w:line="214" w:lineRule="exact"/>
    </w:pPr>
  </w:style>
  <w:style w:type="paragraph" w:customStyle="1" w:styleId="CitatIndrag">
    <w:name w:val="CitatIndrag"/>
    <w:basedOn w:val="Citat"/>
    <w:pPr>
      <w:spacing w:before="0"/>
      <w:ind w:firstLine="170"/>
    </w:pPr>
  </w:style>
  <w:style w:type="paragraph" w:customStyle="1" w:styleId="Deltagare">
    <w:name w:val="Deltagare"/>
    <w:basedOn w:val="Citat"/>
    <w:next w:val="Normal"/>
    <w:pPr>
      <w:spacing w:before="612"/>
    </w:pPr>
  </w:style>
  <w:style w:type="paragraph" w:styleId="Fotnotstext">
    <w:name w:val="footnote text"/>
    <w:basedOn w:val="Normal"/>
    <w:semiHidden/>
    <w:pPr>
      <w:spacing w:line="170" w:lineRule="exact"/>
    </w:pPr>
    <w:rPr>
      <w:sz w:val="17"/>
    </w:rPr>
  </w:style>
  <w:style w:type="paragraph" w:styleId="Normaltindrag">
    <w:name w:val="Normal Indent"/>
    <w:basedOn w:val="Normal"/>
    <w:semiHidden/>
    <w:pPr>
      <w:spacing w:before="0"/>
      <w:ind w:firstLine="170"/>
    </w:pPr>
  </w:style>
  <w:style w:type="paragraph" w:customStyle="1" w:styleId="hembetr">
    <w:name w:val="hembetr"/>
    <w:basedOn w:val="Normaltindrag"/>
    <w:next w:val="Normal"/>
    <w:pPr>
      <w:ind w:left="510"/>
    </w:pPr>
    <w:rPr>
      <w:color w:val="000000"/>
    </w:rPr>
  </w:style>
  <w:style w:type="paragraph" w:customStyle="1" w:styleId="hemtext">
    <w:name w:val="hemtext"/>
    <w:basedOn w:val="Normaltindrag"/>
    <w:pPr>
      <w:ind w:left="510" w:firstLine="0"/>
    </w:pPr>
  </w:style>
  <w:style w:type="paragraph" w:customStyle="1" w:styleId="Innehll">
    <w:name w:val="Innehåll"/>
    <w:basedOn w:val="Rubrik1"/>
    <w:next w:val="Normal"/>
    <w:pPr>
      <w:spacing w:before="0" w:after="245"/>
      <w:outlineLvl w:val="9"/>
    </w:pPr>
  </w:style>
  <w:style w:type="paragraph" w:styleId="Innehll1">
    <w:name w:val="toc 1"/>
    <w:basedOn w:val="Normal"/>
    <w:autoRedefine/>
    <w:semiHidden/>
    <w:pPr>
      <w:tabs>
        <w:tab w:val="right" w:leader="dot" w:pos="5670"/>
      </w:tabs>
      <w:spacing w:before="0"/>
      <w:ind w:right="567"/>
    </w:pPr>
  </w:style>
  <w:style w:type="paragraph" w:styleId="Innehll2">
    <w:name w:val="toc 2"/>
    <w:basedOn w:val="Innehll1"/>
    <w:autoRedefine/>
    <w:semiHidden/>
    <w:pPr>
      <w:ind w:left="227"/>
    </w:pPr>
  </w:style>
  <w:style w:type="paragraph" w:styleId="Innehll3">
    <w:name w:val="toc 3"/>
    <w:basedOn w:val="Innehll1"/>
    <w:autoRedefine/>
    <w:semiHidden/>
    <w:pPr>
      <w:ind w:left="454" w:right="680"/>
    </w:pPr>
  </w:style>
  <w:style w:type="paragraph" w:styleId="Innehll4">
    <w:name w:val="toc 4"/>
    <w:basedOn w:val="Innehll1"/>
    <w:autoRedefine/>
    <w:semiHidden/>
    <w:pPr>
      <w:ind w:left="680"/>
    </w:pPr>
  </w:style>
  <w:style w:type="paragraph" w:styleId="Innehll5">
    <w:name w:val="toc 5"/>
    <w:basedOn w:val="Innehll4"/>
    <w:next w:val="Normal"/>
    <w:autoRedefine/>
    <w:semiHidden/>
    <w:pPr>
      <w:ind w:left="907"/>
    </w:pPr>
  </w:style>
  <w:style w:type="paragraph" w:styleId="Innehll6">
    <w:name w:val="toc 6"/>
    <w:basedOn w:val="Innehll5"/>
    <w:next w:val="Normal"/>
    <w:autoRedefine/>
    <w:semiHidden/>
    <w:pPr>
      <w:ind w:left="1134"/>
    </w:pPr>
  </w:style>
  <w:style w:type="paragraph" w:styleId="Innehll7">
    <w:name w:val="toc 7"/>
    <w:basedOn w:val="Innehll6"/>
    <w:next w:val="Normal"/>
    <w:autoRedefine/>
    <w:semiHidden/>
    <w:pPr>
      <w:ind w:left="1361"/>
    </w:pPr>
  </w:style>
  <w:style w:type="paragraph" w:styleId="Innehll8">
    <w:name w:val="toc 8"/>
    <w:basedOn w:val="Innehll7"/>
    <w:next w:val="Normal"/>
    <w:autoRedefine/>
    <w:semiHidden/>
    <w:pPr>
      <w:ind w:left="1588"/>
    </w:pPr>
  </w:style>
  <w:style w:type="paragraph" w:styleId="Innehll9">
    <w:name w:val="toc 9"/>
    <w:basedOn w:val="Normal"/>
    <w:next w:val="Normal"/>
    <w:autoRedefine/>
    <w:semiHidden/>
    <w:pPr>
      <w:tabs>
        <w:tab w:val="right" w:leader="dot" w:pos="5896"/>
      </w:tabs>
      <w:ind w:left="1814"/>
    </w:pPr>
  </w:style>
  <w:style w:type="paragraph" w:customStyle="1" w:styleId="Kantrubrik">
    <w:name w:val="Kantrubrik"/>
    <w:basedOn w:val="Normal"/>
    <w:pPr>
      <w:framePr w:w="1701" w:hSpace="284" w:wrap="around" w:vAnchor="text" w:hAnchor="page" w:xAlign="right" w:y="-231"/>
    </w:pPr>
    <w:rPr>
      <w:i/>
    </w:rPr>
  </w:style>
  <w:style w:type="character" w:styleId="Kommentarsreferens">
    <w:name w:val="annotation reference"/>
    <w:basedOn w:val="Standardstycketeckensnitt"/>
    <w:semiHidden/>
    <w:rPr>
      <w:sz w:val="16"/>
    </w:rPr>
  </w:style>
  <w:style w:type="paragraph" w:customStyle="1" w:styleId="Lagtext">
    <w:name w:val="Lagtext"/>
    <w:basedOn w:val="Normal"/>
    <w:next w:val="Normal"/>
    <w:pPr>
      <w:spacing w:before="0" w:line="214"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paragraph" w:customStyle="1" w:styleId="NormalRam">
    <w:name w:val="NormalRam"/>
    <w:basedOn w:val="Normal"/>
    <w:pPr>
      <w:framePr w:hSpace="142" w:wrap="around" w:vAnchor="page" w:hAnchor="text" w:y="1" w:anchorLock="1"/>
    </w:pPr>
  </w:style>
  <w:style w:type="paragraph" w:customStyle="1" w:styleId="Odefinierat">
    <w:name w:val="Odefinierat"/>
    <w:basedOn w:val="Normal"/>
  </w:style>
  <w:style w:type="paragraph" w:customStyle="1" w:styleId="Ordfnamn">
    <w:name w:val="Ordfnamn"/>
    <w:basedOn w:val="Normal"/>
    <w:next w:val="Normal"/>
    <w:pPr>
      <w:spacing w:before="490"/>
    </w:pPr>
    <w:rPr>
      <w:i/>
      <w:sz w:val="21"/>
    </w:rPr>
  </w:style>
  <w:style w:type="paragraph" w:customStyle="1" w:styleId="Resklmb">
    <w:name w:val="Resklämb"/>
    <w:basedOn w:val="hembetr"/>
  </w:style>
  <w:style w:type="paragraph" w:customStyle="1" w:styleId="PropMot">
    <w:name w:val="PropMot"/>
    <w:basedOn w:val="Resklmb"/>
    <w:pPr>
      <w:ind w:left="0"/>
    </w:p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Reseftermom">
    <w:name w:val="Reseftermom"/>
    <w:basedOn w:val="Normal"/>
    <w:next w:val="Normal"/>
    <w:pPr>
      <w:spacing w:before="0"/>
      <w:ind w:left="2835"/>
    </w:pPr>
    <w:rPr>
      <w:i/>
      <w:color w:val="000000"/>
    </w:rPr>
  </w:style>
  <w:style w:type="paragraph" w:customStyle="1" w:styleId="Resklm">
    <w:name w:val="Reskläm"/>
    <w:basedOn w:val="hemtext"/>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styleId="Sidfot">
    <w:name w:val="footer"/>
    <w:basedOn w:val="Normal"/>
    <w:semiHidden/>
    <w:pPr>
      <w:tabs>
        <w:tab w:val="center" w:pos="4703"/>
        <w:tab w:val="right" w:pos="9406"/>
      </w:tabs>
    </w:pPr>
  </w:style>
  <w:style w:type="paragraph" w:styleId="Sidhuvud">
    <w:name w:val="header"/>
    <w:basedOn w:val="Normal"/>
    <w:semiHidden/>
    <w:pPr>
      <w:tabs>
        <w:tab w:val="center" w:pos="4252"/>
        <w:tab w:val="right" w:pos="8504"/>
      </w:tabs>
      <w:spacing w:before="0"/>
      <w:ind w:left="-851"/>
      <w:jc w:val="left"/>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huvudF">
    <w:name w:val="SidhuvudF"/>
    <w:basedOn w:val="SidhuvudH"/>
    <w:pPr>
      <w:framePr w:wrap="notBeside"/>
    </w:pPr>
  </w:style>
  <w:style w:type="paragraph" w:customStyle="1" w:styleId="SidfotH">
    <w:name w:val="SidfotH"/>
    <w:basedOn w:val="SidhuvudF"/>
    <w:pPr>
      <w:framePr w:w="567" w:hSpace="142" w:vSpace="142" w:wrap="around" w:yAlign="bottom"/>
      <w:jc w:val="right"/>
    </w:pPr>
    <w:rPr>
      <w:sz w:val="18"/>
    </w:rPr>
  </w:style>
  <w:style w:type="paragraph" w:customStyle="1" w:styleId="SidfotV">
    <w:name w:val="SidfotV"/>
    <w:basedOn w:val="SidfotH"/>
    <w:pPr>
      <w:framePr w:wrap="around" w:xAlign="inside"/>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line="230" w:lineRule="exact"/>
    </w:pPr>
  </w:style>
  <w:style w:type="paragraph" w:customStyle="1" w:styleId="SidhuvudKant">
    <w:name w:val="SidhuvudKant"/>
    <w:basedOn w:val="Sidhuvud"/>
    <w:pPr>
      <w:ind w:left="0"/>
    </w:pPr>
    <w:rPr>
      <w:sz w:val="21"/>
    </w:rPr>
  </w:style>
  <w:style w:type="paragraph" w:customStyle="1" w:styleId="SidhuvudKantBilaga">
    <w:name w:val="SidhuvudKantBilaga"/>
    <w:basedOn w:val="SidhuvudKant"/>
  </w:style>
  <w:style w:type="paragraph" w:customStyle="1" w:styleId="SidhuvudV">
    <w:name w:val="SidhuvudV"/>
    <w:basedOn w:val="SidhuvudH"/>
    <w:pPr>
      <w:framePr w:wrap="notBeside"/>
    </w:pPr>
  </w:style>
  <w:style w:type="character" w:styleId="Sidnummer">
    <w:name w:val="page number"/>
    <w:basedOn w:val="Standardstycketeckensnitt"/>
    <w:semiHidden/>
    <w:rPr>
      <w:rFonts w:ascii="Times New Roman" w:hAnsi="Times New Roman"/>
      <w:sz w:val="19"/>
    </w:rPr>
  </w:style>
  <w:style w:type="paragraph" w:customStyle="1" w:styleId="Stockholm">
    <w:name w:val="Stockholm"/>
    <w:basedOn w:val="Normal"/>
    <w:pPr>
      <w:spacing w:before="245"/>
    </w:pPr>
  </w:style>
  <w:style w:type="paragraph" w:customStyle="1" w:styleId="Tabell">
    <w:name w:val="Tabell"/>
    <w:basedOn w:val="Normal"/>
    <w:pPr>
      <w:spacing w:before="0" w:line="170" w:lineRule="exact"/>
    </w:pPr>
    <w:rPr>
      <w:sz w:val="17"/>
    </w:rPr>
  </w:style>
  <w:style w:type="paragraph" w:customStyle="1" w:styleId="Tabellrubrik">
    <w:name w:val="Tabellrubrik"/>
    <w:basedOn w:val="Tabell"/>
    <w:next w:val="Tabell"/>
    <w:rPr>
      <w:b/>
    </w:rPr>
  </w:style>
  <w:style w:type="paragraph" w:customStyle="1" w:styleId="tabnormal">
    <w:name w:val="tabnormal"/>
    <w:basedOn w:val="Normaltindrag"/>
  </w:style>
  <w:style w:type="paragraph" w:customStyle="1" w:styleId="Tryckort">
    <w:name w:val="Tryckort"/>
    <w:basedOn w:val="Normal"/>
    <w:pPr>
      <w:framePr w:wrap="around" w:hAnchor="text" w:yAlign="bottom"/>
      <w:spacing w:before="0" w:line="160" w:lineRule="exact"/>
    </w:pPr>
    <w:rPr>
      <w:sz w:val="16"/>
    </w:rPr>
  </w:style>
  <w:style w:type="paragraph" w:customStyle="1" w:styleId="Vinkela">
    <w:name w:val="Vinkela"/>
    <w:basedOn w:val="Normal"/>
    <w:next w:val="Normal"/>
    <w:pPr>
      <w:spacing w:before="123"/>
    </w:pPr>
  </w:style>
  <w:style w:type="paragraph" w:customStyle="1" w:styleId="Vinkelkoder">
    <w:name w:val="Vinkelkoder"/>
    <w:basedOn w:val="Normal"/>
    <w:pPr>
      <w:spacing w:before="0"/>
    </w:pPr>
  </w:style>
  <w:style w:type="paragraph" w:customStyle="1" w:styleId="Vgnar">
    <w:name w:val="Vägnar"/>
    <w:basedOn w:val="Normal"/>
    <w:next w:val="Normal"/>
    <w:pPr>
      <w:spacing w:before="183"/>
    </w:pPr>
  </w:style>
  <w:style w:type="paragraph" w:customStyle="1" w:styleId="HuvudRubrikRad2">
    <w:name w:val="HuvudRubrikRad2"/>
    <w:basedOn w:val="HuvudRubrik"/>
  </w:style>
  <w:style w:type="paragraph" w:customStyle="1" w:styleId="Logo">
    <w:name w:val="Logo"/>
    <w:basedOn w:val="Normal"/>
    <w:pPr>
      <w:spacing w:before="0" w:line="240" w:lineRule="auto"/>
      <w:jc w:val="left"/>
    </w:pPr>
  </w:style>
  <w:style w:type="paragraph" w:customStyle="1" w:styleId="LagtextRubrik">
    <w:name w:val="LagtextRubrik"/>
    <w:basedOn w:val="Normal"/>
    <w:next w:val="LagtextIndrag"/>
    <w:pPr>
      <w:spacing w:before="0" w:after="120"/>
    </w:pPr>
  </w:style>
  <w:style w:type="character" w:styleId="Fotnotsreferens">
    <w:name w:val="footnote reference"/>
    <w:basedOn w:val="Standardstycketeckensnit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3125</Words>
  <Characters>19413</Characters>
  <Application>Microsoft Office Word</Application>
  <DocSecurity>4</DocSecurity>
  <Lines>431</Lines>
  <Paragraphs>128</Paragraphs>
  <ScaleCrop>false</ScaleCrop>
  <HeadingPairs>
    <vt:vector size="4" baseType="variant">
      <vt:variant>
        <vt:lpstr>Title</vt:lpstr>
      </vt:variant>
      <vt:variant>
        <vt:i4>1</vt:i4>
      </vt:variant>
      <vt:variant>
        <vt:lpstr>Rubriker</vt:lpstr>
      </vt:variant>
      <vt:variant>
        <vt:i4>8</vt:i4>
      </vt:variant>
    </vt:vector>
  </HeadingPairs>
  <TitlesOfParts>
    <vt:vector size="9" baseType="lpstr">
      <vt:lpstr>Justitieutskottets yttrande</vt:lpstr>
      <vt:lpstr>Till finansutskottet</vt:lpstr>
      <vt:lpstr>    Inledning</vt:lpstr>
      <vt:lpstr>    Utskottet</vt:lpstr>
      <vt:lpstr>        Propositionen</vt:lpstr>
      <vt:lpstr>        Motionerna</vt:lpstr>
      <vt:lpstr>        Överväganden</vt:lpstr>
      <vt:lpstr>Avvikande meningar</vt:lpstr>
      <vt:lpstr>    Innehållsförteckning</vt:lpstr>
    </vt:vector>
  </TitlesOfParts>
  <Company>Riksdagen</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Justitieutskottets yttrande</dc:title>
  <dc:subject>Justitieutskottets yttrande</dc:subject>
  <dc:creator>Riksdagen</dc:creator>
  <cp:keywords>Riksdagen</cp:keywords>
  <cp:lastModifiedBy>Lars Brink</cp:lastModifiedBy>
  <cp:revision>2</cp:revision>
  <cp:lastPrinted>2000-05-11T13:47:00Z</cp:lastPrinted>
  <dcterms:created xsi:type="dcterms:W3CDTF">2025-12-15T22:29:00Z</dcterms:created>
  <dcterms:modified xsi:type="dcterms:W3CDTF">2025-12-15T22:29:00Z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4y</vt:lpwstr>
  </property>
  <property fmtid="{D5CDD505-2E9C-101B-9397-08002B2CF9AE}" pid="3" name="Utskott">
    <vt:lpwstr>JuU</vt:lpwstr>
  </property>
  <property fmtid="{D5CDD505-2E9C-101B-9397-08002B2CF9AE}" pid="4" name="BetänkandeÅr">
    <vt:lpwstr>1999/2000</vt:lpwstr>
  </property>
  <property fmtid="{D5CDD505-2E9C-101B-9397-08002B2CF9AE}" pid="5" name="UtkastDatum">
    <vt:lpwstr>Ja</vt:lpwstr>
  </property>
  <property fmtid="{D5CDD505-2E9C-101B-9397-08002B2CF9AE}" pid="6" name="Status">
    <vt:lpwstr/>
  </property>
  <property fmtid="{D5CDD505-2E9C-101B-9397-08002B2CF9AE}" pid="7" name="Numrering">
    <vt:lpwstr>NotUpdated</vt:lpwstr>
  </property>
</Properties>
</file>