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D4B68" w:rsidTr="002F2071">
        <w:tblPrEx>
          <w:tblCellMar>
            <w:top w:w="0" w:type="dxa"/>
            <w:bottom w:w="0" w:type="dxa"/>
          </w:tblCellMar>
        </w:tblPrEx>
        <w:tc>
          <w:tcPr>
            <w:tcW w:w="2268" w:type="dxa"/>
          </w:tcPr>
          <w:p w:rsidR="006E4E11" w:rsidRPr="002D4B68" w:rsidRDefault="00D92F29" w:rsidP="007242A3">
            <w:pPr>
              <w:framePr w:w="5035" w:h="1644" w:wrap="notBeside" w:vAnchor="page" w:hAnchor="page" w:x="6573" w:y="721"/>
              <w:rPr>
                <w:rFonts w:ascii="TradeGothic" w:hAnsi="TradeGothic"/>
                <w:i/>
                <w:sz w:val="18"/>
              </w:rPr>
            </w:pPr>
            <w:r w:rsidRPr="002D4B68">
              <w:rPr>
                <w:rFonts w:ascii="TradeGothic" w:hAnsi="TradeGothic"/>
                <w:i/>
                <w:sz w:val="18"/>
              </w:rPr>
              <w:t xml:space="preserve">Bilaga 1 </w:t>
            </w:r>
          </w:p>
        </w:tc>
        <w:tc>
          <w:tcPr>
            <w:tcW w:w="2999" w:type="dxa"/>
            <w:gridSpan w:val="2"/>
          </w:tcPr>
          <w:p w:rsidR="006E4E11" w:rsidRPr="002D4B68" w:rsidRDefault="006E4E11" w:rsidP="007242A3">
            <w:pPr>
              <w:framePr w:w="5035" w:h="1644" w:wrap="notBeside" w:vAnchor="page" w:hAnchor="page" w:x="6573" w:y="721"/>
              <w:rPr>
                <w:rFonts w:ascii="TradeGothic" w:hAnsi="TradeGothic"/>
                <w:i/>
                <w:sz w:val="18"/>
              </w:rPr>
            </w:pPr>
          </w:p>
        </w:tc>
      </w:tr>
      <w:tr w:rsidR="002F2071" w:rsidRPr="002D4B68" w:rsidTr="002F2071">
        <w:tblPrEx>
          <w:tblCellMar>
            <w:top w:w="0" w:type="dxa"/>
            <w:bottom w:w="0" w:type="dxa"/>
          </w:tblCellMar>
        </w:tblPrEx>
        <w:tc>
          <w:tcPr>
            <w:tcW w:w="5267" w:type="dxa"/>
            <w:gridSpan w:val="3"/>
          </w:tcPr>
          <w:p w:rsidR="002F2071" w:rsidRPr="002D4B68" w:rsidRDefault="002F2071" w:rsidP="007242A3">
            <w:pPr>
              <w:framePr w:w="5035" w:h="1644" w:wrap="notBeside" w:vAnchor="page" w:hAnchor="page" w:x="6573" w:y="721"/>
              <w:rPr>
                <w:rFonts w:ascii="TradeGothic" w:hAnsi="TradeGothic"/>
                <w:b/>
                <w:sz w:val="22"/>
              </w:rPr>
            </w:pPr>
            <w:r w:rsidRPr="002D4B68">
              <w:rPr>
                <w:rFonts w:ascii="TradeGothic" w:hAnsi="TradeGothic"/>
                <w:b/>
                <w:sz w:val="22"/>
              </w:rPr>
              <w:t>Rådspromemoria</w:t>
            </w:r>
          </w:p>
        </w:tc>
      </w:tr>
      <w:tr w:rsidR="006E4E11" w:rsidRPr="002D4B68" w:rsidTr="002F2071">
        <w:tblPrEx>
          <w:tblCellMar>
            <w:top w:w="0" w:type="dxa"/>
            <w:bottom w:w="0" w:type="dxa"/>
          </w:tblCellMar>
        </w:tblPrEx>
        <w:tc>
          <w:tcPr>
            <w:tcW w:w="3402" w:type="dxa"/>
            <w:gridSpan w:val="2"/>
          </w:tcPr>
          <w:p w:rsidR="006E4E11" w:rsidRPr="002D4B68" w:rsidRDefault="006E4E11" w:rsidP="007242A3">
            <w:pPr>
              <w:framePr w:w="5035" w:h="1644" w:wrap="notBeside" w:vAnchor="page" w:hAnchor="page" w:x="6573" w:y="721"/>
            </w:pPr>
          </w:p>
        </w:tc>
        <w:tc>
          <w:tcPr>
            <w:tcW w:w="1865" w:type="dxa"/>
          </w:tcPr>
          <w:p w:rsidR="006E4E11" w:rsidRPr="002D4B68" w:rsidRDefault="006E4E11" w:rsidP="007242A3">
            <w:pPr>
              <w:framePr w:w="5035" w:h="1644" w:wrap="notBeside" w:vAnchor="page" w:hAnchor="page" w:x="6573" w:y="721"/>
            </w:pPr>
          </w:p>
        </w:tc>
      </w:tr>
      <w:tr w:rsidR="006E4E11" w:rsidRPr="002D4B68" w:rsidTr="002F2071">
        <w:tblPrEx>
          <w:tblCellMar>
            <w:top w:w="0" w:type="dxa"/>
            <w:bottom w:w="0" w:type="dxa"/>
          </w:tblCellMar>
        </w:tblPrEx>
        <w:tc>
          <w:tcPr>
            <w:tcW w:w="2268" w:type="dxa"/>
          </w:tcPr>
          <w:p w:rsidR="006E4E11" w:rsidRPr="002D4B68" w:rsidRDefault="0058414E" w:rsidP="007242A3">
            <w:pPr>
              <w:framePr w:w="5035" w:h="1644" w:wrap="notBeside" w:vAnchor="page" w:hAnchor="page" w:x="6573" w:y="721"/>
            </w:pPr>
            <w:r w:rsidRPr="002D4B68">
              <w:t>2009-10</w:t>
            </w:r>
            <w:r w:rsidR="002F2071" w:rsidRPr="002D4B68">
              <w:t>-</w:t>
            </w:r>
            <w:r w:rsidRPr="002D4B68">
              <w:t>0</w:t>
            </w:r>
            <w:r w:rsidR="00D92F29" w:rsidRPr="002D4B68">
              <w:t>9</w:t>
            </w:r>
          </w:p>
        </w:tc>
        <w:tc>
          <w:tcPr>
            <w:tcW w:w="2999" w:type="dxa"/>
            <w:gridSpan w:val="2"/>
          </w:tcPr>
          <w:p w:rsidR="006E4E11" w:rsidRPr="002D4B68" w:rsidRDefault="006E4E11" w:rsidP="007242A3">
            <w:pPr>
              <w:framePr w:w="5035" w:h="1644" w:wrap="notBeside" w:vAnchor="page" w:hAnchor="page" w:x="6573" w:y="721"/>
            </w:pPr>
          </w:p>
        </w:tc>
      </w:tr>
      <w:tr w:rsidR="006E4E11" w:rsidRPr="002D4B68" w:rsidTr="002F2071">
        <w:tblPrEx>
          <w:tblCellMar>
            <w:top w:w="0" w:type="dxa"/>
            <w:bottom w:w="0" w:type="dxa"/>
          </w:tblCellMar>
        </w:tblPrEx>
        <w:tc>
          <w:tcPr>
            <w:tcW w:w="2268" w:type="dxa"/>
          </w:tcPr>
          <w:p w:rsidR="006E4E11" w:rsidRPr="002D4B68" w:rsidRDefault="006E4E11" w:rsidP="007242A3">
            <w:pPr>
              <w:framePr w:w="5035" w:h="1644" w:wrap="notBeside" w:vAnchor="page" w:hAnchor="page" w:x="6573" w:y="721"/>
            </w:pPr>
          </w:p>
        </w:tc>
        <w:tc>
          <w:tcPr>
            <w:tcW w:w="2999" w:type="dxa"/>
            <w:gridSpan w:val="2"/>
          </w:tcPr>
          <w:p w:rsidR="006E4E11" w:rsidRPr="002D4B6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D4B68">
        <w:tblPrEx>
          <w:tblCellMar>
            <w:top w:w="0" w:type="dxa"/>
            <w:bottom w:w="0" w:type="dxa"/>
          </w:tblCellMar>
        </w:tblPrEx>
        <w:trPr>
          <w:trHeight w:val="284"/>
        </w:trPr>
        <w:tc>
          <w:tcPr>
            <w:tcW w:w="4911" w:type="dxa"/>
          </w:tcPr>
          <w:p w:rsidR="006E4E11" w:rsidRPr="002D4B68" w:rsidRDefault="002F2071">
            <w:pPr>
              <w:pStyle w:val="Avsndare"/>
              <w:framePr w:h="2483" w:wrap="notBeside" w:x="1504"/>
              <w:rPr>
                <w:b/>
                <w:i w:val="0"/>
                <w:sz w:val="22"/>
              </w:rPr>
            </w:pPr>
            <w:r w:rsidRPr="002D4B68">
              <w:rPr>
                <w:b/>
                <w:i w:val="0"/>
                <w:sz w:val="22"/>
              </w:rPr>
              <w:t>Miljödepartementet</w:t>
            </w: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4D3DC7">
            <w:pPr>
              <w:pStyle w:val="Avsndare"/>
              <w:framePr w:h="2483" w:wrap="notBeside" w:x="1504"/>
              <w:rPr>
                <w:bCs/>
                <w:iCs/>
              </w:rPr>
            </w:pPr>
            <w:r w:rsidRPr="002D4B68">
              <w:rPr>
                <w:bCs/>
                <w:iCs/>
              </w:rPr>
              <w:t>Enheten för miljökvalitet</w:t>
            </w: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r w:rsidR="006E4E11" w:rsidRPr="002D4B68">
        <w:tblPrEx>
          <w:tblCellMar>
            <w:top w:w="0" w:type="dxa"/>
            <w:bottom w:w="0" w:type="dxa"/>
          </w:tblCellMar>
        </w:tblPrEx>
        <w:trPr>
          <w:trHeight w:val="284"/>
        </w:trPr>
        <w:tc>
          <w:tcPr>
            <w:tcW w:w="4911" w:type="dxa"/>
          </w:tcPr>
          <w:p w:rsidR="006E4E11" w:rsidRPr="002D4B68" w:rsidRDefault="006E4E11">
            <w:pPr>
              <w:pStyle w:val="Avsndare"/>
              <w:framePr w:h="2483" w:wrap="notBeside" w:x="1504"/>
              <w:rPr>
                <w:bCs/>
                <w:iCs/>
              </w:rPr>
            </w:pPr>
          </w:p>
        </w:tc>
      </w:tr>
    </w:tbl>
    <w:p w:rsidR="006E4E11" w:rsidRPr="002D4B68" w:rsidRDefault="006E4E11">
      <w:pPr>
        <w:framePr w:w="4400" w:h="2523" w:wrap="notBeside" w:vAnchor="page" w:hAnchor="page" w:x="6453" w:y="2445"/>
        <w:ind w:left="142"/>
        <w:rPr>
          <w:b/>
        </w:rPr>
      </w:pPr>
    </w:p>
    <w:p w:rsidR="002F2071" w:rsidRPr="002D4B68" w:rsidRDefault="0058414E">
      <w:pPr>
        <w:pStyle w:val="RKrubrik"/>
        <w:pBdr>
          <w:bottom w:val="single" w:sz="6" w:space="1" w:color="auto"/>
        </w:pBdr>
      </w:pPr>
      <w:bookmarkStart w:id="0" w:name="bRubrik"/>
      <w:bookmarkEnd w:id="0"/>
      <w:r w:rsidRPr="002D4B68">
        <w:t>Rådets möte (miljö) den 21 oktober 2009</w:t>
      </w:r>
    </w:p>
    <w:p w:rsidR="002F2071" w:rsidRPr="002D4B68" w:rsidRDefault="002F2071">
      <w:pPr>
        <w:pStyle w:val="RKnormal"/>
      </w:pPr>
    </w:p>
    <w:p w:rsidR="004D3DC7" w:rsidRPr="002D4B68" w:rsidRDefault="004D3DC7" w:rsidP="004D3DC7">
      <w:pPr>
        <w:pStyle w:val="RKnormal"/>
      </w:pPr>
      <w:r w:rsidRPr="002D4B68">
        <w:t>Dagordningspunkt 3</w:t>
      </w:r>
    </w:p>
    <w:p w:rsidR="004D3DC7" w:rsidRPr="002D4B68" w:rsidRDefault="004D3DC7" w:rsidP="004D3DC7">
      <w:pPr>
        <w:pStyle w:val="RKnormal"/>
      </w:pPr>
    </w:p>
    <w:p w:rsidR="004D3DC7" w:rsidRPr="002D4B68" w:rsidRDefault="004D3DC7" w:rsidP="00B75362">
      <w:pPr>
        <w:pStyle w:val="RKnormal"/>
      </w:pPr>
      <w:r w:rsidRPr="002D4B68">
        <w:t xml:space="preserve">Rubrik: </w:t>
      </w:r>
      <w:r w:rsidR="00B75362" w:rsidRPr="002D4B68">
        <w:t xml:space="preserve">EU:s ståndpunkt inför klimatkonferensen i Köpenhamn (7−18 december 2009) - antagande av rådets slutsatser. </w:t>
      </w:r>
    </w:p>
    <w:p w:rsidR="004D3DC7" w:rsidRPr="002D4B68" w:rsidRDefault="004D3DC7" w:rsidP="004D3DC7">
      <w:pPr>
        <w:pStyle w:val="RKnormal"/>
      </w:pPr>
    </w:p>
    <w:p w:rsidR="004D3DC7" w:rsidRPr="002D4B68" w:rsidRDefault="004D3DC7" w:rsidP="004D3DC7">
      <w:pPr>
        <w:pStyle w:val="RKnormal"/>
      </w:pPr>
      <w:r w:rsidRPr="002D4B68">
        <w:t>Dokument: Ej klart inför rådet ännu</w:t>
      </w:r>
    </w:p>
    <w:p w:rsidR="004D3DC7" w:rsidRPr="002D4B68" w:rsidRDefault="004D3DC7" w:rsidP="004D3DC7">
      <w:pPr>
        <w:pStyle w:val="RKnormal"/>
      </w:pPr>
    </w:p>
    <w:p w:rsidR="004D3DC7" w:rsidRPr="002D4B68" w:rsidRDefault="004D3DC7" w:rsidP="004D3DC7">
      <w:pPr>
        <w:pStyle w:val="RKnormal"/>
      </w:pPr>
      <w:r w:rsidRPr="002D4B68">
        <w:t>Tidigare dokument: Faktapromemoria 2008/09:FPM82</w:t>
      </w:r>
    </w:p>
    <w:p w:rsidR="004D3DC7" w:rsidRPr="002D4B68" w:rsidRDefault="004D3DC7" w:rsidP="004D3DC7">
      <w:pPr>
        <w:pStyle w:val="RKnormal"/>
      </w:pPr>
    </w:p>
    <w:p w:rsidR="004D3DC7" w:rsidRPr="002D4B68" w:rsidRDefault="004D3DC7">
      <w:pPr>
        <w:pStyle w:val="RKnormal"/>
      </w:pPr>
      <w:r w:rsidRPr="002D4B68">
        <w:t xml:space="preserve">Tidigare behandlad vid samråd med EU-nämnden: Rådsslutsatser om EU:s ståndpunkt i klimatförhandlingarna behandlades senast inför Miljörådet den 2 mars 2009. </w:t>
      </w:r>
    </w:p>
    <w:p w:rsidR="002F2071" w:rsidRPr="002D4B68" w:rsidRDefault="002F2071">
      <w:pPr>
        <w:pStyle w:val="RKnormal"/>
      </w:pPr>
    </w:p>
    <w:p w:rsidR="002F2071" w:rsidRPr="002D4B68" w:rsidRDefault="002F2071">
      <w:pPr>
        <w:pStyle w:val="RKrubrik"/>
      </w:pPr>
      <w:r w:rsidRPr="002D4B68">
        <w:t>Bakgrund</w:t>
      </w:r>
    </w:p>
    <w:p w:rsidR="00225135" w:rsidRPr="002D4B68" w:rsidRDefault="00225135" w:rsidP="00EC4DEA">
      <w:pPr>
        <w:pStyle w:val="RKnormal"/>
      </w:pPr>
      <w:r w:rsidRPr="002D4B68">
        <w:t xml:space="preserve">EU:s </w:t>
      </w:r>
      <w:r w:rsidR="004D3DC7" w:rsidRPr="002D4B68">
        <w:t>ståndpunkt</w:t>
      </w:r>
      <w:r w:rsidRPr="002D4B68">
        <w:t xml:space="preserve"> inför Köpenhamnsmötet ska antas i rådsslutsatser vid Miljörådet den 21 oktober</w:t>
      </w:r>
      <w:r w:rsidR="00491FF9" w:rsidRPr="002D4B68">
        <w:t>,</w:t>
      </w:r>
      <w:r w:rsidRPr="002D4B68">
        <w:t xml:space="preserve"> samt till viss del i</w:t>
      </w:r>
      <w:r w:rsidR="004D3DC7" w:rsidRPr="002D4B68">
        <w:t xml:space="preserve"> </w:t>
      </w:r>
      <w:r w:rsidR="006C15C4" w:rsidRPr="002D4B68">
        <w:t>Ekofin den 20 oktober</w:t>
      </w:r>
      <w:r w:rsidR="00491FF9" w:rsidRPr="002D4B68">
        <w:t>,</w:t>
      </w:r>
      <w:r w:rsidR="006D3C47" w:rsidRPr="002D4B68">
        <w:t xml:space="preserve"> för att</w:t>
      </w:r>
      <w:r w:rsidRPr="002D4B68">
        <w:t xml:space="preserve"> slutligen fastställas av Europeiska rådet </w:t>
      </w:r>
      <w:r w:rsidR="006D3C47" w:rsidRPr="002D4B68">
        <w:t xml:space="preserve">den </w:t>
      </w:r>
      <w:r w:rsidRPr="002D4B68">
        <w:t xml:space="preserve">29-30 oktober. </w:t>
      </w:r>
    </w:p>
    <w:p w:rsidR="00225135" w:rsidRPr="002D4B68" w:rsidRDefault="00225135" w:rsidP="00EC4DEA">
      <w:pPr>
        <w:pStyle w:val="RKnormal"/>
      </w:pPr>
    </w:p>
    <w:p w:rsidR="00EC4DEA" w:rsidRPr="002D4B68" w:rsidRDefault="00EC4DEA" w:rsidP="00EC4DEA">
      <w:pPr>
        <w:pStyle w:val="RKnormal"/>
      </w:pPr>
      <w:r w:rsidRPr="002D4B68">
        <w:t xml:space="preserve">Klimatförändringarna är en av vår tids största utmaningar och den högst prioriterade miljöfrågan. Utsläppen av växthusgaser är en global utmaning som kräver ett globalt svar. Det behövs betydande utsläppsminskningar globalt för att undvika farlig mänsklig påverkan på klimatsystemet och stora kostnader till följd av klimatförändringarna. Enligt </w:t>
      </w:r>
      <w:r w:rsidR="004D3DC7" w:rsidRPr="002D4B68">
        <w:t xml:space="preserve">FN:s klimatpanel </w:t>
      </w:r>
      <w:r w:rsidRPr="002D4B68">
        <w:t xml:space="preserve">IPCC behövs minst en halvering av de globala utsläppen mellan 1990 och 2050 för att begränsa ökningen av den globala medeltemperaturen till 2 grader. Det innebär att den industrialiserade delen av världen behöver minska sina utsläpp med 25-40 procent till 2020 och med 80-95 procent till 2050, och utvecklingsländerna med 15-30 % 2020 jämfört med </w:t>
      </w:r>
      <w:r w:rsidR="004D3DC7" w:rsidRPr="002D4B68">
        <w:t>om åtgärder skulle utebli</w:t>
      </w:r>
      <w:r w:rsidRPr="002D4B68">
        <w:t>. Idag står de två enskilt viktigaste utsläppsländerna, USA och Kina, utan kvantifierade åtaganden. Att uppnå 2-gradersmålet utan utsläppsminskning</w:t>
      </w:r>
      <w:r w:rsidRPr="002D4B68">
        <w:lastRenderedPageBreak/>
        <w:t xml:space="preserve">ar i dessa länder är i praktiken inte möjligt. Kyotoprotokollets första åtagandeperiod går ut 2012. Ett mandat för förhandlingar om utsläppsbegränsningar efter 2012 antogs </w:t>
      </w:r>
      <w:r w:rsidR="004D3DC7" w:rsidRPr="002D4B68">
        <w:t xml:space="preserve">vid förhandlingsmötet </w:t>
      </w:r>
      <w:r w:rsidRPr="002D4B68">
        <w:t xml:space="preserve">i Bali </w:t>
      </w:r>
      <w:r w:rsidR="00F55915" w:rsidRPr="002D4B68">
        <w:t xml:space="preserve">i december </w:t>
      </w:r>
      <w:r w:rsidRPr="002D4B68">
        <w:t>2007 (Bali Action Plan, BAP)</w:t>
      </w:r>
      <w:r w:rsidR="006D3C47" w:rsidRPr="002D4B68">
        <w:t>.</w:t>
      </w:r>
      <w:r w:rsidRPr="002D4B68">
        <w:t xml:space="preserve"> </w:t>
      </w:r>
    </w:p>
    <w:p w:rsidR="00EC4DEA" w:rsidRPr="002D4B68" w:rsidRDefault="00EC4DEA" w:rsidP="00EC4DEA">
      <w:pPr>
        <w:pStyle w:val="RKnormal"/>
      </w:pPr>
    </w:p>
    <w:p w:rsidR="00EC4DEA" w:rsidRPr="002D4B68" w:rsidRDefault="00EC4DEA" w:rsidP="00EC4DEA">
      <w:pPr>
        <w:pStyle w:val="RKnormal"/>
      </w:pPr>
      <w:r w:rsidRPr="002D4B68">
        <w:t>I BAP utpekades fem element som centrala för den</w:t>
      </w:r>
    </w:p>
    <w:p w:rsidR="00EC4DEA" w:rsidRPr="002D4B68" w:rsidRDefault="00EC4DEA" w:rsidP="00EC4DEA">
      <w:pPr>
        <w:pStyle w:val="RKnormal"/>
      </w:pPr>
      <w:r w:rsidRPr="002D4B68">
        <w:t>fortsatta processen inom de internationella klimatförhandlingarna. Dessa områden - en gemensam vision, utsläppsminskning, anpassning,</w:t>
      </w:r>
    </w:p>
    <w:p w:rsidR="00EC4DEA" w:rsidRPr="002D4B68" w:rsidRDefault="00EC4DEA" w:rsidP="00EC4DEA">
      <w:pPr>
        <w:pStyle w:val="RKnormal"/>
      </w:pPr>
      <w:r w:rsidRPr="002D4B68">
        <w:t xml:space="preserve">finansiering och teknik - utgör fortfarande de centrala byggstenarna, men områdena har i varierande grad bearbetats i de internationella förhandlingarna. </w:t>
      </w:r>
    </w:p>
    <w:p w:rsidR="00EC4DEA" w:rsidRPr="002D4B68" w:rsidRDefault="00EC4DEA" w:rsidP="00EC4DEA">
      <w:pPr>
        <w:pStyle w:val="RKnormal"/>
      </w:pPr>
    </w:p>
    <w:p w:rsidR="00EC4DEA" w:rsidRPr="002D4B68" w:rsidRDefault="00EC4DEA" w:rsidP="00EC4DEA">
      <w:pPr>
        <w:pStyle w:val="RKnormal"/>
      </w:pPr>
      <w:r w:rsidRPr="002D4B68">
        <w:t>I klimatförhandlingarna framträder nu fyra huvudsakliga knäckfrågor: globala reduktionsmål, utsläppsåtaganden för i-länder, åtgärder i utvecklingsländer, särskilt de växande ekonomierna, samt frågan om hur man tillgodoser anpassningsbehov, bl.a. genom stöd och finansiering av insatser i utvecklingsländer. Diskussionerna berör såväl EU internt som den bredare förhandlingsprocessen.</w:t>
      </w:r>
    </w:p>
    <w:p w:rsidR="00EC4DEA" w:rsidRPr="002D4B68" w:rsidRDefault="00EC4DEA" w:rsidP="00EC4DEA">
      <w:pPr>
        <w:pStyle w:val="RKnormal"/>
      </w:pPr>
    </w:p>
    <w:p w:rsidR="00EC4DEA" w:rsidRPr="002D4B68" w:rsidRDefault="00EC4DEA" w:rsidP="00EC4DEA">
      <w:pPr>
        <w:pStyle w:val="RKnormal"/>
      </w:pPr>
      <w:r w:rsidRPr="002D4B68">
        <w:t>Inom frågorna om utsläppsåtaganden i industriländer och insatser i utvecklingsländer ryms även frågor om utveckling av flexibla mekanismer och vilken roll minskad avskogning och upptag av koldioxid i skog och mark ska spela. Regelverket under Kyotoprotokollet ger små incitament till att öka upptag i skogen. Incitament för att minska avskogning i tropikerna saknas helt och efterfrågas starkt av många skogrika utvecklingsländer.</w:t>
      </w:r>
    </w:p>
    <w:p w:rsidR="00EC4DEA" w:rsidRPr="002D4B68" w:rsidRDefault="00EC4DEA" w:rsidP="00EC4DEA">
      <w:pPr>
        <w:pStyle w:val="RKnormal"/>
      </w:pPr>
    </w:p>
    <w:p w:rsidR="00EC4DEA" w:rsidRPr="002D4B68" w:rsidRDefault="00EC4DEA" w:rsidP="00EC4DEA">
      <w:pPr>
        <w:pStyle w:val="RKnormal"/>
      </w:pPr>
      <w:r w:rsidRPr="002D4B68">
        <w:t xml:space="preserve">Frågan om anpassning till klimatförändringarna är central i en ny klimatpolitisk överenskommelse. Den handlar om att öka länders förmåga att hantera pågående och kommande klimatförändringar. Anpassning är högt prioriterat av många utvecklingsländer och bör </w:t>
      </w:r>
      <w:r w:rsidR="006D3C47" w:rsidRPr="002D4B68">
        <w:t xml:space="preserve">ses </w:t>
      </w:r>
      <w:r w:rsidRPr="002D4B68">
        <w:t xml:space="preserve"> som ett nödvändigt komplement till utsläppsminskningar. </w:t>
      </w:r>
    </w:p>
    <w:p w:rsidR="00EC4DEA" w:rsidRPr="002D4B68" w:rsidRDefault="00EC4DEA" w:rsidP="00EC4DEA">
      <w:pPr>
        <w:pStyle w:val="RKnormal"/>
      </w:pPr>
    </w:p>
    <w:p w:rsidR="00EC4DEA" w:rsidRPr="002D4B68" w:rsidRDefault="00EC4DEA" w:rsidP="00EC4DEA">
      <w:pPr>
        <w:pStyle w:val="RKnormal"/>
      </w:pPr>
      <w:r w:rsidRPr="002D4B68">
        <w:t>Finansieringselementet är en annan nyckelfråga i klimatförhandlingarna. En effektiv, ändamålsenlig och rättvis finansiell arkitektur bestående av en kombination av käl</w:t>
      </w:r>
      <w:r w:rsidR="006D3C47" w:rsidRPr="002D4B68">
        <w:t>lor och instrument är nödvändig</w:t>
      </w:r>
      <w:r w:rsidRPr="002D4B68">
        <w:t xml:space="preserve"> för att bidra till att målen om utsläppsminskningar och anpassning ska kunna uppnås. Inom ramen för finansieringsdiskussionen kopplas de mer specifikt ekonomiska aspekterna till de bredare utvecklingspolitiska och miljöpolitiska frågorna. </w:t>
      </w:r>
    </w:p>
    <w:p w:rsidR="002F2071" w:rsidRPr="002D4B68" w:rsidRDefault="002F2071">
      <w:pPr>
        <w:pStyle w:val="RKrubrik"/>
      </w:pPr>
      <w:r w:rsidRPr="002D4B68">
        <w:t>Rättslig grund och beslutsförfarande</w:t>
      </w:r>
    </w:p>
    <w:p w:rsidR="002F2071" w:rsidRPr="002D4B68" w:rsidRDefault="00F55915">
      <w:pPr>
        <w:pStyle w:val="RKnormal"/>
      </w:pPr>
      <w:r w:rsidRPr="002D4B68">
        <w:t xml:space="preserve">Rådsslutsatser antas med enhällighet. </w:t>
      </w:r>
    </w:p>
    <w:p w:rsidR="002F2071" w:rsidRPr="002D4B68" w:rsidRDefault="002F2071">
      <w:pPr>
        <w:pStyle w:val="RKrubrik"/>
        <w:rPr>
          <w:i/>
          <w:iCs/>
        </w:rPr>
      </w:pPr>
      <w:r w:rsidRPr="002D4B68">
        <w:rPr>
          <w:i/>
          <w:iCs/>
        </w:rPr>
        <w:t>Svensk ståndpunkt</w:t>
      </w:r>
    </w:p>
    <w:p w:rsidR="00B27538" w:rsidRPr="002D4B68" w:rsidRDefault="00EC4DEA" w:rsidP="00EC4DEA">
      <w:pPr>
        <w:pStyle w:val="RKnormal"/>
      </w:pPr>
      <w:r w:rsidRPr="002D4B68">
        <w:t>Sveriges huvuduppgift som ordförande i EU är att leda och hål</w:t>
      </w:r>
      <w:r w:rsidR="00B27538" w:rsidRPr="002D4B68">
        <w:t xml:space="preserve">la samman unionen så att EU </w:t>
      </w:r>
      <w:r w:rsidRPr="002D4B68">
        <w:t>på bästa sätt kan agera och göra allt för att en överenskommelse om ett framtida klimatavtal ska nås i Köpenhamn. Att nå en överenskommelse i Köpenhamn är en övergripande prioritering för S</w:t>
      </w:r>
      <w:r w:rsidR="00B27538" w:rsidRPr="002D4B68">
        <w:t>verige</w:t>
      </w:r>
      <w:r w:rsidRPr="002D4B68">
        <w:t xml:space="preserve">s ordförandeskap. </w:t>
      </w:r>
    </w:p>
    <w:p w:rsidR="00B27538" w:rsidRPr="002D4B68" w:rsidRDefault="00B27538" w:rsidP="00EC4DEA">
      <w:pPr>
        <w:pStyle w:val="RKnormal"/>
      </w:pPr>
    </w:p>
    <w:p w:rsidR="00EC4DEA" w:rsidRPr="002D4B68" w:rsidRDefault="00EC4DEA" w:rsidP="00EC4DEA">
      <w:pPr>
        <w:pStyle w:val="RKnormal"/>
      </w:pPr>
      <w:r w:rsidRPr="002D4B68">
        <w:t xml:space="preserve">En överenskommelse </w:t>
      </w:r>
      <w:r w:rsidR="00B27538" w:rsidRPr="002D4B68">
        <w:t>i Köpenhamn</w:t>
      </w:r>
      <w:r w:rsidRPr="002D4B68">
        <w:t xml:space="preserve"> ska vara tillräckligt långtgående för att </w:t>
      </w:r>
      <w:r w:rsidR="00B27538" w:rsidRPr="002D4B68">
        <w:t>möjliggöra uppfyllandet av</w:t>
      </w:r>
      <w:r w:rsidRPr="002D4B68">
        <w:t xml:space="preserve"> klimatkonventionens övergripande mål att undvika farlig mänsklig påverkan på klimatsystemet. </w:t>
      </w:r>
      <w:r w:rsidR="00B27538" w:rsidRPr="002D4B68">
        <w:t>Överenskommelsen</w:t>
      </w:r>
      <w:r w:rsidRPr="002D4B68">
        <w:t xml:space="preserve"> måste </w:t>
      </w:r>
      <w:r w:rsidR="00B27538" w:rsidRPr="002D4B68">
        <w:t>vara tillräckligt bred</w:t>
      </w:r>
      <w:r w:rsidRPr="002D4B68">
        <w:t xml:space="preserve"> och omfattande vad gäller deltag</w:t>
      </w:r>
      <w:r w:rsidR="00B27538" w:rsidRPr="002D4B68">
        <w:t>ande för att kunna bli effektiv</w:t>
      </w:r>
      <w:r w:rsidRPr="002D4B68">
        <w:t xml:space="preserve"> ur miljösynpunkt men även få nödvändig legitimitet och bidra till att minska risken för koldioxidläckage.</w:t>
      </w:r>
    </w:p>
    <w:p w:rsidR="002F2071" w:rsidRPr="002D4B68" w:rsidRDefault="002F2071">
      <w:pPr>
        <w:pStyle w:val="RKrubrik"/>
      </w:pPr>
      <w:r w:rsidRPr="002D4B68">
        <w:t>Europaparlamentets inställning</w:t>
      </w:r>
    </w:p>
    <w:p w:rsidR="002F2071" w:rsidRPr="002D4B68" w:rsidRDefault="00F55915">
      <w:pPr>
        <w:pStyle w:val="RKnormal"/>
      </w:pPr>
      <w:r w:rsidRPr="002D4B68">
        <w:t xml:space="preserve">Europaparlamentet ska den 20 oktober debattera kommissionens meddelande om ståndpunkt inför Köpenhamn. </w:t>
      </w:r>
      <w:r w:rsidR="008D46C2" w:rsidRPr="002D4B68">
        <w:t>Europaparlamentet kommer att anta en resolution om Köpenhamnsförhandlingarna i november.</w:t>
      </w:r>
    </w:p>
    <w:p w:rsidR="002F2071" w:rsidRPr="002D4B68" w:rsidRDefault="002F2071">
      <w:pPr>
        <w:pStyle w:val="RKrubrik"/>
        <w:rPr>
          <w:i/>
          <w:iCs/>
        </w:rPr>
      </w:pPr>
      <w:r w:rsidRPr="002D4B68">
        <w:rPr>
          <w:i/>
          <w:iCs/>
        </w:rPr>
        <w:t>Förslaget</w:t>
      </w:r>
    </w:p>
    <w:p w:rsidR="005E421E" w:rsidRPr="002D4B68" w:rsidRDefault="00E876EC">
      <w:pPr>
        <w:pStyle w:val="RKnormal"/>
      </w:pPr>
      <w:r w:rsidRPr="002D4B68">
        <w:t xml:space="preserve">Rådsslutsatserna kommunicerar EU:s </w:t>
      </w:r>
      <w:r w:rsidR="00F55915" w:rsidRPr="002D4B68">
        <w:t>ståndpunkt</w:t>
      </w:r>
      <w:r w:rsidRPr="002D4B68">
        <w:t xml:space="preserve"> i en lång rad viktiga förhandlingsfrågor inför Köpenhamnsmötet. </w:t>
      </w:r>
      <w:r w:rsidR="008D46C2" w:rsidRPr="002D4B68">
        <w:t>Tidigare antag</w:t>
      </w:r>
      <w:r w:rsidR="005E421E" w:rsidRPr="002D4B68">
        <w:t>na rådsslutsatser i M</w:t>
      </w:r>
      <w:r w:rsidR="008D46C2" w:rsidRPr="002D4B68">
        <w:t>iljörådet samt i E</w:t>
      </w:r>
      <w:r w:rsidR="006C15C4" w:rsidRPr="002D4B68">
        <w:t>k</w:t>
      </w:r>
      <w:r w:rsidR="008D46C2" w:rsidRPr="002D4B68">
        <w:t xml:space="preserve">ofin och Europeiska rådet beskriver tämligen ingående </w:t>
      </w:r>
      <w:r w:rsidR="005E421E" w:rsidRPr="002D4B68">
        <w:t>EU:s position inför Köpenhamnsmötet. Ytterligare utveckling av positionen behövs emellertid.</w:t>
      </w:r>
      <w:r w:rsidR="008D46C2" w:rsidRPr="002D4B68">
        <w:t xml:space="preserve"> </w:t>
      </w:r>
      <w:r w:rsidR="005E421E" w:rsidRPr="002D4B68">
        <w:t xml:space="preserve">Ökad klarhet </w:t>
      </w:r>
      <w:r w:rsidR="00AE7013" w:rsidRPr="002D4B68">
        <w:t>är önskvärd exempelvis gällande:</w:t>
      </w:r>
    </w:p>
    <w:p w:rsidR="00AE7013" w:rsidRPr="002D4B68" w:rsidRDefault="00AE7013" w:rsidP="00AE7013">
      <w:pPr>
        <w:pStyle w:val="RKnormal"/>
        <w:numPr>
          <w:ilvl w:val="0"/>
          <w:numId w:val="15"/>
        </w:numPr>
      </w:pPr>
      <w:r w:rsidRPr="002D4B68">
        <w:t>EU:s syn på vilka insatser industri- respektive utvecklingsländer ska göra inklusive krav på mätning, rapportering och verifiering</w:t>
      </w:r>
      <w:r w:rsidR="006C15C4" w:rsidRPr="002D4B68">
        <w:t xml:space="preserve"> (hanteras även av Ekofin)</w:t>
      </w:r>
      <w:r w:rsidRPr="002D4B68">
        <w:t>.</w:t>
      </w:r>
    </w:p>
    <w:p w:rsidR="00AE7013" w:rsidRPr="002D4B68" w:rsidRDefault="00AE7013" w:rsidP="00AE7013">
      <w:pPr>
        <w:pStyle w:val="RKnormal"/>
        <w:numPr>
          <w:ilvl w:val="0"/>
          <w:numId w:val="15"/>
        </w:numPr>
      </w:pPr>
      <w:r w:rsidRPr="002D4B68">
        <w:t>Hur koldioxidmarknaden ska utvecklas och byggas ut.</w:t>
      </w:r>
    </w:p>
    <w:p w:rsidR="00AE7013" w:rsidRPr="002D4B68" w:rsidRDefault="00AE7013" w:rsidP="00AE7013">
      <w:pPr>
        <w:pStyle w:val="RKnormal"/>
        <w:numPr>
          <w:ilvl w:val="0"/>
          <w:numId w:val="15"/>
        </w:numPr>
      </w:pPr>
      <w:r w:rsidRPr="002D4B68">
        <w:t>EU:s syn på skog- och markanvändning samt roll för insatser mot avskogning.</w:t>
      </w:r>
    </w:p>
    <w:p w:rsidR="00AE7013" w:rsidRPr="002D4B68" w:rsidRDefault="00AE7013" w:rsidP="00AE7013">
      <w:pPr>
        <w:pStyle w:val="RKnormal"/>
        <w:numPr>
          <w:ilvl w:val="0"/>
          <w:numId w:val="15"/>
        </w:numPr>
      </w:pPr>
      <w:r w:rsidRPr="002D4B68">
        <w:t>Framtida arkitektur för finansiering (hanteras också av E</w:t>
      </w:r>
      <w:r w:rsidR="006C15C4" w:rsidRPr="002D4B68">
        <w:t>k</w:t>
      </w:r>
      <w:r w:rsidRPr="002D4B68">
        <w:t>ofin).</w:t>
      </w:r>
    </w:p>
    <w:p w:rsidR="005E421E" w:rsidRPr="002D4B68" w:rsidRDefault="005E421E">
      <w:pPr>
        <w:pStyle w:val="RKnormal"/>
      </w:pPr>
    </w:p>
    <w:p w:rsidR="00E876EC" w:rsidRPr="002D4B68" w:rsidRDefault="00E876EC">
      <w:pPr>
        <w:pStyle w:val="RKnormal"/>
      </w:pPr>
      <w:r w:rsidRPr="002D4B68">
        <w:t>Nedan följer en mycket kort sammanställni</w:t>
      </w:r>
      <w:r w:rsidR="002559E9" w:rsidRPr="002D4B68">
        <w:t>ng av några av huvudbudskapen</w:t>
      </w:r>
      <w:r w:rsidR="005E421E" w:rsidRPr="002D4B68">
        <w:t xml:space="preserve"> i Miljörådets oktoberslutsatser</w:t>
      </w:r>
      <w:r w:rsidRPr="002D4B68">
        <w:t>.</w:t>
      </w:r>
    </w:p>
    <w:p w:rsidR="00E876EC" w:rsidRPr="002D4B68" w:rsidRDefault="00E876EC">
      <w:pPr>
        <w:pStyle w:val="RKnormal"/>
      </w:pPr>
    </w:p>
    <w:p w:rsidR="002F2071" w:rsidRPr="002D4B68" w:rsidRDefault="00E876EC">
      <w:pPr>
        <w:pStyle w:val="RKnormal"/>
        <w:rPr>
          <w:u w:val="single"/>
        </w:rPr>
      </w:pPr>
      <w:r w:rsidRPr="002D4B68">
        <w:rPr>
          <w:u w:val="single"/>
        </w:rPr>
        <w:t xml:space="preserve">Utsläppsminskningar </w:t>
      </w:r>
    </w:p>
    <w:p w:rsidR="00E876EC" w:rsidRPr="002D4B68" w:rsidRDefault="00E876EC" w:rsidP="00E876EC">
      <w:pPr>
        <w:pStyle w:val="RKnormal"/>
        <w:numPr>
          <w:ilvl w:val="0"/>
          <w:numId w:val="3"/>
        </w:numPr>
      </w:pPr>
      <w:r w:rsidRPr="002D4B68">
        <w:t xml:space="preserve">EU uppmanar alla </w:t>
      </w:r>
      <w:r w:rsidR="00F55915" w:rsidRPr="002D4B68">
        <w:t>p</w:t>
      </w:r>
      <w:r w:rsidRPr="002D4B68">
        <w:t>arter att komma överens om ett globalt utsläppsmål om att minska utsläppen med 50% till 2050 jämfört med 1990.</w:t>
      </w:r>
    </w:p>
    <w:p w:rsidR="002559E9" w:rsidRPr="002D4B68" w:rsidRDefault="00AE7013" w:rsidP="00E876EC">
      <w:pPr>
        <w:pStyle w:val="RKnormal"/>
        <w:numPr>
          <w:ilvl w:val="0"/>
          <w:numId w:val="3"/>
        </w:numPr>
      </w:pPr>
      <w:r w:rsidRPr="002D4B68">
        <w:t>EU vill se att k</w:t>
      </w:r>
      <w:r w:rsidR="002559E9" w:rsidRPr="002D4B68">
        <w:t>raven på utsläppsminskningar i utvecklade länder till 2050 skärps.</w:t>
      </w:r>
    </w:p>
    <w:p w:rsidR="00E876EC" w:rsidRPr="002D4B68" w:rsidRDefault="00E876EC" w:rsidP="00E876EC">
      <w:pPr>
        <w:pStyle w:val="RKnormal"/>
        <w:numPr>
          <w:ilvl w:val="0"/>
          <w:numId w:val="3"/>
        </w:numPr>
      </w:pPr>
      <w:r w:rsidRPr="002D4B68">
        <w:t>Annex I-länder</w:t>
      </w:r>
      <w:r w:rsidR="004F3F5E" w:rsidRPr="002D4B68">
        <w:t>na</w:t>
      </w:r>
      <w:r w:rsidRPr="002D4B68">
        <w:t xml:space="preserve"> bör kollektivt minska sina utsläpp med i storleksordningen 30% till år 2020 jämfört med 1990.</w:t>
      </w:r>
    </w:p>
    <w:p w:rsidR="004F3F5E" w:rsidRPr="002D4B68" w:rsidRDefault="004F3F5E" w:rsidP="00E876EC">
      <w:pPr>
        <w:pStyle w:val="RKnormal"/>
        <w:numPr>
          <w:ilvl w:val="0"/>
          <w:numId w:val="3"/>
        </w:numPr>
      </w:pPr>
      <w:r w:rsidRPr="002D4B68">
        <w:t>EU upprepar att man är redo att åta sig att minska utsläppen med 30% till 2020 om andra utvecklade länder gör jämförbara åtaganden och utvecklingsländerna bidrar adekvat efter ansvar och förmåga.</w:t>
      </w:r>
    </w:p>
    <w:p w:rsidR="004F3F5E" w:rsidRPr="002D4B68" w:rsidRDefault="004F3F5E" w:rsidP="00E876EC">
      <w:pPr>
        <w:pStyle w:val="RKnormal"/>
        <w:numPr>
          <w:ilvl w:val="0"/>
          <w:numId w:val="3"/>
        </w:numPr>
      </w:pPr>
      <w:r w:rsidRPr="002D4B68">
        <w:t>Utvecklingsländerna</w:t>
      </w:r>
      <w:r w:rsidR="0073597B" w:rsidRPr="002D4B68">
        <w:t xml:space="preserve">s utsläpp kommer att öka men kollektivt bör den </w:t>
      </w:r>
      <w:r w:rsidRPr="002D4B68">
        <w:t>föruts</w:t>
      </w:r>
      <w:r w:rsidR="0073597B" w:rsidRPr="002D4B68">
        <w:t xml:space="preserve">pådda utsläppsökningen bli </w:t>
      </w:r>
      <w:r w:rsidRPr="002D4B68">
        <w:t>15-30%</w:t>
      </w:r>
      <w:r w:rsidR="0073597B" w:rsidRPr="002D4B68">
        <w:t xml:space="preserve"> lägre än om inga ytterligare åtgärder vidtas</w:t>
      </w:r>
      <w:r w:rsidRPr="002D4B68">
        <w:t xml:space="preserve">. </w:t>
      </w:r>
      <w:r w:rsidR="0073597B" w:rsidRPr="002D4B68">
        <w:t>Avancerade utvecklingsländer bör avvika 30% eller mer jämfört med om inga ytterligare åtgärder vidtas.</w:t>
      </w:r>
      <w:r w:rsidRPr="002D4B68">
        <w:t xml:space="preserve"> </w:t>
      </w:r>
    </w:p>
    <w:p w:rsidR="0078115D" w:rsidRPr="002D4B68" w:rsidRDefault="0078115D" w:rsidP="00E876EC">
      <w:pPr>
        <w:pStyle w:val="RKnormal"/>
        <w:numPr>
          <w:ilvl w:val="0"/>
          <w:numId w:val="3"/>
        </w:numPr>
      </w:pPr>
      <w:r w:rsidRPr="002D4B68">
        <w:t>Utsläppen från internationell luft- och sjöfart bör omfattas av en Köpenhamnsöverenskommelse</w:t>
      </w:r>
      <w:r w:rsidR="00AE7013" w:rsidRPr="002D4B68">
        <w:t xml:space="preserve"> och utsläppen bör minska till 2020 för dessa sektorer</w:t>
      </w:r>
      <w:r w:rsidRPr="002D4B68">
        <w:t>.</w:t>
      </w:r>
    </w:p>
    <w:p w:rsidR="00F1650F" w:rsidRPr="002D4B68" w:rsidRDefault="00F1650F" w:rsidP="00F1650F">
      <w:pPr>
        <w:pStyle w:val="RKnormal"/>
      </w:pPr>
    </w:p>
    <w:p w:rsidR="00F1650F" w:rsidRPr="002D4B68" w:rsidRDefault="00F1650F" w:rsidP="00F1650F">
      <w:pPr>
        <w:pStyle w:val="RKnormal"/>
        <w:rPr>
          <w:u w:val="single"/>
        </w:rPr>
      </w:pPr>
      <w:r w:rsidRPr="002D4B68">
        <w:rPr>
          <w:u w:val="single"/>
        </w:rPr>
        <w:t>Anpassning</w:t>
      </w:r>
    </w:p>
    <w:p w:rsidR="00491FF9" w:rsidRPr="002D4B68" w:rsidRDefault="00BC7C0E" w:rsidP="00491FF9">
      <w:pPr>
        <w:pStyle w:val="RKnormal"/>
        <w:numPr>
          <w:ilvl w:val="0"/>
          <w:numId w:val="11"/>
        </w:numPr>
      </w:pPr>
      <w:r w:rsidRPr="002D4B68">
        <w:t xml:space="preserve">EU </w:t>
      </w:r>
      <w:r w:rsidR="00AE7013" w:rsidRPr="002D4B68">
        <w:t>återupprepar sitt förslag om skapandet av</w:t>
      </w:r>
      <w:r w:rsidRPr="002D4B68">
        <w:t xml:space="preserve"> ett ”Framework for Action on Adaptation” som en del av en Köpenh</w:t>
      </w:r>
      <w:r w:rsidR="00366667" w:rsidRPr="002D4B68">
        <w:t>a</w:t>
      </w:r>
      <w:r w:rsidRPr="002D4B68">
        <w:t>mnsöverenskommelse i syfte att underlätta anpassningsarbete som en del av hållbar utveckling i alla delar av världen.</w:t>
      </w:r>
    </w:p>
    <w:p w:rsidR="00BC7C0E" w:rsidRPr="002D4B68" w:rsidRDefault="00BC7C0E" w:rsidP="00491FF9">
      <w:pPr>
        <w:pStyle w:val="RKnormal"/>
        <w:numPr>
          <w:ilvl w:val="0"/>
          <w:numId w:val="11"/>
        </w:numPr>
      </w:pPr>
      <w:r w:rsidRPr="002D4B68">
        <w:t>EU understryker behovet av att skala upp stödet till anpassning i utvecklingsländer fram till och bortom 2012 med fokus på länder och regioner som är särskilt sårbara för klimatförändringarnas effekter.</w:t>
      </w:r>
    </w:p>
    <w:p w:rsidR="00491FF9" w:rsidRPr="002D4B68" w:rsidRDefault="004C1B6E" w:rsidP="00491FF9">
      <w:pPr>
        <w:pStyle w:val="RKnormal"/>
        <w:numPr>
          <w:ilvl w:val="0"/>
          <w:numId w:val="11"/>
        </w:numPr>
      </w:pPr>
      <w:r w:rsidRPr="002D4B68">
        <w:t xml:space="preserve">Utvecklingssamarbetet ska vara helt kompatibelt med </w:t>
      </w:r>
      <w:r w:rsidR="002419CD" w:rsidRPr="002D4B68">
        <w:t xml:space="preserve">uppbyggandet </w:t>
      </w:r>
      <w:r w:rsidRPr="002D4B68">
        <w:t xml:space="preserve">av ekonomier som </w:t>
      </w:r>
      <w:r w:rsidR="002419CD" w:rsidRPr="002D4B68">
        <w:t>är motståndskraftiga mot klimatförändringarnas effekter</w:t>
      </w:r>
      <w:r w:rsidRPr="002D4B68">
        <w:t>.</w:t>
      </w:r>
    </w:p>
    <w:p w:rsidR="00491FF9" w:rsidRPr="002D4B68" w:rsidRDefault="00491FF9" w:rsidP="00F1650F">
      <w:pPr>
        <w:pStyle w:val="RKnormal"/>
        <w:rPr>
          <w:u w:val="single"/>
        </w:rPr>
      </w:pPr>
    </w:p>
    <w:p w:rsidR="00F1650F" w:rsidRPr="002D4B68" w:rsidRDefault="00571D80" w:rsidP="00F1650F">
      <w:pPr>
        <w:pStyle w:val="RKnormal"/>
        <w:rPr>
          <w:u w:val="single"/>
        </w:rPr>
      </w:pPr>
      <w:r w:rsidRPr="002D4B68">
        <w:rPr>
          <w:u w:val="single"/>
        </w:rPr>
        <w:t>Förhindrad avskogning</w:t>
      </w:r>
      <w:r w:rsidR="005847F9" w:rsidRPr="002D4B68">
        <w:rPr>
          <w:u w:val="single"/>
        </w:rPr>
        <w:t xml:space="preserve"> och beräkningsregler för LULUCF</w:t>
      </w:r>
    </w:p>
    <w:p w:rsidR="003E02F9" w:rsidRPr="002D4B68" w:rsidRDefault="003E02F9" w:rsidP="003E02F9">
      <w:pPr>
        <w:pStyle w:val="RKnormal"/>
        <w:numPr>
          <w:ilvl w:val="0"/>
          <w:numId w:val="4"/>
        </w:numPr>
      </w:pPr>
      <w:r w:rsidRPr="002D4B68">
        <w:t xml:space="preserve">En framtida klimatöverenskommelse bör innehålla tydliga incitament för utvecklingsländer att bedriva ett långsiktigt och hållbart skogsbruk och minska pågående avskogning. </w:t>
      </w:r>
    </w:p>
    <w:p w:rsidR="003E02F9" w:rsidRPr="002D4B68" w:rsidRDefault="00F1650F" w:rsidP="00F1650F">
      <w:pPr>
        <w:pStyle w:val="RKnormal"/>
        <w:numPr>
          <w:ilvl w:val="0"/>
          <w:numId w:val="4"/>
        </w:numPr>
        <w:rPr>
          <w:u w:val="single"/>
        </w:rPr>
      </w:pPr>
      <w:r w:rsidRPr="002D4B68">
        <w:t>EU upprepar målsättningen att minska den tropiska avskogningen med minst 50% till 2020 jämfört med idag</w:t>
      </w:r>
      <w:r w:rsidR="003E02F9" w:rsidRPr="002D4B68">
        <w:t>.</w:t>
      </w:r>
    </w:p>
    <w:p w:rsidR="005847F9" w:rsidRPr="002D4B68" w:rsidRDefault="005847F9" w:rsidP="00F1650F">
      <w:pPr>
        <w:pStyle w:val="RKnormal"/>
        <w:numPr>
          <w:ilvl w:val="0"/>
          <w:numId w:val="4"/>
        </w:numPr>
        <w:rPr>
          <w:u w:val="single"/>
        </w:rPr>
      </w:pPr>
      <w:r w:rsidRPr="002D4B68">
        <w:t>EU utvecklar sin syn på hur incitament för minskad avskogning kan skapas inom ramen för en Köpenhamnsöverenskommelse.</w:t>
      </w:r>
    </w:p>
    <w:p w:rsidR="005847F9" w:rsidRPr="002D4B68" w:rsidRDefault="005847F9" w:rsidP="00F1650F">
      <w:pPr>
        <w:pStyle w:val="RKnormal"/>
        <w:numPr>
          <w:ilvl w:val="0"/>
          <w:numId w:val="4"/>
        </w:numPr>
        <w:rPr>
          <w:u w:val="single"/>
        </w:rPr>
      </w:pPr>
      <w:r w:rsidRPr="002D4B68">
        <w:t>Regler för LULUCF (land use, land-use change and forestry) bör ge incitament till åtgärder för att främja upptag i kolsänkor samtidigt som de bör stödja hållbart skogsbruk och utnyttjande av biomassa.</w:t>
      </w:r>
    </w:p>
    <w:p w:rsidR="00571D80" w:rsidRPr="002D4B68" w:rsidRDefault="00571D80" w:rsidP="00571D80">
      <w:pPr>
        <w:pStyle w:val="RKnormal"/>
        <w:rPr>
          <w:u w:val="single"/>
        </w:rPr>
      </w:pPr>
    </w:p>
    <w:p w:rsidR="00571D80" w:rsidRPr="002D4B68" w:rsidRDefault="00571D80" w:rsidP="00571D80">
      <w:pPr>
        <w:pStyle w:val="RKnormal"/>
        <w:rPr>
          <w:u w:val="single"/>
        </w:rPr>
      </w:pPr>
      <w:r w:rsidRPr="002D4B68">
        <w:rPr>
          <w:u w:val="single"/>
        </w:rPr>
        <w:t>Åtagandeperioder</w:t>
      </w:r>
      <w:r w:rsidRPr="002D4B68">
        <w:t xml:space="preserve"> </w:t>
      </w:r>
    </w:p>
    <w:p w:rsidR="00571D80" w:rsidRPr="002D4B68" w:rsidRDefault="00571D80" w:rsidP="00571D80">
      <w:pPr>
        <w:pStyle w:val="RKnormal"/>
        <w:numPr>
          <w:ilvl w:val="0"/>
          <w:numId w:val="4"/>
        </w:numPr>
        <w:rPr>
          <w:u w:val="single"/>
        </w:rPr>
      </w:pPr>
      <w:r w:rsidRPr="002D4B68">
        <w:t xml:space="preserve">Den övergripande ambitionsnivån för en Köpenhamnsöverenskommelse bör avgöra längden på nästa åtagandeperiod. </w:t>
      </w:r>
    </w:p>
    <w:p w:rsidR="00571D80" w:rsidRPr="002D4B68" w:rsidRDefault="00571D80" w:rsidP="00571D80">
      <w:pPr>
        <w:pStyle w:val="RKnormal"/>
        <w:numPr>
          <w:ilvl w:val="0"/>
          <w:numId w:val="4"/>
        </w:numPr>
        <w:rPr>
          <w:u w:val="single"/>
        </w:rPr>
      </w:pPr>
      <w:r w:rsidRPr="002D4B68">
        <w:t>Åtaganden och åtgärder måste kunna ses över regelbundet i ljuset av nya vetenskapliga rön.</w:t>
      </w:r>
    </w:p>
    <w:p w:rsidR="00571D80" w:rsidRPr="002D4B68" w:rsidRDefault="00571D80" w:rsidP="00571D80">
      <w:pPr>
        <w:pStyle w:val="RKnormal"/>
        <w:rPr>
          <w:u w:val="single"/>
        </w:rPr>
      </w:pPr>
    </w:p>
    <w:p w:rsidR="00571D80" w:rsidRPr="002D4B68" w:rsidRDefault="0002102E" w:rsidP="00571D80">
      <w:pPr>
        <w:pStyle w:val="RKnormal"/>
        <w:rPr>
          <w:u w:val="single"/>
        </w:rPr>
      </w:pPr>
      <w:r w:rsidRPr="002D4B68">
        <w:rPr>
          <w:u w:val="single"/>
        </w:rPr>
        <w:t>”Low-carbon development strategies/growth plans”</w:t>
      </w:r>
    </w:p>
    <w:p w:rsidR="0002102E" w:rsidRPr="002D4B68" w:rsidRDefault="0002102E" w:rsidP="0002102E">
      <w:pPr>
        <w:pStyle w:val="RKnormal"/>
        <w:numPr>
          <w:ilvl w:val="0"/>
          <w:numId w:val="6"/>
        </w:numPr>
      </w:pPr>
      <w:r w:rsidRPr="002D4B68">
        <w:t>Alla länder</w:t>
      </w:r>
      <w:r w:rsidR="006C15C4" w:rsidRPr="002D4B68">
        <w:t>, med undantag för de minst utvecklade länderna,</w:t>
      </w:r>
      <w:r w:rsidRPr="002D4B68">
        <w:t xml:space="preserve"> bör gå med på att ta fram ambitiösa och trovärdiga </w:t>
      </w:r>
      <w:r w:rsidRPr="002D4B68">
        <w:rPr>
          <w:i/>
        </w:rPr>
        <w:t xml:space="preserve">low-carbon development strategies/growth plans </w:t>
      </w:r>
      <w:r w:rsidRPr="002D4B68">
        <w:t xml:space="preserve">utifrån principen om ansvar och förmåga. Sådana planer är av avgörande betydelse för att </w:t>
      </w:r>
      <w:r w:rsidR="005847F9" w:rsidRPr="002D4B68">
        <w:t xml:space="preserve">kunna </w:t>
      </w:r>
      <w:r w:rsidRPr="002D4B68">
        <w:t>matcha åtgärder av utvecklingsländer med finansiellt och tekniskt stöd.</w:t>
      </w:r>
    </w:p>
    <w:p w:rsidR="0002102E" w:rsidRPr="002D4B68" w:rsidRDefault="0002102E" w:rsidP="0002102E">
      <w:pPr>
        <w:pStyle w:val="RKnormal"/>
        <w:numPr>
          <w:ilvl w:val="0"/>
          <w:numId w:val="5"/>
        </w:numPr>
      </w:pPr>
      <w:r w:rsidRPr="002D4B68">
        <w:t>EU:s medlemsstater och kommissionen kommer att ta fram sådana planer under 201</w:t>
      </w:r>
      <w:r w:rsidR="005847F9" w:rsidRPr="002D4B68">
        <w:t>1</w:t>
      </w:r>
      <w:r w:rsidRPr="002D4B68">
        <w:t>.</w:t>
      </w:r>
    </w:p>
    <w:p w:rsidR="0002102E" w:rsidRPr="002D4B68" w:rsidRDefault="0002102E" w:rsidP="0002102E">
      <w:pPr>
        <w:pStyle w:val="RKnormal"/>
      </w:pPr>
    </w:p>
    <w:p w:rsidR="0002102E" w:rsidRPr="002D4B68" w:rsidRDefault="0002102E" w:rsidP="0002102E">
      <w:pPr>
        <w:pStyle w:val="RKnormal"/>
        <w:rPr>
          <w:u w:val="single"/>
        </w:rPr>
      </w:pPr>
      <w:r w:rsidRPr="002D4B68">
        <w:rPr>
          <w:u w:val="single"/>
        </w:rPr>
        <w:t>Utsläppsrättsmarknaden</w:t>
      </w:r>
    </w:p>
    <w:p w:rsidR="0002102E" w:rsidRPr="002D4B68" w:rsidRDefault="00BE10FA" w:rsidP="0002102E">
      <w:pPr>
        <w:pStyle w:val="RKnormal"/>
        <w:numPr>
          <w:ilvl w:val="0"/>
          <w:numId w:val="5"/>
        </w:numPr>
      </w:pPr>
      <w:r w:rsidRPr="002D4B68">
        <w:t>EU eftersträvar en OECD-omspännande utsläppsmarknad genom länkning av utsläppshandelssystem till år 2015 och ytterligare utvidgning till avancerade utvecklingsländer till 2020.</w:t>
      </w:r>
    </w:p>
    <w:p w:rsidR="00BE10FA" w:rsidRPr="002D4B68" w:rsidRDefault="00BE10FA" w:rsidP="0002102E">
      <w:pPr>
        <w:pStyle w:val="RKnormal"/>
        <w:numPr>
          <w:ilvl w:val="0"/>
          <w:numId w:val="5"/>
        </w:numPr>
      </w:pPr>
      <w:r w:rsidRPr="002D4B68">
        <w:rPr>
          <w:i/>
        </w:rPr>
        <w:t>Clean Development Mechanism</w:t>
      </w:r>
      <w:r w:rsidRPr="002D4B68">
        <w:t xml:space="preserve"> (CDM) bör </w:t>
      </w:r>
      <w:r w:rsidR="005847F9" w:rsidRPr="002D4B68">
        <w:t xml:space="preserve">reformeras och mer </w:t>
      </w:r>
      <w:r w:rsidRPr="002D4B68">
        <w:t>fokuseras på de minst utvecklade länderna.</w:t>
      </w:r>
    </w:p>
    <w:p w:rsidR="00BE10FA" w:rsidRPr="002D4B68" w:rsidRDefault="00BE10FA" w:rsidP="002033F0">
      <w:pPr>
        <w:pStyle w:val="RKnormal"/>
        <w:numPr>
          <w:ilvl w:val="0"/>
          <w:numId w:val="5"/>
        </w:numPr>
      </w:pPr>
      <w:r w:rsidRPr="002D4B68">
        <w:t>Avancerade utvecklingsländer uppmanas att sätta utsläppsmål för specifika sektorer för att kunna delta i sektorsansatser såsom sektorskre</w:t>
      </w:r>
      <w:r w:rsidR="002033F0" w:rsidRPr="002D4B68">
        <w:t>ditering och senast 2020 delta i</w:t>
      </w:r>
      <w:r w:rsidRPr="002D4B68">
        <w:t xml:space="preserve"> </w:t>
      </w:r>
      <w:r w:rsidR="002033F0" w:rsidRPr="002D4B68">
        <w:t>den internationella utsläppsmarknaden genom länkning till utsläppshandelssystem.</w:t>
      </w:r>
    </w:p>
    <w:p w:rsidR="002033F0" w:rsidRPr="002D4B68" w:rsidRDefault="002033F0" w:rsidP="002033F0">
      <w:pPr>
        <w:pStyle w:val="RKnormal"/>
      </w:pPr>
    </w:p>
    <w:p w:rsidR="002033F0" w:rsidRPr="002D4B68" w:rsidRDefault="002033F0" w:rsidP="002033F0">
      <w:pPr>
        <w:pStyle w:val="RKnormal"/>
        <w:rPr>
          <w:u w:val="single"/>
        </w:rPr>
      </w:pPr>
      <w:r w:rsidRPr="002D4B68">
        <w:rPr>
          <w:u w:val="single"/>
        </w:rPr>
        <w:t>Finansiering</w:t>
      </w:r>
    </w:p>
    <w:p w:rsidR="00E112C9" w:rsidRPr="002D4B68" w:rsidRDefault="00E112C9" w:rsidP="00E112C9">
      <w:pPr>
        <w:pStyle w:val="RKnormal"/>
      </w:pPr>
      <w:r w:rsidRPr="002D4B68">
        <w:t>Följande centrala finansieringsfrågor ska diskuteras i Ekofin och resultaten ska lyftas in i Miljörådets slutsatser:</w:t>
      </w:r>
    </w:p>
    <w:p w:rsidR="00E112C9" w:rsidRPr="002D4B68" w:rsidRDefault="00E112C9" w:rsidP="00E112C9">
      <w:pPr>
        <w:pStyle w:val="RKnormal"/>
        <w:numPr>
          <w:ilvl w:val="0"/>
          <w:numId w:val="9"/>
        </w:numPr>
      </w:pPr>
      <w:r w:rsidRPr="002D4B68">
        <w:t xml:space="preserve">Europeiska kommissionens uppskattningar om att ytterligare kostnader för klimatåtgärder behöver uppgå till 100 miljarder </w:t>
      </w:r>
      <w:r w:rsidR="00F55915" w:rsidRPr="002D4B68">
        <w:t xml:space="preserve">EUR </w:t>
      </w:r>
      <w:r w:rsidRPr="002D4B68">
        <w:t>årligen år 2020. Beloppet fördelas mellan nationella åtgärder i utvecklingsländerna, marknaden för utsläppshandel och internationella offentliga medel.</w:t>
      </w:r>
    </w:p>
    <w:p w:rsidR="00E112C9" w:rsidRPr="002D4B68" w:rsidRDefault="00E112C9" w:rsidP="00E112C9">
      <w:pPr>
        <w:pStyle w:val="RKnormal"/>
        <w:numPr>
          <w:ilvl w:val="0"/>
          <w:numId w:val="9"/>
        </w:numPr>
      </w:pPr>
      <w:r w:rsidRPr="002D4B68">
        <w:t>En global fördelningsnyckel, bestående av viktning mellan utsläpp och BNP, ska ligga till grund för hur bördan när det gäller de offentliga medlen ska fördelas mellan parter. EU:s andel kan därmed härledas.</w:t>
      </w:r>
    </w:p>
    <w:p w:rsidR="00E112C9" w:rsidRPr="002D4B68" w:rsidRDefault="00E112C9" w:rsidP="00E112C9">
      <w:pPr>
        <w:pStyle w:val="RKnormal"/>
        <w:numPr>
          <w:ilvl w:val="0"/>
          <w:numId w:val="9"/>
        </w:numPr>
      </w:pPr>
      <w:r w:rsidRPr="002D4B68">
        <w:t>Bidragen kan lämnas från nationella budgetar, EU-budgetar eller en kombination av dessa. Globala källor kan komma ifråga, vilket avgifter på bunkerbränslen skulle kunna utgöra exempel på.</w:t>
      </w:r>
    </w:p>
    <w:p w:rsidR="00E112C9" w:rsidRPr="002D4B68" w:rsidRDefault="00E112C9" w:rsidP="00E112C9">
      <w:pPr>
        <w:pStyle w:val="RKnormal"/>
        <w:numPr>
          <w:ilvl w:val="0"/>
          <w:numId w:val="9"/>
        </w:numPr>
      </w:pPr>
      <w:r w:rsidRPr="002D4B68">
        <w:t>EU drar upp huvudlinjerna rörande förvaltning och styrning av det finansiella flödet; ett decentraliserat system som säkrar att stöd används effektivt, ger största möjliga miljönytta och bygger på befintliga organ och kanaler.</w:t>
      </w:r>
    </w:p>
    <w:p w:rsidR="002033F0" w:rsidRPr="002D4B68" w:rsidRDefault="00E112C9" w:rsidP="002033F0">
      <w:pPr>
        <w:pStyle w:val="RKnormal"/>
        <w:numPr>
          <w:ilvl w:val="0"/>
          <w:numId w:val="9"/>
        </w:numPr>
      </w:pPr>
      <w:r w:rsidRPr="002D4B68">
        <w:t xml:space="preserve">EU erkänner att behovet av </w:t>
      </w:r>
      <w:r w:rsidRPr="002D4B68">
        <w:rPr>
          <w:i/>
        </w:rPr>
        <w:t>fast start</w:t>
      </w:r>
      <w:r w:rsidRPr="002D4B68">
        <w:t>-finansiering uppgår till ca 5-7 miljarder EUR/år under perioden 2010-2012 och avser att bidra med x</w:t>
      </w:r>
      <w:r w:rsidR="00F55915" w:rsidRPr="002D4B68">
        <w:t xml:space="preserve"> </w:t>
      </w:r>
      <w:r w:rsidRPr="002D4B68">
        <w:t>% av dessa kostnader.</w:t>
      </w:r>
    </w:p>
    <w:p w:rsidR="00E112C9" w:rsidRPr="002D4B68" w:rsidRDefault="00E112C9" w:rsidP="002033F0">
      <w:pPr>
        <w:pStyle w:val="RKnormal"/>
        <w:rPr>
          <w:u w:val="single"/>
        </w:rPr>
      </w:pPr>
    </w:p>
    <w:p w:rsidR="002033F0" w:rsidRPr="002D4B68" w:rsidRDefault="002033F0" w:rsidP="002033F0">
      <w:pPr>
        <w:pStyle w:val="RKnormal"/>
        <w:rPr>
          <w:u w:val="single"/>
        </w:rPr>
      </w:pPr>
      <w:r w:rsidRPr="002D4B68">
        <w:rPr>
          <w:u w:val="single"/>
        </w:rPr>
        <w:t>Teknik</w:t>
      </w:r>
    </w:p>
    <w:p w:rsidR="00491FF9" w:rsidRPr="002D4B68" w:rsidRDefault="00225135" w:rsidP="00491FF9">
      <w:pPr>
        <w:pStyle w:val="RKnormal"/>
        <w:numPr>
          <w:ilvl w:val="0"/>
          <w:numId w:val="10"/>
        </w:numPr>
      </w:pPr>
      <w:r w:rsidRPr="002D4B68">
        <w:t>EU verkar för ett starkt teknikavtal i Köpenhamn som möjliggör</w:t>
      </w:r>
      <w:r w:rsidR="00491FF9" w:rsidRPr="002D4B68">
        <w:t>:</w:t>
      </w:r>
    </w:p>
    <w:p w:rsidR="00491FF9" w:rsidRPr="002D4B68" w:rsidRDefault="00491FF9" w:rsidP="00491FF9">
      <w:pPr>
        <w:pStyle w:val="RKnormal"/>
        <w:ind w:left="360"/>
      </w:pPr>
      <w:r w:rsidRPr="002D4B68">
        <w:t>-</w:t>
      </w:r>
      <w:r w:rsidR="00225135" w:rsidRPr="002D4B68">
        <w:t xml:space="preserve"> ökat stöd till kapacitetsuppbyggnad och policyåtgärder som främjar användande av miljövänlig teknik, inkl</w:t>
      </w:r>
      <w:r w:rsidR="002419CD" w:rsidRPr="002D4B68">
        <w:t>usive</w:t>
      </w:r>
      <w:r w:rsidR="00225135" w:rsidRPr="002D4B68">
        <w:t xml:space="preserve"> bättre incitament och drivkrafter för privata sektorn att investera i klimatvänlig teknik i utvecklingsländer</w:t>
      </w:r>
      <w:r w:rsidRPr="002D4B68">
        <w:t>,</w:t>
      </w:r>
    </w:p>
    <w:p w:rsidR="00225135" w:rsidRPr="002D4B68" w:rsidRDefault="00491FF9" w:rsidP="00491FF9">
      <w:pPr>
        <w:pStyle w:val="RKnormal"/>
        <w:ind w:left="360"/>
      </w:pPr>
      <w:r w:rsidRPr="002D4B68">
        <w:t xml:space="preserve">- </w:t>
      </w:r>
      <w:r w:rsidR="00225135" w:rsidRPr="002D4B68">
        <w:t>förbättrad utveckling av klimattekniker genom ökat forsknings</w:t>
      </w:r>
      <w:r w:rsidRPr="002D4B68">
        <w:t>-</w:t>
      </w:r>
      <w:r w:rsidR="00225135" w:rsidRPr="002D4B68">
        <w:t xml:space="preserve"> och utvecklingssamarbete</w:t>
      </w:r>
      <w:r w:rsidRPr="002D4B68">
        <w:t xml:space="preserve"> samt</w:t>
      </w:r>
    </w:p>
    <w:p w:rsidR="00225135" w:rsidRPr="002D4B68" w:rsidRDefault="00491FF9" w:rsidP="00491FF9">
      <w:pPr>
        <w:pStyle w:val="RKnormal"/>
        <w:ind w:left="360"/>
      </w:pPr>
      <w:r w:rsidRPr="002D4B68">
        <w:t xml:space="preserve">- </w:t>
      </w:r>
      <w:r w:rsidR="00225135" w:rsidRPr="002D4B68">
        <w:t>stöd för demonstration och marknadsintroducering för omogna tekniker</w:t>
      </w:r>
      <w:r w:rsidRPr="002D4B68">
        <w:t>.</w:t>
      </w:r>
    </w:p>
    <w:p w:rsidR="002033F0" w:rsidRPr="002D4B68" w:rsidRDefault="002033F0" w:rsidP="002033F0">
      <w:pPr>
        <w:pStyle w:val="RKnormal"/>
        <w:rPr>
          <w:u w:val="single"/>
        </w:rPr>
      </w:pPr>
    </w:p>
    <w:p w:rsidR="002033F0" w:rsidRPr="002D4B68" w:rsidRDefault="002033F0" w:rsidP="002033F0">
      <w:pPr>
        <w:pStyle w:val="RKnormal"/>
        <w:rPr>
          <w:u w:val="single"/>
        </w:rPr>
      </w:pPr>
      <w:r w:rsidRPr="002D4B68">
        <w:rPr>
          <w:u w:val="single"/>
        </w:rPr>
        <w:t>Legala frågor</w:t>
      </w:r>
    </w:p>
    <w:p w:rsidR="002033F0" w:rsidRPr="002D4B68" w:rsidRDefault="002033F0" w:rsidP="002033F0">
      <w:pPr>
        <w:pStyle w:val="RKnormal"/>
        <w:numPr>
          <w:ilvl w:val="0"/>
          <w:numId w:val="9"/>
        </w:numPr>
      </w:pPr>
      <w:r w:rsidRPr="002D4B68">
        <w:t xml:space="preserve">EU </w:t>
      </w:r>
      <w:r w:rsidR="00225135" w:rsidRPr="002D4B68">
        <w:t>understryker</w:t>
      </w:r>
      <w:r w:rsidRPr="002D4B68">
        <w:t xml:space="preserve"> behovet av en legalt bindande överenskommelse i Köpenhamn som tar vid den 1 januari 2013.</w:t>
      </w:r>
    </w:p>
    <w:p w:rsidR="00225135" w:rsidRPr="002D4B68" w:rsidRDefault="002033F0" w:rsidP="00225135">
      <w:pPr>
        <w:pStyle w:val="RKnormal"/>
        <w:numPr>
          <w:ilvl w:val="0"/>
          <w:numId w:val="9"/>
        </w:numPr>
      </w:pPr>
      <w:r w:rsidRPr="002D4B68">
        <w:t xml:space="preserve">Överenskommelsen ska bygga </w:t>
      </w:r>
      <w:r w:rsidR="00225135" w:rsidRPr="002D4B68">
        <w:t>på Kyotoprotokollet.</w:t>
      </w:r>
    </w:p>
    <w:p w:rsidR="002559E9" w:rsidRPr="002D4B68" w:rsidRDefault="002559E9" w:rsidP="002559E9">
      <w:pPr>
        <w:pStyle w:val="RKnormal"/>
      </w:pPr>
    </w:p>
    <w:p w:rsidR="002559E9" w:rsidRPr="002D4B68" w:rsidRDefault="002559E9" w:rsidP="002559E9">
      <w:pPr>
        <w:pStyle w:val="RKnormal"/>
      </w:pPr>
      <w:r w:rsidRPr="002D4B68">
        <w:t>Dessutom försöker det svenska ordförandeskapet skapa enighet kring EU-positioner om:</w:t>
      </w:r>
    </w:p>
    <w:p w:rsidR="002559E9" w:rsidRPr="002D4B68" w:rsidRDefault="002559E9" w:rsidP="002559E9">
      <w:pPr>
        <w:pStyle w:val="RKnormal"/>
        <w:numPr>
          <w:ilvl w:val="0"/>
          <w:numId w:val="12"/>
        </w:numPr>
      </w:pPr>
      <w:r w:rsidRPr="002D4B68">
        <w:t xml:space="preserve">hur det globala AAU-överskottet ska hanteras, </w:t>
      </w:r>
    </w:p>
    <w:p w:rsidR="002559E9" w:rsidRPr="002D4B68" w:rsidRDefault="002559E9" w:rsidP="002559E9">
      <w:pPr>
        <w:pStyle w:val="RKnormal"/>
        <w:numPr>
          <w:ilvl w:val="0"/>
          <w:numId w:val="12"/>
        </w:numPr>
      </w:pPr>
      <w:r w:rsidRPr="002D4B68">
        <w:t xml:space="preserve">EU-mål till 2050, </w:t>
      </w:r>
    </w:p>
    <w:p w:rsidR="002559E9" w:rsidRPr="002D4B68" w:rsidRDefault="002559E9" w:rsidP="002559E9">
      <w:pPr>
        <w:pStyle w:val="RKnormal"/>
        <w:numPr>
          <w:ilvl w:val="0"/>
          <w:numId w:val="12"/>
        </w:numPr>
      </w:pPr>
      <w:r w:rsidRPr="002D4B68">
        <w:t>mål för internationell sjö- och luftfart.</w:t>
      </w:r>
    </w:p>
    <w:p w:rsidR="002F2071" w:rsidRPr="002D4B68" w:rsidRDefault="002F2071">
      <w:pPr>
        <w:pStyle w:val="RKrubrik"/>
        <w:rPr>
          <w:i/>
          <w:iCs/>
        </w:rPr>
      </w:pPr>
      <w:r w:rsidRPr="002D4B68">
        <w:rPr>
          <w:i/>
          <w:iCs/>
        </w:rPr>
        <w:t>Gällande svenska regler och förslagets effekter på dessa</w:t>
      </w:r>
    </w:p>
    <w:p w:rsidR="002F2071" w:rsidRPr="002D4B68" w:rsidRDefault="00D942E9">
      <w:pPr>
        <w:pStyle w:val="RKnormal"/>
      </w:pPr>
      <w:r w:rsidRPr="002D4B68">
        <w:t xml:space="preserve">Internationellt bindande klimatmål för Sverige bestäms av EU:s interna ansvarsfördelning och reglerna för EU:s system för handel med utsläppsrätter. EU:s </w:t>
      </w:r>
      <w:r w:rsidR="00F55915" w:rsidRPr="002D4B68">
        <w:t>k</w:t>
      </w:r>
      <w:r w:rsidRPr="002D4B68">
        <w:t xml:space="preserve">limat- och energipaket som slutförhandlades i december 2008 ger ramarna för Sveriges klimatarbete. Om en klimatöverenskommelse träffas i Köpenhamn som innebär att EU åtar sig en större utsläppsminskning än -20% till 2020 jämfört med 1990 kommer </w:t>
      </w:r>
      <w:r w:rsidR="00F55915" w:rsidRPr="002D4B68">
        <w:t>k</w:t>
      </w:r>
      <w:r w:rsidRPr="002D4B68">
        <w:t>limat- och energipaketet att revideras</w:t>
      </w:r>
      <w:r w:rsidR="00CB6C4D" w:rsidRPr="002D4B68">
        <w:t xml:space="preserve"> och kraven på utsläppsminskningar skärpas</w:t>
      </w:r>
      <w:r w:rsidRPr="002D4B68">
        <w:t xml:space="preserve">. </w:t>
      </w:r>
      <w:r w:rsidR="00CB6C4D" w:rsidRPr="002D4B68">
        <w:t>Det är osannolikt att en sådan revision skulle medföra mer långtgående krav på utsläppsreduktioner av Sverige än det redan antagna nationella målet (-40% jämfört med 1990 i den icke-handlande sektorn).</w:t>
      </w:r>
    </w:p>
    <w:p w:rsidR="002F2071" w:rsidRPr="002D4B68" w:rsidRDefault="002F2071">
      <w:pPr>
        <w:pStyle w:val="RKrubrik"/>
      </w:pPr>
      <w:r w:rsidRPr="002D4B68">
        <w:t>Ekonomiska konsekvenser</w:t>
      </w:r>
    </w:p>
    <w:p w:rsidR="002F2071" w:rsidRPr="002D4B68" w:rsidRDefault="00006A9E">
      <w:pPr>
        <w:pStyle w:val="RKnormal"/>
      </w:pPr>
      <w:r w:rsidRPr="002D4B68">
        <w:t>De samhällsekonomiska k</w:t>
      </w:r>
      <w:r w:rsidR="00071E15" w:rsidRPr="002D4B68">
        <w:t>onsekvenserna</w:t>
      </w:r>
      <w:r w:rsidRPr="002D4B68">
        <w:t xml:space="preserve"> av e</w:t>
      </w:r>
      <w:r w:rsidR="004D3DC7" w:rsidRPr="002D4B68">
        <w:t>n</w:t>
      </w:r>
      <w:r w:rsidRPr="002D4B68">
        <w:t xml:space="preserve"> ny internationell klimat</w:t>
      </w:r>
      <w:r w:rsidR="004D3DC7" w:rsidRPr="002D4B68">
        <w:t>överenskommelse</w:t>
      </w:r>
      <w:r w:rsidRPr="002D4B68">
        <w:t xml:space="preserve"> beror i hög grad på vilka utsläppsreduktionsmål världens länder enas kring samt</w:t>
      </w:r>
      <w:r w:rsidR="00EC4DEA" w:rsidRPr="002D4B68">
        <w:t xml:space="preserve"> hur finansieringsfrågan löses. Stöd till anpassning och utsläppsreduktioner i utvecklingsländer kan medföra ytterligare kostnader för statsbudgeten beroende på val av finansieringsmodell. </w:t>
      </w:r>
    </w:p>
    <w:p w:rsidR="002F2071" w:rsidRPr="002D4B68" w:rsidRDefault="002F2071">
      <w:pPr>
        <w:pStyle w:val="RKrubrik"/>
      </w:pPr>
      <w:r w:rsidRPr="002D4B68">
        <w:t>Övrigt</w:t>
      </w:r>
    </w:p>
    <w:p w:rsidR="002F2071" w:rsidRPr="002D4B68" w:rsidRDefault="002F2071">
      <w:pPr>
        <w:pStyle w:val="RKnormal"/>
      </w:pPr>
    </w:p>
    <w:p w:rsidR="002F2071" w:rsidRPr="002D4B68" w:rsidRDefault="000A26E6">
      <w:pPr>
        <w:pStyle w:val="RKnormal"/>
        <w:rPr>
          <w:iCs/>
        </w:rPr>
      </w:pPr>
      <w:r w:rsidRPr="002D4B68">
        <w:rPr>
          <w:iCs/>
        </w:rPr>
        <w:t xml:space="preserve">AAU </w:t>
      </w:r>
      <w:r w:rsidR="00D4569D" w:rsidRPr="002D4B68">
        <w:rPr>
          <w:iCs/>
        </w:rPr>
        <w:t>=</w:t>
      </w:r>
      <w:r w:rsidRPr="002D4B68">
        <w:rPr>
          <w:iCs/>
        </w:rPr>
        <w:t xml:space="preserve"> </w:t>
      </w:r>
      <w:r w:rsidRPr="002D4B68">
        <w:rPr>
          <w:i/>
          <w:iCs/>
        </w:rPr>
        <w:t>Assigned Amount Unit</w:t>
      </w:r>
      <w:r w:rsidRPr="002D4B68">
        <w:rPr>
          <w:iCs/>
        </w:rPr>
        <w:t xml:space="preserve">: </w:t>
      </w:r>
      <w:r w:rsidR="00D4569D" w:rsidRPr="002D4B68">
        <w:rPr>
          <w:iCs/>
        </w:rPr>
        <w:t xml:space="preserve">Tilldelade utsläppsrätter enligt länders utsläppstak i Kyotoprotokollet. </w:t>
      </w:r>
    </w:p>
    <w:p w:rsidR="00D4569D" w:rsidRPr="002D4B68" w:rsidRDefault="004B0A5D">
      <w:pPr>
        <w:pStyle w:val="RKnormal"/>
        <w:rPr>
          <w:i/>
        </w:rPr>
      </w:pPr>
      <w:r w:rsidRPr="002D4B68">
        <w:rPr>
          <w:iCs/>
        </w:rPr>
        <w:br/>
      </w:r>
      <w:r w:rsidR="00D4569D" w:rsidRPr="002D4B68">
        <w:rPr>
          <w:iCs/>
        </w:rPr>
        <w:t xml:space="preserve">CDM = </w:t>
      </w:r>
      <w:r w:rsidR="00D4569D" w:rsidRPr="002D4B68">
        <w:rPr>
          <w:i/>
        </w:rPr>
        <w:t xml:space="preserve">Clean Development Mechanism: </w:t>
      </w:r>
      <w:r w:rsidR="00D4569D" w:rsidRPr="002D4B68">
        <w:t xml:space="preserve">En av </w:t>
      </w:r>
      <w:r w:rsidRPr="002D4B68">
        <w:t xml:space="preserve">flera </w:t>
      </w:r>
      <w:r w:rsidR="00D4569D" w:rsidRPr="002D4B68">
        <w:t>flexibla mekanismer enligt Kyotoprotokollet. CDM-projekt är växthusgasreducerande åtgärder i länder utan åtagande att minska sina utsläpp.</w:t>
      </w:r>
      <w:r w:rsidRPr="002D4B68">
        <w:t xml:space="preserve">  </w:t>
      </w:r>
    </w:p>
    <w:p w:rsidR="00D4569D" w:rsidRPr="002D4B68" w:rsidRDefault="004B0A5D" w:rsidP="00D4569D">
      <w:r w:rsidRPr="002D4B68">
        <w:br/>
      </w:r>
      <w:r w:rsidR="00D4569D" w:rsidRPr="002D4B68">
        <w:t xml:space="preserve">IPCC = </w:t>
      </w:r>
      <w:r w:rsidR="00D4569D" w:rsidRPr="002D4B68">
        <w:rPr>
          <w:i/>
        </w:rPr>
        <w:t>Intergovernmental Panel on Climate Change</w:t>
      </w:r>
      <w:r w:rsidR="00D4569D" w:rsidRPr="002D4B68">
        <w:t xml:space="preserve">: FN:s klimatpanel. </w:t>
      </w:r>
    </w:p>
    <w:p w:rsidR="00D4569D" w:rsidRPr="002D4B68" w:rsidRDefault="004B0A5D">
      <w:pPr>
        <w:pStyle w:val="RKnormal"/>
      </w:pPr>
      <w:r w:rsidRPr="002D4B68">
        <w:br/>
      </w:r>
      <w:r w:rsidR="00D4569D" w:rsidRPr="002D4B68">
        <w:t xml:space="preserve">LULUCF = </w:t>
      </w:r>
      <w:r w:rsidR="00D4569D" w:rsidRPr="002D4B68">
        <w:rPr>
          <w:i/>
        </w:rPr>
        <w:t>Land Use, Land-Use Change and Forestry:</w:t>
      </w:r>
      <w:r w:rsidR="00D4569D" w:rsidRPr="002D4B68">
        <w:t xml:space="preserve"> Utsläpp från sektorn </w:t>
      </w:r>
      <w:r w:rsidRPr="002D4B68">
        <w:t>m</w:t>
      </w:r>
      <w:r w:rsidR="00D4569D" w:rsidRPr="002D4B68">
        <w:t xml:space="preserve">arkanvändning, förändrad markanvändning och skogsbruk. </w:t>
      </w:r>
    </w:p>
    <w:p w:rsidR="002F2071" w:rsidRPr="002D4B68" w:rsidRDefault="002F2071">
      <w:pPr>
        <w:pStyle w:val="RKnormal"/>
        <w:ind w:left="-1134"/>
      </w:pPr>
    </w:p>
    <w:p w:rsidR="006E4E11" w:rsidRPr="002D4B68" w:rsidRDefault="006E4E11">
      <w:pPr>
        <w:pStyle w:val="RKrubrik"/>
        <w:spacing w:before="0" w:after="0"/>
      </w:pPr>
    </w:p>
    <w:p w:rsidR="006E4E11" w:rsidRPr="002D4B68" w:rsidRDefault="006E4E11">
      <w:pPr>
        <w:pStyle w:val="RKnormal"/>
      </w:pPr>
    </w:p>
    <w:p w:rsidR="002F2071" w:rsidRPr="002D4B68" w:rsidRDefault="002F2071">
      <w:pPr>
        <w:pStyle w:val="RKnormal"/>
      </w:pPr>
    </w:p>
    <w:sectPr w:rsidR="002F2071" w:rsidRPr="002D4B6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A1E" w:rsidRPr="002D4B68" w:rsidRDefault="00804A1E">
      <w:r w:rsidRPr="002D4B68">
        <w:separator/>
      </w:r>
    </w:p>
  </w:endnote>
  <w:endnote w:type="continuationSeparator" w:id="0">
    <w:p w:rsidR="00804A1E" w:rsidRPr="002D4B68" w:rsidRDefault="00804A1E">
      <w:r w:rsidRPr="002D4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 Gothic Pro">
    <w:panose1 w:val="00000000000000000000"/>
    <w:charset w:val="00"/>
    <w:family w:val="modern"/>
    <w:notTrueType/>
    <w:pitch w:val="variable"/>
    <w:sig w:usb0="00000087" w:usb1="00000000" w:usb2="00000000" w:usb3="00000000" w:csb0="0000009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A1E" w:rsidRPr="002D4B68" w:rsidRDefault="00804A1E">
      <w:r w:rsidRPr="002D4B68">
        <w:separator/>
      </w:r>
    </w:p>
  </w:footnote>
  <w:footnote w:type="continuationSeparator" w:id="0">
    <w:p w:rsidR="00804A1E" w:rsidRPr="002D4B68" w:rsidRDefault="00804A1E">
      <w:r w:rsidRPr="002D4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9D" w:rsidRPr="002D4B68" w:rsidRDefault="00D4569D">
    <w:pPr>
      <w:pStyle w:val="Sidhuvud"/>
      <w:framePr w:wrap="around" w:vAnchor="text" w:hAnchor="margin" w:xAlign="right" w:y="1"/>
      <w:rPr>
        <w:rStyle w:val="Sidnummer"/>
      </w:rPr>
    </w:pPr>
    <w:r w:rsidRPr="002D4B68">
      <w:rPr>
        <w:rStyle w:val="Sidnummer"/>
      </w:rPr>
      <w:fldChar w:fldCharType="begin" w:fldLock="1"/>
    </w:r>
    <w:r w:rsidRPr="002D4B68">
      <w:rPr>
        <w:rStyle w:val="Sidnummer"/>
      </w:rPr>
      <w:instrText xml:space="preserve">PAGE  </w:instrText>
    </w:r>
    <w:r w:rsidRPr="002D4B68">
      <w:rPr>
        <w:rStyle w:val="Sidnummer"/>
      </w:rPr>
      <w:fldChar w:fldCharType="separate"/>
    </w:r>
    <w:r w:rsidR="001D0677" w:rsidRPr="002D4B68">
      <w:rPr>
        <w:rStyle w:val="Sidnummer"/>
      </w:rPr>
      <w:t>6</w:t>
    </w:r>
    <w:r w:rsidRPr="002D4B6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4569D" w:rsidRPr="002D4B68">
      <w:tblPrEx>
        <w:tblCellMar>
          <w:top w:w="0" w:type="dxa"/>
          <w:bottom w:w="0" w:type="dxa"/>
        </w:tblCellMar>
      </w:tblPrEx>
      <w:trPr>
        <w:cantSplit/>
      </w:trPr>
      <w:tc>
        <w:tcPr>
          <w:tcW w:w="3119" w:type="dxa"/>
        </w:tcPr>
        <w:p w:rsidR="00D4569D" w:rsidRPr="002D4B68" w:rsidRDefault="00D4569D">
          <w:pPr>
            <w:pStyle w:val="Sidhuvud"/>
            <w:spacing w:line="200" w:lineRule="atLeast"/>
            <w:ind w:right="357"/>
            <w:rPr>
              <w:rFonts w:ascii="TradeGothic" w:hAnsi="TradeGothic"/>
              <w:b/>
              <w:bCs/>
              <w:sz w:val="16"/>
            </w:rPr>
          </w:pPr>
        </w:p>
      </w:tc>
      <w:tc>
        <w:tcPr>
          <w:tcW w:w="4111" w:type="dxa"/>
          <w:tcMar>
            <w:left w:w="567" w:type="dxa"/>
          </w:tcMar>
        </w:tcPr>
        <w:p w:rsidR="00D4569D" w:rsidRPr="002D4B68" w:rsidRDefault="00D4569D">
          <w:pPr>
            <w:pStyle w:val="Sidhuvud"/>
            <w:ind w:right="360"/>
          </w:pPr>
        </w:p>
      </w:tc>
      <w:tc>
        <w:tcPr>
          <w:tcW w:w="1525" w:type="dxa"/>
        </w:tcPr>
        <w:p w:rsidR="00D4569D" w:rsidRPr="002D4B68" w:rsidRDefault="00D4569D">
          <w:pPr>
            <w:pStyle w:val="Sidhuvud"/>
            <w:ind w:right="360"/>
          </w:pPr>
        </w:p>
      </w:tc>
    </w:tr>
  </w:tbl>
  <w:p w:rsidR="00D4569D" w:rsidRPr="002D4B68" w:rsidRDefault="00D4569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9D" w:rsidRPr="002D4B68" w:rsidRDefault="00D4569D">
    <w:pPr>
      <w:pStyle w:val="Sidhuvud"/>
      <w:framePr w:wrap="around" w:vAnchor="text" w:hAnchor="margin" w:xAlign="right" w:y="1"/>
      <w:rPr>
        <w:rStyle w:val="Sidnummer"/>
      </w:rPr>
    </w:pPr>
    <w:r w:rsidRPr="002D4B68">
      <w:rPr>
        <w:rStyle w:val="Sidnummer"/>
      </w:rPr>
      <w:fldChar w:fldCharType="begin" w:fldLock="1"/>
    </w:r>
    <w:r w:rsidRPr="002D4B68">
      <w:rPr>
        <w:rStyle w:val="Sidnummer"/>
      </w:rPr>
      <w:instrText xml:space="preserve">PAGE  </w:instrText>
    </w:r>
    <w:r w:rsidRPr="002D4B68">
      <w:rPr>
        <w:rStyle w:val="Sidnummer"/>
      </w:rPr>
      <w:fldChar w:fldCharType="separate"/>
    </w:r>
    <w:r w:rsidR="001D0677" w:rsidRPr="002D4B68">
      <w:rPr>
        <w:rStyle w:val="Sidnummer"/>
      </w:rPr>
      <w:t>7</w:t>
    </w:r>
    <w:r w:rsidRPr="002D4B6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4569D" w:rsidRPr="002D4B68">
      <w:tblPrEx>
        <w:tblCellMar>
          <w:top w:w="0" w:type="dxa"/>
          <w:bottom w:w="0" w:type="dxa"/>
        </w:tblCellMar>
      </w:tblPrEx>
      <w:trPr>
        <w:cantSplit/>
      </w:trPr>
      <w:tc>
        <w:tcPr>
          <w:tcW w:w="3119" w:type="dxa"/>
        </w:tcPr>
        <w:p w:rsidR="00D4569D" w:rsidRPr="002D4B68" w:rsidRDefault="00D4569D">
          <w:pPr>
            <w:pStyle w:val="Sidhuvud"/>
            <w:spacing w:line="200" w:lineRule="atLeast"/>
            <w:ind w:right="357"/>
            <w:rPr>
              <w:rFonts w:ascii="TradeGothic" w:hAnsi="TradeGothic"/>
              <w:b/>
              <w:bCs/>
              <w:sz w:val="16"/>
            </w:rPr>
          </w:pPr>
        </w:p>
      </w:tc>
      <w:tc>
        <w:tcPr>
          <w:tcW w:w="4111" w:type="dxa"/>
          <w:tcMar>
            <w:left w:w="567" w:type="dxa"/>
          </w:tcMar>
        </w:tcPr>
        <w:p w:rsidR="00D4569D" w:rsidRPr="002D4B68" w:rsidRDefault="00D4569D">
          <w:pPr>
            <w:pStyle w:val="Sidhuvud"/>
            <w:ind w:right="360"/>
          </w:pPr>
        </w:p>
      </w:tc>
      <w:tc>
        <w:tcPr>
          <w:tcW w:w="1525" w:type="dxa"/>
        </w:tcPr>
        <w:p w:rsidR="00D4569D" w:rsidRPr="002D4B68" w:rsidRDefault="00D4569D">
          <w:pPr>
            <w:pStyle w:val="Sidhuvud"/>
            <w:ind w:right="360"/>
          </w:pPr>
        </w:p>
      </w:tc>
    </w:tr>
  </w:tbl>
  <w:p w:rsidR="00D4569D" w:rsidRPr="002D4B68" w:rsidRDefault="00D4569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9D" w:rsidRPr="002D4B68" w:rsidRDefault="002D4B68">
    <w:pPr>
      <w:framePr w:w="2948" w:h="1321" w:hRule="exact" w:wrap="notBeside" w:vAnchor="page" w:hAnchor="page" w:x="1362" w:y="653"/>
    </w:pPr>
    <w:r w:rsidRPr="002D4B6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569D" w:rsidRPr="002D4B68" w:rsidRDefault="00D4569D">
    <w:pPr>
      <w:pStyle w:val="RKrubrik"/>
      <w:keepNext w:val="0"/>
      <w:tabs>
        <w:tab w:val="clear" w:pos="1134"/>
        <w:tab w:val="clear" w:pos="2835"/>
      </w:tabs>
      <w:spacing w:before="0" w:after="0" w:line="320" w:lineRule="atLeast"/>
      <w:rPr>
        <w:bCs/>
      </w:rPr>
    </w:pPr>
  </w:p>
  <w:p w:rsidR="00D4569D" w:rsidRPr="002D4B68" w:rsidRDefault="00D4569D">
    <w:pPr>
      <w:rPr>
        <w:rFonts w:ascii="TradeGothic" w:hAnsi="TradeGothic"/>
        <w:b/>
        <w:bCs/>
        <w:spacing w:val="12"/>
        <w:sz w:val="22"/>
      </w:rPr>
    </w:pPr>
  </w:p>
  <w:p w:rsidR="00D4569D" w:rsidRPr="002D4B68" w:rsidRDefault="00D4569D">
    <w:pPr>
      <w:pStyle w:val="RKrubrik"/>
      <w:keepNext w:val="0"/>
      <w:tabs>
        <w:tab w:val="clear" w:pos="1134"/>
        <w:tab w:val="clear" w:pos="2835"/>
      </w:tabs>
      <w:spacing w:before="0" w:after="0" w:line="320" w:lineRule="atLeast"/>
      <w:rPr>
        <w:bCs/>
      </w:rPr>
    </w:pPr>
  </w:p>
  <w:p w:rsidR="00D4569D" w:rsidRPr="002D4B68" w:rsidRDefault="00D4569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8D"/>
    <w:multiLevelType w:val="hybridMultilevel"/>
    <w:tmpl w:val="2982C21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4417C7"/>
    <w:multiLevelType w:val="multilevel"/>
    <w:tmpl w:val="DB107B72"/>
    <w:lvl w:ilvl="0">
      <w:numFmt w:val="bullet"/>
      <w:lvlText w:val="-"/>
      <w:lvlJc w:val="left"/>
      <w:pPr>
        <w:tabs>
          <w:tab w:val="num" w:pos="750"/>
        </w:tabs>
        <w:ind w:left="750" w:hanging="39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8316F"/>
    <w:multiLevelType w:val="hybridMultilevel"/>
    <w:tmpl w:val="79D42F7E"/>
    <w:lvl w:ilvl="0" w:tplc="33F0EF84">
      <w:numFmt w:val="bullet"/>
      <w:lvlText w:val="-"/>
      <w:lvlJc w:val="left"/>
      <w:pPr>
        <w:tabs>
          <w:tab w:val="num" w:pos="390"/>
        </w:tabs>
        <w:ind w:left="390" w:hanging="39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E509D1"/>
    <w:multiLevelType w:val="hybridMultilevel"/>
    <w:tmpl w:val="AFC6D6A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A04011"/>
    <w:multiLevelType w:val="hybridMultilevel"/>
    <w:tmpl w:val="04EE6D7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710542"/>
    <w:multiLevelType w:val="hybridMultilevel"/>
    <w:tmpl w:val="DB107B72"/>
    <w:lvl w:ilvl="0" w:tplc="33F0EF84">
      <w:numFmt w:val="bullet"/>
      <w:lvlText w:val="-"/>
      <w:lvlJc w:val="left"/>
      <w:pPr>
        <w:tabs>
          <w:tab w:val="num" w:pos="750"/>
        </w:tabs>
        <w:ind w:left="750" w:hanging="39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07FD2"/>
    <w:multiLevelType w:val="multilevel"/>
    <w:tmpl w:val="79D42F7E"/>
    <w:lvl w:ilvl="0">
      <w:numFmt w:val="bullet"/>
      <w:lvlText w:val="-"/>
      <w:lvlJc w:val="left"/>
      <w:pPr>
        <w:tabs>
          <w:tab w:val="num" w:pos="390"/>
        </w:tabs>
        <w:ind w:left="390" w:hanging="390"/>
      </w:pPr>
      <w:rPr>
        <w:rFonts w:ascii="OrigGarmnd BT" w:eastAsia="Times New Roman" w:hAnsi="OrigGarmnd BT"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8B19A3"/>
    <w:multiLevelType w:val="hybridMultilevel"/>
    <w:tmpl w:val="82903F0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4B2C70"/>
    <w:multiLevelType w:val="hybridMultilevel"/>
    <w:tmpl w:val="5E348F2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E24ABE"/>
    <w:multiLevelType w:val="hybridMultilevel"/>
    <w:tmpl w:val="399C983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655F62"/>
    <w:multiLevelType w:val="hybridMultilevel"/>
    <w:tmpl w:val="F7DAEB5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D448D"/>
    <w:multiLevelType w:val="hybridMultilevel"/>
    <w:tmpl w:val="126C20A0"/>
    <w:lvl w:ilvl="0" w:tplc="33F0EF84">
      <w:numFmt w:val="bullet"/>
      <w:lvlText w:val="-"/>
      <w:lvlJc w:val="left"/>
      <w:pPr>
        <w:tabs>
          <w:tab w:val="num" w:pos="390"/>
        </w:tabs>
        <w:ind w:left="390" w:hanging="390"/>
      </w:pPr>
      <w:rPr>
        <w:rFonts w:ascii="OrigGarmnd BT" w:eastAsia="Trade Gothic Pro" w:hAnsi="OrigGarmnd BT" w:cs="Trade Gothic Pro"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8400B1"/>
    <w:multiLevelType w:val="hybridMultilevel"/>
    <w:tmpl w:val="77E2809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9E7329"/>
    <w:multiLevelType w:val="multilevel"/>
    <w:tmpl w:val="126C20A0"/>
    <w:lvl w:ilvl="0">
      <w:numFmt w:val="bullet"/>
      <w:lvlText w:val="-"/>
      <w:lvlJc w:val="left"/>
      <w:pPr>
        <w:tabs>
          <w:tab w:val="num" w:pos="390"/>
        </w:tabs>
        <w:ind w:left="390" w:hanging="390"/>
      </w:pPr>
      <w:rPr>
        <w:rFonts w:ascii="OrigGarmnd BT" w:eastAsia="Trade Gothic Pro" w:hAnsi="OrigGarmnd BT" w:cs="Trade Gothic Pro"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D35C80"/>
    <w:multiLevelType w:val="hybridMultilevel"/>
    <w:tmpl w:val="F8BA8B4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873424274">
    <w:abstractNumId w:val="2"/>
  </w:num>
  <w:num w:numId="2" w16cid:durableId="1619600660">
    <w:abstractNumId w:val="6"/>
  </w:num>
  <w:num w:numId="3" w16cid:durableId="407505057">
    <w:abstractNumId w:val="12"/>
  </w:num>
  <w:num w:numId="4" w16cid:durableId="967129555">
    <w:abstractNumId w:val="8"/>
  </w:num>
  <w:num w:numId="5" w16cid:durableId="468060315">
    <w:abstractNumId w:val="14"/>
  </w:num>
  <w:num w:numId="6" w16cid:durableId="1651909000">
    <w:abstractNumId w:val="4"/>
  </w:num>
  <w:num w:numId="7" w16cid:durableId="509488479">
    <w:abstractNumId w:val="5"/>
  </w:num>
  <w:num w:numId="8" w16cid:durableId="1497190150">
    <w:abstractNumId w:val="1"/>
  </w:num>
  <w:num w:numId="9" w16cid:durableId="1714497623">
    <w:abstractNumId w:val="10"/>
  </w:num>
  <w:num w:numId="10" w16cid:durableId="1541435697">
    <w:abstractNumId w:val="9"/>
  </w:num>
  <w:num w:numId="11" w16cid:durableId="632951872">
    <w:abstractNumId w:val="3"/>
  </w:num>
  <w:num w:numId="12" w16cid:durableId="422454950">
    <w:abstractNumId w:val="0"/>
  </w:num>
  <w:num w:numId="13" w16cid:durableId="1565876098">
    <w:abstractNumId w:val="11"/>
  </w:num>
  <w:num w:numId="14" w16cid:durableId="1024088351">
    <w:abstractNumId w:val="13"/>
  </w:num>
  <w:num w:numId="15" w16cid:durableId="86351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06A9E"/>
    <w:rsid w:val="0002102E"/>
    <w:rsid w:val="00071E15"/>
    <w:rsid w:val="000A26E6"/>
    <w:rsid w:val="00150384"/>
    <w:rsid w:val="001805B7"/>
    <w:rsid w:val="001D0677"/>
    <w:rsid w:val="002033F0"/>
    <w:rsid w:val="00225135"/>
    <w:rsid w:val="002419CD"/>
    <w:rsid w:val="002559E9"/>
    <w:rsid w:val="002D4B68"/>
    <w:rsid w:val="002E340A"/>
    <w:rsid w:val="002F2071"/>
    <w:rsid w:val="003054E2"/>
    <w:rsid w:val="00366667"/>
    <w:rsid w:val="003E02F9"/>
    <w:rsid w:val="00491FF9"/>
    <w:rsid w:val="004A328D"/>
    <w:rsid w:val="004B0A5D"/>
    <w:rsid w:val="004C1B6E"/>
    <w:rsid w:val="004D3DC7"/>
    <w:rsid w:val="004F3F5E"/>
    <w:rsid w:val="00571D80"/>
    <w:rsid w:val="0058414E"/>
    <w:rsid w:val="005847F9"/>
    <w:rsid w:val="005E421E"/>
    <w:rsid w:val="006C15C4"/>
    <w:rsid w:val="006D3C47"/>
    <w:rsid w:val="006E4E11"/>
    <w:rsid w:val="007242A3"/>
    <w:rsid w:val="007342CE"/>
    <w:rsid w:val="0073597B"/>
    <w:rsid w:val="0078115D"/>
    <w:rsid w:val="007A561F"/>
    <w:rsid w:val="00804A1E"/>
    <w:rsid w:val="008D46C2"/>
    <w:rsid w:val="00906E67"/>
    <w:rsid w:val="009A4122"/>
    <w:rsid w:val="009D1E12"/>
    <w:rsid w:val="00A5583A"/>
    <w:rsid w:val="00AE7013"/>
    <w:rsid w:val="00B27538"/>
    <w:rsid w:val="00B75362"/>
    <w:rsid w:val="00BC7C0E"/>
    <w:rsid w:val="00BE10FA"/>
    <w:rsid w:val="00C15266"/>
    <w:rsid w:val="00C26B2F"/>
    <w:rsid w:val="00CB6C4D"/>
    <w:rsid w:val="00CF177E"/>
    <w:rsid w:val="00D4569D"/>
    <w:rsid w:val="00D92F29"/>
    <w:rsid w:val="00D942E9"/>
    <w:rsid w:val="00E112C9"/>
    <w:rsid w:val="00E876EC"/>
    <w:rsid w:val="00EA58CD"/>
    <w:rsid w:val="00EC25F9"/>
    <w:rsid w:val="00EC4DEA"/>
    <w:rsid w:val="00F05B7A"/>
    <w:rsid w:val="00F1650F"/>
    <w:rsid w:val="00F55915"/>
    <w:rsid w:val="00F55CD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47D9D4-2262-42CB-B942-FB09754B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E02F9"/>
    <w:rPr>
      <w:rFonts w:ascii="OrigGarmnd BT" w:hAnsi="OrigGarmnd BT"/>
      <w:sz w:val="24"/>
      <w:lang w:val="sv-SE" w:eastAsia="en-US" w:bidi="ar-SA"/>
    </w:rPr>
  </w:style>
  <w:style w:type="paragraph" w:styleId="Ballongtext">
    <w:name w:val="Balloon Text"/>
    <w:basedOn w:val="Normal"/>
    <w:semiHidden/>
    <w:rsid w:val="006C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1689</Words>
  <Characters>11001</Characters>
  <Application>Microsoft Office Word</Application>
  <DocSecurity>4</DocSecurity>
  <Lines>282</Lines>
  <Paragraphs>102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2009-10-05T14:09:00Z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