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B54EB" w14:textId="77777777" w:rsidR="00FB32B9" w:rsidRDefault="004C0524" w:rsidP="00FB32B9">
      <w:pPr>
        <w:pStyle w:val="UDrubrik"/>
        <w:tabs>
          <w:tab w:val="left" w:pos="1701"/>
          <w:tab w:val="left" w:pos="1985"/>
        </w:tabs>
        <w:rPr>
          <w:rFonts w:cs="Arial"/>
          <w:sz w:val="28"/>
        </w:rPr>
      </w:pPr>
      <w:bookmarkStart w:id="0" w:name="_GoBack"/>
      <w:bookmarkEnd w:id="0"/>
    </w:p>
    <w:p w14:paraId="5B8B54EC" w14:textId="77777777" w:rsidR="00FB32B9" w:rsidRDefault="004C0524" w:rsidP="00FB32B9">
      <w:pPr>
        <w:pStyle w:val="UDrubrik"/>
        <w:tabs>
          <w:tab w:val="left" w:pos="1701"/>
          <w:tab w:val="left" w:pos="1985"/>
        </w:tabs>
        <w:rPr>
          <w:rFonts w:cs="Arial"/>
          <w:sz w:val="28"/>
        </w:rPr>
      </w:pPr>
    </w:p>
    <w:p w14:paraId="5B8B54ED" w14:textId="77777777" w:rsidR="00FB32B9" w:rsidRDefault="004C0524" w:rsidP="00FB32B9">
      <w:pPr>
        <w:pStyle w:val="UDrubrik"/>
        <w:tabs>
          <w:tab w:val="left" w:pos="1701"/>
          <w:tab w:val="left" w:pos="1985"/>
        </w:tabs>
        <w:rPr>
          <w:rFonts w:cs="Arial"/>
          <w:sz w:val="28"/>
        </w:rPr>
      </w:pPr>
    </w:p>
    <w:p w14:paraId="5B8B54EE" w14:textId="77777777" w:rsidR="00FB32B9" w:rsidRDefault="004C0524" w:rsidP="00FB32B9">
      <w:pPr>
        <w:pStyle w:val="UDrubrik"/>
        <w:tabs>
          <w:tab w:val="left" w:pos="1701"/>
          <w:tab w:val="left" w:pos="1985"/>
        </w:tabs>
        <w:rPr>
          <w:rFonts w:cs="Arial"/>
          <w:sz w:val="28"/>
        </w:rPr>
      </w:pPr>
    </w:p>
    <w:p w14:paraId="5B8B54EF" w14:textId="6C24936F" w:rsidR="00FB32B9" w:rsidRDefault="00D874C8" w:rsidP="00FB32B9">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 </w:t>
      </w:r>
      <w:r w:rsidR="009A1BEC">
        <w:rPr>
          <w:rFonts w:cs="Arial"/>
          <w:sz w:val="28"/>
        </w:rPr>
        <w:t>den 10 oktober 2014, vecka 41.</w:t>
      </w:r>
    </w:p>
    <w:p w14:paraId="5B8B54F0" w14:textId="77777777" w:rsidR="00FB32B9" w:rsidRDefault="004C0524" w:rsidP="00FB32B9">
      <w:pPr>
        <w:pStyle w:val="Brdtext"/>
      </w:pPr>
    </w:p>
    <w:p w14:paraId="5B8B54F1" w14:textId="7A868DE2" w:rsidR="00FB32B9" w:rsidRDefault="00D874C8" w:rsidP="00FB32B9">
      <w:pPr>
        <w:pStyle w:val="Brdtext"/>
      </w:pPr>
      <w:r>
        <w:t xml:space="preserve">Överlämnas för skriftligt samråd till </w:t>
      </w:r>
      <w:r w:rsidR="009A1BEC">
        <w:t xml:space="preserve">fredagen den 10 oktober 2014, </w:t>
      </w:r>
      <w:r>
        <w:t>kl.</w:t>
      </w:r>
      <w:r w:rsidR="009A1BEC">
        <w:t xml:space="preserve"> 14.00.</w:t>
      </w:r>
    </w:p>
    <w:p w14:paraId="5B8B54F2" w14:textId="77777777" w:rsidR="00FB32B9" w:rsidRDefault="00D874C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B8B54F3" w14:textId="77777777" w:rsidR="00D957FB" w:rsidRPr="00FB32B9" w:rsidRDefault="00D874C8">
          <w:pPr>
            <w:pStyle w:val="Innehllsfrteckningsrubrik"/>
            <w:rPr>
              <w:color w:val="auto"/>
            </w:rPr>
          </w:pPr>
          <w:proofErr w:type="spellStart"/>
          <w:r w:rsidRPr="00FB32B9">
            <w:rPr>
              <w:color w:val="auto"/>
            </w:rPr>
            <w:t>Innehållsförteckning</w:t>
          </w:r>
          <w:proofErr w:type="spellEnd"/>
        </w:p>
        <w:p w14:paraId="5B8B54F4" w14:textId="77777777" w:rsidR="00DA7250" w:rsidRPr="00DA7250" w:rsidRDefault="004C0524" w:rsidP="00DA7250">
          <w:pPr>
            <w:rPr>
              <w:lang w:val="en-US" w:eastAsia="ja-JP"/>
            </w:rPr>
          </w:pPr>
        </w:p>
        <w:p w14:paraId="5B8B54F5" w14:textId="77777777" w:rsidR="001E3788" w:rsidRDefault="00D874C8">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Replies</w:t>
          </w:r>
          <w:r>
            <w:rPr>
              <w:rStyle w:val="Hyperlnk"/>
            </w:rPr>
            <w:t xml:space="preserve"> to written questions put to the Council by Members of the European Parliament</w:t>
          </w:r>
          <w:r>
            <w:rPr>
              <w:rStyle w:val="Hyperlnk"/>
            </w:rPr>
            <w:tab/>
          </w:r>
          <w:r>
            <w:fldChar w:fldCharType="begin"/>
          </w:r>
          <w:r>
            <w:rPr>
              <w:rStyle w:val="Hyperlnk"/>
            </w:rPr>
            <w:instrText xml:space="preserve"> PAGEREF _Toc256000003 \h </w:instrText>
          </w:r>
          <w:r>
            <w:fldChar w:fldCharType="separate"/>
          </w:r>
          <w:r>
            <w:rPr>
              <w:rStyle w:val="Hyperlnk"/>
            </w:rPr>
            <w:t>3</w:t>
          </w:r>
          <w:r>
            <w:fldChar w:fldCharType="end"/>
          </w:r>
        </w:p>
        <w:p w14:paraId="5B8B54F6" w14:textId="77777777" w:rsidR="001E3788" w:rsidRDefault="00D874C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"_Toc256000004" </w:instrText>
          </w:r>
          <w:r>
            <w:rPr>
              <w:b/>
              <w:bCs/>
              <w:noProof/>
            </w:rPr>
            <w:fldChar w:fldCharType="separate"/>
          </w:r>
          <w:r>
            <w:rPr>
              <w:rStyle w:val="Hyperlnk"/>
            </w:rPr>
            <w:t>2.</w:t>
          </w:r>
          <w:r>
            <w:rPr>
              <w:rStyle w:val="Hyperlnk"/>
              <w:rFonts w:ascii="Calibri" w:hAnsi="Calibri"/>
              <w:noProof/>
            </w:rPr>
            <w:tab/>
          </w:r>
          <w:r>
            <w:rPr>
              <w:rStyle w:val="Hyperlnk"/>
              <w:noProof/>
            </w:rPr>
            <w:t>Governing</w:t>
          </w:r>
          <w:r>
            <w:rPr>
              <w:rStyle w:val="Hyperlnk"/>
            </w:rPr>
            <w:t xml:space="preserve"> Board of the European Foundation for the Improvement of Living and Working Conditions  Appointment of Ms Rikke Maria HARHOFF, member for Denmark, in place of Ms Lone HENRIKSEN, who has resigned</w:t>
          </w:r>
          <w:r>
            <w:rPr>
              <w:rStyle w:val="Hyperlnk"/>
            </w:rPr>
            <w:tab/>
          </w:r>
          <w:r>
            <w:fldChar w:fldCharType="begin"/>
          </w:r>
          <w:r>
            <w:rPr>
              <w:rStyle w:val="Hyperlnk"/>
            </w:rPr>
            <w:instrText xml:space="preserve"> PAGEREF _Toc256000004 \h </w:instrText>
          </w:r>
          <w:r>
            <w:fldChar w:fldCharType="separate"/>
          </w:r>
          <w:r>
            <w:rPr>
              <w:rStyle w:val="Hyperlnk"/>
            </w:rPr>
            <w:t>3</w:t>
          </w:r>
          <w:r>
            <w:fldChar w:fldCharType="end"/>
          </w:r>
        </w:p>
        <w:p w14:paraId="5B8B54F7" w14:textId="77777777" w:rsidR="001E3788" w:rsidRDefault="00D874C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"_Toc256000005" </w:instrText>
          </w:r>
          <w:r>
            <w:rPr>
              <w:b/>
              <w:bCs/>
              <w:noProof/>
            </w:rPr>
            <w:fldChar w:fldCharType="separate"/>
          </w:r>
          <w:r>
            <w:rPr>
              <w:rStyle w:val="Hyperlnk"/>
            </w:rPr>
            <w:t>3.</w:t>
          </w:r>
          <w:r>
            <w:rPr>
              <w:rStyle w:val="Hyperlnk"/>
              <w:rFonts w:ascii="Calibri" w:hAnsi="Calibri"/>
              <w:noProof/>
            </w:rPr>
            <w:tab/>
          </w:r>
          <w:r>
            <w:rPr>
              <w:rStyle w:val="Hyperlnk"/>
              <w:noProof/>
            </w:rPr>
            <w:t>Governing</w:t>
          </w:r>
          <w:r>
            <w:rPr>
              <w:rStyle w:val="Hyperlnk"/>
            </w:rPr>
            <w:t xml:space="preserve"> Board of the European Foundation for the Improvement of Living and Working Conditions  Appointment of Mr Pantelis STAVROU, member for Cyprus, in place of Mr Nikos EPISTITHIOU, who has resigned</w:t>
          </w:r>
          <w:r>
            <w:rPr>
              <w:rStyle w:val="Hyperlnk"/>
            </w:rPr>
            <w:tab/>
          </w:r>
          <w:r>
            <w:fldChar w:fldCharType="begin"/>
          </w:r>
          <w:r>
            <w:rPr>
              <w:rStyle w:val="Hyperlnk"/>
            </w:rPr>
            <w:instrText xml:space="preserve"> PAGEREF _Toc256000005 \h </w:instrText>
          </w:r>
          <w:r>
            <w:fldChar w:fldCharType="separate"/>
          </w:r>
          <w:r>
            <w:rPr>
              <w:rStyle w:val="Hyperlnk"/>
            </w:rPr>
            <w:t>3</w:t>
          </w:r>
          <w:r>
            <w:fldChar w:fldCharType="end"/>
          </w:r>
        </w:p>
        <w:p w14:paraId="5B8B54F8" w14:textId="77777777" w:rsidR="001E3788" w:rsidRDefault="00D874C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"_Toc256000006" </w:instrText>
          </w:r>
          <w:r>
            <w:rPr>
              <w:b/>
              <w:bCs/>
              <w:noProof/>
            </w:rPr>
            <w:fldChar w:fldCharType="separate"/>
          </w:r>
          <w:r>
            <w:rPr>
              <w:rStyle w:val="Hyperlnk"/>
            </w:rPr>
            <w:t>4.</w:t>
          </w:r>
          <w:r>
            <w:rPr>
              <w:rStyle w:val="Hyperlnk"/>
              <w:rFonts w:ascii="Calibri" w:hAnsi="Calibri"/>
              <w:noProof/>
            </w:rPr>
            <w:tab/>
          </w:r>
          <w:r>
            <w:rPr>
              <w:rStyle w:val="Hyperlnk"/>
            </w:rPr>
            <w:t>– Commission Regulation (EU) No …/.. of XXX amending Regulation (EU) No 142/2011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w:t>
          </w:r>
          <w:r>
            <w:rPr>
              <w:rStyle w:val="Hyperlnk"/>
            </w:rPr>
            <w:tab/>
          </w:r>
          <w:r>
            <w:fldChar w:fldCharType="begin"/>
          </w:r>
          <w:r>
            <w:rPr>
              <w:rStyle w:val="Hyperlnk"/>
            </w:rPr>
            <w:instrText xml:space="preserve"> PAGEREF _Toc256000006 \h </w:instrText>
          </w:r>
          <w:r>
            <w:fldChar w:fldCharType="separate"/>
          </w:r>
          <w:r>
            <w:rPr>
              <w:rStyle w:val="Hyperlnk"/>
            </w:rPr>
            <w:t>4</w:t>
          </w:r>
          <w:r>
            <w:fldChar w:fldCharType="end"/>
          </w:r>
        </w:p>
        <w:p w14:paraId="5B8B54F9" w14:textId="77777777" w:rsidR="001E3788" w:rsidRDefault="00D874C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"_Toc256000008" </w:instrText>
          </w:r>
          <w:r>
            <w:rPr>
              <w:b/>
              <w:bCs/>
              <w:noProof/>
            </w:rPr>
            <w:fldChar w:fldCharType="separate"/>
          </w:r>
          <w:r>
            <w:rPr>
              <w:rStyle w:val="Hyperlnk"/>
            </w:rPr>
            <w:t>6.</w:t>
          </w:r>
          <w:r>
            <w:rPr>
              <w:rStyle w:val="Hyperlnk"/>
              <w:rFonts w:ascii="Calibri" w:hAnsi="Calibri"/>
              <w:noProof/>
            </w:rPr>
            <w:tab/>
          </w:r>
          <w:r>
            <w:rPr>
              <w:rStyle w:val="Hyperlnk"/>
              <w:noProof/>
            </w:rPr>
            <w:t>Commission</w:t>
          </w:r>
          <w:r>
            <w:rPr>
              <w:rStyle w:val="Hyperlnk"/>
            </w:rPr>
            <w:t xml:space="preserve"> Directive ../…/EU of XXX adapting for the third time the Annexes to Directive 2008/68/EC of the European Parliament and of the Council on the inland transport of dangerous goods to scientific and technical progress</w:t>
          </w:r>
          <w:r>
            <w:rPr>
              <w:rStyle w:val="Hyperlnk"/>
            </w:rPr>
            <w:tab/>
          </w:r>
          <w:r>
            <w:fldChar w:fldCharType="begin"/>
          </w:r>
          <w:r>
            <w:rPr>
              <w:rStyle w:val="Hyperlnk"/>
            </w:rPr>
            <w:instrText xml:space="preserve"> PAGEREF _Toc256000008 \h </w:instrText>
          </w:r>
          <w:r>
            <w:fldChar w:fldCharType="separate"/>
          </w:r>
          <w:r>
            <w:rPr>
              <w:rStyle w:val="Hyperlnk"/>
            </w:rPr>
            <w:t>4</w:t>
          </w:r>
          <w:r>
            <w:fldChar w:fldCharType="end"/>
          </w:r>
        </w:p>
        <w:p w14:paraId="5B8B54FA" w14:textId="77777777" w:rsidR="001E3788" w:rsidRDefault="00D874C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"_Toc256000009" </w:instrText>
          </w:r>
          <w:r>
            <w:rPr>
              <w:b/>
              <w:bCs/>
              <w:noProof/>
            </w:rPr>
            <w:fldChar w:fldCharType="separate"/>
          </w:r>
          <w:r>
            <w:rPr>
              <w:rStyle w:val="Hyperlnk"/>
            </w:rPr>
            <w:t>7.</w:t>
          </w:r>
          <w:r>
            <w:rPr>
              <w:rStyle w:val="Hyperlnk"/>
              <w:rFonts w:ascii="Calibri" w:hAnsi="Calibri"/>
              <w:noProof/>
            </w:rPr>
            <w:tab/>
          </w:r>
          <w:r>
            <w:rPr>
              <w:rStyle w:val="Hyperlnk"/>
              <w:noProof/>
            </w:rPr>
            <w:t>Proposal</w:t>
          </w:r>
          <w:r>
            <w:rPr>
              <w:rStyle w:val="Hyperlnk"/>
            </w:rPr>
            <w:t xml:space="preserve"> for a Council Decision on the signature, on behalf of the European Union, and the provisional application of the Protocol agreed between the European Union and the Republic of Guinea-Bissau setting out fishing opportunities and the financial contribution provided for in the Fisheries Partnership Agreement between the two parties currently in force</w:t>
          </w:r>
          <w:r>
            <w:rPr>
              <w:rStyle w:val="Hyperlnk"/>
            </w:rPr>
            <w:tab/>
          </w:r>
          <w:r>
            <w:fldChar w:fldCharType="begin"/>
          </w:r>
          <w:r>
            <w:rPr>
              <w:rStyle w:val="Hyperlnk"/>
            </w:rPr>
            <w:instrText xml:space="preserve"> PAGEREF _Toc256000009 \h </w:instrText>
          </w:r>
          <w:r>
            <w:fldChar w:fldCharType="separate"/>
          </w:r>
          <w:r>
            <w:rPr>
              <w:rStyle w:val="Hyperlnk"/>
            </w:rPr>
            <w:t>5</w:t>
          </w:r>
          <w:r>
            <w:fldChar w:fldCharType="end"/>
          </w:r>
        </w:p>
        <w:p w14:paraId="5B8B54FB" w14:textId="77777777" w:rsidR="001E3788" w:rsidRDefault="00D874C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"_Toc256000010" </w:instrText>
          </w:r>
          <w:r>
            <w:rPr>
              <w:b/>
              <w:bCs/>
              <w:noProof/>
            </w:rPr>
            <w:fldChar w:fldCharType="separate"/>
          </w:r>
          <w:r>
            <w:rPr>
              <w:rStyle w:val="Hyperlnk"/>
            </w:rPr>
            <w:t>8.</w:t>
          </w:r>
          <w:r>
            <w:rPr>
              <w:rStyle w:val="Hyperlnk"/>
              <w:rFonts w:ascii="Calibri" w:hAnsi="Calibri"/>
              <w:noProof/>
            </w:rPr>
            <w:tab/>
          </w:r>
          <w:r>
            <w:rPr>
              <w:rStyle w:val="Hyperlnk"/>
              <w:noProof/>
            </w:rPr>
            <w:t>Proposal</w:t>
          </w:r>
          <w:r>
            <w:rPr>
              <w:rStyle w:val="Hyperlnk"/>
            </w:rPr>
            <w:t xml:space="preserve"> for a Council Decision on the conclusion of the Protocol agreed between the European Union and the Republic of Guinea-Bissau setting out fishing opportunities and the financial contribution provided for in the Fisheries Partnership Agreement between the two parties currently in force</w:t>
          </w:r>
          <w:r>
            <w:rPr>
              <w:rStyle w:val="Hyperlnk"/>
            </w:rPr>
            <w:tab/>
          </w:r>
          <w:r>
            <w:fldChar w:fldCharType="begin"/>
          </w:r>
          <w:r>
            <w:rPr>
              <w:rStyle w:val="Hyperlnk"/>
            </w:rPr>
            <w:instrText xml:space="preserve"> PAGEREF _Toc256000010 \h </w:instrText>
          </w:r>
          <w:r>
            <w:fldChar w:fldCharType="separate"/>
          </w:r>
          <w:r>
            <w:rPr>
              <w:rStyle w:val="Hyperlnk"/>
            </w:rPr>
            <w:t>5</w:t>
          </w:r>
          <w:r>
            <w:fldChar w:fldCharType="end"/>
          </w:r>
        </w:p>
        <w:p w14:paraId="5B8B54FC" w14:textId="77777777" w:rsidR="001E3788" w:rsidRDefault="00D874C8">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"_Toc256000011" </w:instrText>
          </w:r>
          <w:r>
            <w:rPr>
              <w:b/>
              <w:bCs/>
              <w:noProof/>
            </w:rPr>
            <w:fldChar w:fldCharType="separate"/>
          </w:r>
          <w:r>
            <w:rPr>
              <w:rStyle w:val="Hyperlnk"/>
            </w:rPr>
            <w:t>9.</w:t>
          </w:r>
          <w:r>
            <w:rPr>
              <w:rStyle w:val="Hyperlnk"/>
              <w:rFonts w:ascii="Calibri" w:hAnsi="Calibri"/>
              <w:noProof/>
            </w:rPr>
            <w:tab/>
          </w:r>
          <w:r>
            <w:rPr>
              <w:rStyle w:val="Hyperlnk"/>
              <w:noProof/>
            </w:rPr>
            <w:t>Proposal</w:t>
          </w:r>
          <w:r>
            <w:rPr>
              <w:rStyle w:val="Hyperlnk"/>
            </w:rPr>
            <w:t xml:space="preserve"> for a Council Regulation on the allocation of fishing opportunities under the Protocol agreed between the European Union and the Republic of Guinea-Bissau setting out fishing opportunities and the financial contribution provided for in the Fisheries Partnership Agreement between the two parties currently in force</w:t>
          </w:r>
          <w:r>
            <w:rPr>
              <w:rStyle w:val="Hyperlnk"/>
            </w:rPr>
            <w:tab/>
          </w:r>
          <w:r>
            <w:fldChar w:fldCharType="begin"/>
          </w:r>
          <w:r>
            <w:rPr>
              <w:rStyle w:val="Hyperlnk"/>
            </w:rPr>
            <w:instrText xml:space="preserve"> PAGEREF _Toc256000011 \h </w:instrText>
          </w:r>
          <w:r>
            <w:fldChar w:fldCharType="separate"/>
          </w:r>
          <w:r>
            <w:rPr>
              <w:rStyle w:val="Hyperlnk"/>
            </w:rPr>
            <w:t>6</w:t>
          </w:r>
          <w:r>
            <w:fldChar w:fldCharType="end"/>
          </w:r>
        </w:p>
        <w:p w14:paraId="5B8B54FD" w14:textId="77777777" w:rsidR="00D957FB" w:rsidRDefault="00D874C8">
          <w:r>
            <w:rPr>
              <w:b/>
              <w:bCs/>
              <w:noProof/>
            </w:rPr>
            <w:fldChar w:fldCharType="end"/>
          </w:r>
          <w:r>
            <w:rPr>
              <w:b/>
              <w:bCs/>
              <w:noProof/>
            </w:rPr>
            <w:fldChar w:fldCharType="end"/>
          </w:r>
        </w:p>
      </w:sdtContent>
    </w:sdt>
    <w:p w14:paraId="5B8B54FE" w14:textId="77777777" w:rsidR="00D957FB" w:rsidRDefault="00D874C8">
      <w:pPr>
        <w:ind w:left="0"/>
      </w:pPr>
      <w:r>
        <w:br w:type="page"/>
      </w:r>
    </w:p>
    <w:p w14:paraId="5B8B54FF" w14:textId="77777777" w:rsidR="00643D86" w:rsidRDefault="004C0524" w:rsidP="00643D86">
      <w:pPr>
        <w:pStyle w:val="Rubrik1"/>
        <w:numPr>
          <w:ilvl w:val="0"/>
          <w:numId w:val="0"/>
        </w:numPr>
      </w:pPr>
      <w:bookmarkStart w:id="1" w:name="_Toc364854645"/>
    </w:p>
    <w:p w14:paraId="5B8B5500" w14:textId="77777777" w:rsidR="00643D86" w:rsidRPr="004C0524" w:rsidRDefault="00D874C8" w:rsidP="00643D86">
      <w:pPr>
        <w:pStyle w:val="Rubrik1"/>
        <w:rPr>
          <w:lang w:val="en-US"/>
        </w:rPr>
      </w:pPr>
      <w:bookmarkStart w:id="2" w:name="_Toc256000003"/>
      <w:r w:rsidRPr="004C0524">
        <w:rPr>
          <w:noProof/>
          <w:lang w:val="en-US"/>
        </w:rPr>
        <w:t>Replies</w:t>
      </w:r>
      <w:r w:rsidRPr="004C0524">
        <w:rPr>
          <w:lang w:val="en-US"/>
        </w:rPr>
        <w:t xml:space="preserve"> to written questions put to the Council by Members of the European Parliament</w:t>
      </w:r>
      <w:bookmarkEnd w:id="2"/>
      <w:r w:rsidRPr="004C0524">
        <w:rPr>
          <w:lang w:val="en-US"/>
        </w:rPr>
        <w:t xml:space="preserve"> </w:t>
      </w:r>
    </w:p>
    <w:p w14:paraId="5B8B5501" w14:textId="77777777" w:rsidR="00643D86" w:rsidRDefault="00D874C8" w:rsidP="00643D86">
      <w:pPr>
        <w:rPr>
          <w:lang w:val="en-US"/>
        </w:rPr>
      </w:pPr>
      <w:r>
        <w:rPr>
          <w:noProof/>
          <w:lang w:val="en-US"/>
        </w:rPr>
        <w:t>13760</w:t>
      </w:r>
      <w:r>
        <w:rPr>
          <w:lang w:val="en-US"/>
        </w:rPr>
        <w:t>/14 PE-QE 263 13209/14 PE-QE 256 13230/14 PE-QE 257 13126/14 PE-QE 253 13123/14 PE-QE 252 13121/14 PE-QE 251 13127/14 PE-QE 254 13207/14 PE-QE 255 13119/14 PE-QE 249</w:t>
      </w:r>
    </w:p>
    <w:p w14:paraId="5B8B5505" w14:textId="3FF2F77A" w:rsidR="00643D86" w:rsidRDefault="00D874C8" w:rsidP="00643D86">
      <w:r>
        <w:t>Föranleder ingen annotering.</w:t>
      </w:r>
    </w:p>
    <w:p w14:paraId="5B8B5506" w14:textId="77777777" w:rsidR="00643D86" w:rsidRPr="004C0524" w:rsidRDefault="00D874C8" w:rsidP="00643D86">
      <w:pPr>
        <w:pStyle w:val="Rubrik1"/>
        <w:rPr>
          <w:lang w:val="en-US"/>
        </w:rPr>
      </w:pPr>
      <w:bookmarkStart w:id="3" w:name="_Toc256000004"/>
      <w:r w:rsidRPr="004C0524">
        <w:rPr>
          <w:noProof/>
          <w:lang w:val="en-US"/>
        </w:rPr>
        <w:t>Governing</w:t>
      </w:r>
      <w:r w:rsidRPr="004C0524">
        <w:rPr>
          <w:lang w:val="en-US"/>
        </w:rPr>
        <w:t xml:space="preserve"> Board of the European Foundation for the Improvement of Living and Working Conditions </w:t>
      </w:r>
      <w:r w:rsidRPr="004C0524">
        <w:rPr>
          <w:lang w:val="en-US"/>
        </w:rPr>
        <w:br/>
        <w:t xml:space="preserve">Appointment of </w:t>
      </w:r>
      <w:proofErr w:type="spellStart"/>
      <w:r w:rsidRPr="004C0524">
        <w:rPr>
          <w:lang w:val="en-US"/>
        </w:rPr>
        <w:t>Ms</w:t>
      </w:r>
      <w:proofErr w:type="spellEnd"/>
      <w:r w:rsidRPr="004C0524">
        <w:rPr>
          <w:lang w:val="en-US"/>
        </w:rPr>
        <w:t xml:space="preserve"> </w:t>
      </w:r>
      <w:proofErr w:type="spellStart"/>
      <w:r w:rsidRPr="004C0524">
        <w:rPr>
          <w:lang w:val="en-US"/>
        </w:rPr>
        <w:t>Rikke</w:t>
      </w:r>
      <w:proofErr w:type="spellEnd"/>
      <w:r w:rsidRPr="004C0524">
        <w:rPr>
          <w:lang w:val="en-US"/>
        </w:rPr>
        <w:t xml:space="preserve"> Maria HARHOFF, member for Denmark, in place of </w:t>
      </w:r>
      <w:proofErr w:type="spellStart"/>
      <w:r w:rsidRPr="004C0524">
        <w:rPr>
          <w:lang w:val="en-US"/>
        </w:rPr>
        <w:t>Ms</w:t>
      </w:r>
      <w:proofErr w:type="spellEnd"/>
      <w:r w:rsidRPr="004C0524">
        <w:rPr>
          <w:lang w:val="en-US"/>
        </w:rPr>
        <w:t xml:space="preserve"> Lone HENRIKSEN, who has resigned</w:t>
      </w:r>
      <w:bookmarkEnd w:id="3"/>
    </w:p>
    <w:p w14:paraId="5B8B5507" w14:textId="77777777" w:rsidR="00643D86" w:rsidRPr="004C0524" w:rsidRDefault="00D874C8" w:rsidP="00643D86">
      <w:r w:rsidRPr="004C0524">
        <w:rPr>
          <w:noProof/>
        </w:rPr>
        <w:t>13771</w:t>
      </w:r>
      <w:r w:rsidRPr="004C0524">
        <w:t>/14 SOC 660</w:t>
      </w:r>
    </w:p>
    <w:p w14:paraId="5B8B5508" w14:textId="01CE2737" w:rsidR="00643D86" w:rsidRDefault="00D874C8" w:rsidP="00643D86">
      <w:r>
        <w:rPr>
          <w:b/>
        </w:rPr>
        <w:t>Ansvarigt statsråd</w:t>
      </w:r>
      <w:r w:rsidR="009A1BEC">
        <w:rPr>
          <w:b/>
        </w:rPr>
        <w:t xml:space="preserve">: </w:t>
      </w:r>
      <w:r>
        <w:rPr>
          <w:noProof/>
        </w:rPr>
        <w:t>Ylva</w:t>
      </w:r>
      <w:r>
        <w:t xml:space="preserve"> Johansson</w:t>
      </w:r>
    </w:p>
    <w:p w14:paraId="5B8B550D" w14:textId="35B5C8F7" w:rsidR="00FB32B9" w:rsidRDefault="00D874C8">
      <w:pPr>
        <w:spacing w:after="280" w:afterAutospacing="1"/>
        <w:rPr>
          <w:noProof/>
        </w:rPr>
      </w:pPr>
      <w:r>
        <w:t>Föranleder ingen annotering.</w:t>
      </w:r>
    </w:p>
    <w:p w14:paraId="5B8B550E" w14:textId="77777777" w:rsidR="00643D86" w:rsidRPr="004C0524" w:rsidRDefault="00D874C8" w:rsidP="00643D86">
      <w:pPr>
        <w:pStyle w:val="Rubrik1"/>
        <w:rPr>
          <w:lang w:val="en-US"/>
        </w:rPr>
      </w:pPr>
      <w:bookmarkStart w:id="4" w:name="_Toc256000005"/>
      <w:r w:rsidRPr="004C0524">
        <w:rPr>
          <w:noProof/>
          <w:lang w:val="en-US"/>
        </w:rPr>
        <w:t>Governing</w:t>
      </w:r>
      <w:r w:rsidRPr="004C0524">
        <w:rPr>
          <w:lang w:val="en-US"/>
        </w:rPr>
        <w:t xml:space="preserve"> Board of the European Foundation for the Improvement of Living and Working Conditions </w:t>
      </w:r>
      <w:r w:rsidRPr="004C0524">
        <w:rPr>
          <w:lang w:val="en-US"/>
        </w:rPr>
        <w:br/>
        <w:t xml:space="preserve">Appointment of </w:t>
      </w:r>
      <w:proofErr w:type="spellStart"/>
      <w:r w:rsidRPr="004C0524">
        <w:rPr>
          <w:lang w:val="en-US"/>
        </w:rPr>
        <w:t>Mr</w:t>
      </w:r>
      <w:proofErr w:type="spellEnd"/>
      <w:r w:rsidRPr="004C0524">
        <w:rPr>
          <w:lang w:val="en-US"/>
        </w:rPr>
        <w:t xml:space="preserve"> </w:t>
      </w:r>
      <w:proofErr w:type="spellStart"/>
      <w:r w:rsidRPr="004C0524">
        <w:rPr>
          <w:lang w:val="en-US"/>
        </w:rPr>
        <w:t>Pantelis</w:t>
      </w:r>
      <w:proofErr w:type="spellEnd"/>
      <w:r w:rsidRPr="004C0524">
        <w:rPr>
          <w:lang w:val="en-US"/>
        </w:rPr>
        <w:t xml:space="preserve"> STAVROU, member for Cyprus, in place of </w:t>
      </w:r>
      <w:proofErr w:type="spellStart"/>
      <w:r w:rsidRPr="004C0524">
        <w:rPr>
          <w:lang w:val="en-US"/>
        </w:rPr>
        <w:t>Mr</w:t>
      </w:r>
      <w:proofErr w:type="spellEnd"/>
      <w:r w:rsidRPr="004C0524">
        <w:rPr>
          <w:lang w:val="en-US"/>
        </w:rPr>
        <w:t xml:space="preserve"> Nikos EPISTITHIOU, who has resigned</w:t>
      </w:r>
      <w:bookmarkEnd w:id="4"/>
    </w:p>
    <w:p w14:paraId="5B8B550F" w14:textId="77777777" w:rsidR="00643D86" w:rsidRPr="004C0524" w:rsidRDefault="00D874C8" w:rsidP="00643D86">
      <w:r w:rsidRPr="004C0524">
        <w:rPr>
          <w:noProof/>
        </w:rPr>
        <w:t>13903</w:t>
      </w:r>
      <w:r w:rsidRPr="004C0524">
        <w:t>/14 SOC 672</w:t>
      </w:r>
    </w:p>
    <w:p w14:paraId="5B8B5510" w14:textId="0E38DE0B" w:rsidR="00643D86" w:rsidRDefault="00D874C8" w:rsidP="00643D86">
      <w:r>
        <w:rPr>
          <w:b/>
        </w:rPr>
        <w:t>Ansvarigt statsråd</w:t>
      </w:r>
      <w:r w:rsidR="009A1BEC">
        <w:rPr>
          <w:b/>
        </w:rPr>
        <w:t xml:space="preserve">: </w:t>
      </w:r>
      <w:r>
        <w:rPr>
          <w:noProof/>
        </w:rPr>
        <w:t>Ylva</w:t>
      </w:r>
      <w:r>
        <w:t xml:space="preserve"> Johansson</w:t>
      </w:r>
    </w:p>
    <w:p w14:paraId="5B8B5513" w14:textId="5EF10D1E" w:rsidR="00643D86" w:rsidRDefault="00D874C8" w:rsidP="00643D86">
      <w:r>
        <w:t>Föranleder ingen annotering.</w:t>
      </w:r>
    </w:p>
    <w:p w14:paraId="5B8B5514" w14:textId="69C3CABD" w:rsidR="00643D86" w:rsidRDefault="00D874C8" w:rsidP="00643D86">
      <w:pPr>
        <w:pStyle w:val="Rubrik1"/>
      </w:pPr>
      <w:r>
        <w:rPr>
          <w:noProof/>
        </w:rPr>
        <w:t xml:space="preserve"> </w:t>
      </w:r>
      <w:bookmarkStart w:id="5" w:name="_Toc256000006"/>
      <w:r>
        <w:t xml:space="preserve">Commission </w:t>
      </w:r>
      <w:proofErr w:type="spellStart"/>
      <w:r>
        <w:t>Regulation</w:t>
      </w:r>
      <w:proofErr w:type="spellEnd"/>
      <w:r>
        <w:t xml:space="preserve"> (EU) No …/</w:t>
      </w:r>
      <w:proofErr w:type="gramStart"/>
      <w:r>
        <w:t>..</w:t>
      </w:r>
      <w:proofErr w:type="gramEnd"/>
      <w:r>
        <w:t xml:space="preserve"> </w:t>
      </w:r>
      <w:proofErr w:type="spellStart"/>
      <w:r>
        <w:t>of</w:t>
      </w:r>
      <w:proofErr w:type="spellEnd"/>
      <w:r>
        <w:t xml:space="preserve"> XXX </w:t>
      </w:r>
      <w:proofErr w:type="spellStart"/>
      <w:r>
        <w:t>amending</w:t>
      </w:r>
      <w:proofErr w:type="spellEnd"/>
      <w:r>
        <w:t xml:space="preserve"> </w:t>
      </w:r>
      <w:proofErr w:type="spellStart"/>
      <w:r>
        <w:t>Regulation</w:t>
      </w:r>
      <w:proofErr w:type="spellEnd"/>
      <w:r>
        <w:t xml:space="preserve"> (EU) No 142/2011 </w:t>
      </w:r>
      <w:proofErr w:type="spellStart"/>
      <w:r>
        <w:t>implementing</w:t>
      </w:r>
      <w:proofErr w:type="spellEnd"/>
      <w:r>
        <w:t xml:space="preserve"> </w:t>
      </w:r>
      <w:proofErr w:type="spellStart"/>
      <w:r>
        <w:t>Regulation</w:t>
      </w:r>
      <w:proofErr w:type="spellEnd"/>
      <w:r>
        <w:t xml:space="preserve"> (EC) No 1069/2009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w:t>
      </w:r>
      <w:proofErr w:type="spellStart"/>
      <w:r>
        <w:t>laying</w:t>
      </w:r>
      <w:proofErr w:type="spellEnd"/>
      <w:r>
        <w:t xml:space="preserve"> down </w:t>
      </w:r>
      <w:proofErr w:type="spellStart"/>
      <w:r>
        <w:t>health</w:t>
      </w:r>
      <w:proofErr w:type="spellEnd"/>
      <w:r>
        <w:t xml:space="preserve"> </w:t>
      </w:r>
      <w:proofErr w:type="spellStart"/>
      <w:r>
        <w:t>rules</w:t>
      </w:r>
      <w:proofErr w:type="spellEnd"/>
      <w:r>
        <w:t xml:space="preserve"> as </w:t>
      </w:r>
      <w:proofErr w:type="spellStart"/>
      <w:r>
        <w:t>regards</w:t>
      </w:r>
      <w:proofErr w:type="spellEnd"/>
      <w:r>
        <w:t xml:space="preserve"> animal by-</w:t>
      </w:r>
      <w:proofErr w:type="spellStart"/>
      <w:r>
        <w:t>products</w:t>
      </w:r>
      <w:proofErr w:type="spellEnd"/>
      <w:r>
        <w:t xml:space="preserve"> and </w:t>
      </w:r>
      <w:proofErr w:type="spellStart"/>
      <w:r>
        <w:t>derived</w:t>
      </w:r>
      <w:proofErr w:type="spellEnd"/>
      <w:r>
        <w:t xml:space="preserve"> </w:t>
      </w:r>
      <w:proofErr w:type="spellStart"/>
      <w:r>
        <w:t>products</w:t>
      </w:r>
      <w:proofErr w:type="spellEnd"/>
      <w:r>
        <w:t xml:space="preserve"> not </w:t>
      </w:r>
      <w:proofErr w:type="spellStart"/>
      <w:r>
        <w:t>intended</w:t>
      </w:r>
      <w:proofErr w:type="spellEnd"/>
      <w:r>
        <w:t xml:space="preserve"> for human </w:t>
      </w:r>
      <w:proofErr w:type="spellStart"/>
      <w:r>
        <w:t>consumption</w:t>
      </w:r>
      <w:proofErr w:type="spellEnd"/>
      <w:r>
        <w:t xml:space="preserve"> and </w:t>
      </w:r>
      <w:proofErr w:type="spellStart"/>
      <w:r>
        <w:t>implementing</w:t>
      </w:r>
      <w:proofErr w:type="spellEnd"/>
      <w:r>
        <w:t xml:space="preserve"> Council </w:t>
      </w:r>
      <w:proofErr w:type="spellStart"/>
      <w:r>
        <w:t>Directive</w:t>
      </w:r>
      <w:proofErr w:type="spellEnd"/>
      <w:r>
        <w:t xml:space="preserve"> 97/78/EC as </w:t>
      </w:r>
      <w:proofErr w:type="spellStart"/>
      <w:r>
        <w:t>regards</w:t>
      </w:r>
      <w:proofErr w:type="spellEnd"/>
      <w:r>
        <w:t xml:space="preserve"> </w:t>
      </w:r>
      <w:proofErr w:type="spellStart"/>
      <w:r>
        <w:t>certain</w:t>
      </w:r>
      <w:proofErr w:type="spellEnd"/>
      <w:r>
        <w:t xml:space="preserve"> </w:t>
      </w:r>
      <w:proofErr w:type="spellStart"/>
      <w:r>
        <w:t>samples</w:t>
      </w:r>
      <w:proofErr w:type="spellEnd"/>
      <w:r>
        <w:t xml:space="preserve"> and </w:t>
      </w:r>
      <w:proofErr w:type="spellStart"/>
      <w:r>
        <w:t>items</w:t>
      </w:r>
      <w:proofErr w:type="spellEnd"/>
      <w:r>
        <w:t xml:space="preserve"> </w:t>
      </w:r>
      <w:proofErr w:type="spellStart"/>
      <w:r>
        <w:t>exempt</w:t>
      </w:r>
      <w:proofErr w:type="spellEnd"/>
      <w:r>
        <w:t xml:space="preserve"> from </w:t>
      </w:r>
      <w:proofErr w:type="spellStart"/>
      <w:r>
        <w:t>veterinary</w:t>
      </w:r>
      <w:proofErr w:type="spellEnd"/>
      <w:r>
        <w:t xml:space="preserve"> checks at the </w:t>
      </w:r>
      <w:proofErr w:type="spellStart"/>
      <w:r>
        <w:t>border</w:t>
      </w:r>
      <w:proofErr w:type="spellEnd"/>
      <w:r>
        <w:t xml:space="preserve"> under </w:t>
      </w:r>
      <w:proofErr w:type="spellStart"/>
      <w:r>
        <w:t>that</w:t>
      </w:r>
      <w:proofErr w:type="spellEnd"/>
      <w:r>
        <w:t xml:space="preserve"> </w:t>
      </w:r>
      <w:proofErr w:type="spellStart"/>
      <w:r>
        <w:t>Directive</w:t>
      </w:r>
      <w:bookmarkEnd w:id="5"/>
      <w:proofErr w:type="spellEnd"/>
    </w:p>
    <w:p w14:paraId="5B8B5516" w14:textId="77777777" w:rsidR="00643D86" w:rsidRPr="004C0524" w:rsidRDefault="00D874C8" w:rsidP="00643D86">
      <w:r w:rsidRPr="004C0524">
        <w:rPr>
          <w:noProof/>
        </w:rPr>
        <w:t>13239</w:t>
      </w:r>
      <w:r w:rsidRPr="004C0524">
        <w:t>/14 AGRILEG 180 VETER 85 + ADD 113447/14 AGRILEG 189 VETER 88</w:t>
      </w:r>
    </w:p>
    <w:p w14:paraId="5B8B5517" w14:textId="177F9030" w:rsidR="00643D86" w:rsidRDefault="00D874C8" w:rsidP="00643D86">
      <w:r>
        <w:rPr>
          <w:b/>
        </w:rPr>
        <w:t>Ansvarigt statsråd</w:t>
      </w:r>
      <w:r w:rsidR="009A1BEC">
        <w:rPr>
          <w:b/>
        </w:rPr>
        <w:t xml:space="preserve">: </w:t>
      </w:r>
      <w:r>
        <w:rPr>
          <w:noProof/>
        </w:rPr>
        <w:t>Sven-Erik</w:t>
      </w:r>
      <w:r>
        <w:t xml:space="preserve"> Bucht</w:t>
      </w:r>
    </w:p>
    <w:p w14:paraId="5B8B551A" w14:textId="7E95C657" w:rsidR="00643D86" w:rsidRDefault="00D874C8" w:rsidP="00643D86">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5B8B551B" w14:textId="77777777" w:rsidR="00643D86" w:rsidRPr="004C0524" w:rsidRDefault="00D874C8" w:rsidP="00643D86">
      <w:pPr>
        <w:pStyle w:val="Rubrik1"/>
        <w:rPr>
          <w:lang w:val="en-US"/>
        </w:rPr>
      </w:pPr>
      <w:bookmarkStart w:id="6" w:name="_Toc256000008"/>
      <w:r w:rsidRPr="004C0524">
        <w:rPr>
          <w:noProof/>
          <w:lang w:val="en-US"/>
        </w:rPr>
        <w:lastRenderedPageBreak/>
        <w:t>Commission</w:t>
      </w:r>
      <w:r w:rsidRPr="004C0524">
        <w:rPr>
          <w:lang w:val="en-US"/>
        </w:rPr>
        <w:t xml:space="preserve"> </w:t>
      </w:r>
      <w:proofErr w:type="gramStart"/>
      <w:r w:rsidRPr="004C0524">
        <w:rPr>
          <w:lang w:val="en-US"/>
        </w:rPr>
        <w:t>Directive ..</w:t>
      </w:r>
      <w:proofErr w:type="gramEnd"/>
      <w:r w:rsidRPr="004C0524">
        <w:rPr>
          <w:lang w:val="en-US"/>
        </w:rPr>
        <w:t>/…/EU of XXX adapting for the third time the Annexes to Directive 2008/68/EC of the European Parliament and of the Council on the inland transport of dangerous goods to scientific and technical progress</w:t>
      </w:r>
      <w:bookmarkEnd w:id="6"/>
    </w:p>
    <w:p w14:paraId="5B8B551C" w14:textId="77777777" w:rsidR="00643D86" w:rsidRPr="004C0524" w:rsidRDefault="00D874C8" w:rsidP="00643D86">
      <w:r w:rsidRPr="004C0524">
        <w:rPr>
          <w:noProof/>
        </w:rPr>
        <w:t>13608</w:t>
      </w:r>
      <w:r w:rsidRPr="004C0524">
        <w:t>/14 TRANS 447+ ADD 113612/14 TRANS 448</w:t>
      </w:r>
    </w:p>
    <w:p w14:paraId="5B8B551D" w14:textId="7788E2C5" w:rsidR="00643D86" w:rsidRDefault="00D874C8" w:rsidP="00643D86">
      <w:r>
        <w:rPr>
          <w:b/>
        </w:rPr>
        <w:t xml:space="preserve">Ansvarigt statsråd: </w:t>
      </w:r>
      <w:r w:rsidRPr="00D874C8">
        <w:t>Peter Hultqvist</w:t>
      </w:r>
    </w:p>
    <w:p w14:paraId="5B8B5521" w14:textId="77777777" w:rsidR="001E3788" w:rsidRDefault="00D874C8">
      <w:pPr>
        <w:spacing w:after="280" w:afterAutospacing="1"/>
      </w:pPr>
      <w:r>
        <w:rPr>
          <w:b/>
          <w:bCs/>
        </w:rPr>
        <w:t xml:space="preserve">Avsikt med behandlingen i rådet: </w:t>
      </w:r>
      <w:r>
        <w:t>Proceduren behövs för beslut om 2015 års förändringar i bilaga till 2008/68/EG. Anpassning av bilagan sker vartannat år.</w:t>
      </w:r>
      <w:r>
        <w:rPr>
          <w:b/>
          <w:bCs/>
        </w:rPr>
        <w:t xml:space="preserve"> </w:t>
      </w:r>
    </w:p>
    <w:p w14:paraId="5B8B5522" w14:textId="77777777" w:rsidR="001E3788" w:rsidRDefault="00D874C8">
      <w:pPr>
        <w:spacing w:after="280" w:afterAutospacing="1"/>
      </w:pPr>
      <w:r>
        <w:rPr>
          <w:b/>
          <w:bCs/>
        </w:rPr>
        <w:t>Hur regeringen ställer sig till den blivande A-punkten:</w:t>
      </w:r>
      <w:r>
        <w:t xml:space="preserve"> Regeringen stödjer förslaget. </w:t>
      </w:r>
    </w:p>
    <w:p w14:paraId="5B8B5524" w14:textId="7B4F123C" w:rsidR="001E3788" w:rsidRDefault="00D874C8">
      <w:pPr>
        <w:spacing w:after="280" w:afterAutospacing="1"/>
      </w:pPr>
      <w:r>
        <w:rPr>
          <w:b/>
          <w:bCs/>
        </w:rPr>
        <w:t xml:space="preserve">Bakgrund: </w:t>
      </w:r>
      <w:r>
        <w:t xml:space="preserve">Ärendet kommer från att SE inte ratificerat Vilniusprotokollet. SE är förpliktigat att tillämpa COTIF i 1980 års version (innehåller bestämmelser om farligt gods). </w:t>
      </w:r>
    </w:p>
    <w:p w14:paraId="5B8B5525" w14:textId="77777777" w:rsidR="00643D86" w:rsidRPr="004C0524" w:rsidRDefault="00D874C8" w:rsidP="00643D86">
      <w:pPr>
        <w:pStyle w:val="Rubrik1"/>
        <w:rPr>
          <w:lang w:val="en-US"/>
        </w:rPr>
      </w:pPr>
      <w:bookmarkStart w:id="7" w:name="_Toc256000009"/>
      <w:r w:rsidRPr="004C0524">
        <w:rPr>
          <w:noProof/>
          <w:lang w:val="en-US"/>
        </w:rPr>
        <w:t>Proposal</w:t>
      </w:r>
      <w:r w:rsidRPr="004C0524">
        <w:rPr>
          <w:lang w:val="en-US"/>
        </w:rPr>
        <w:t xml:space="preserve"> for a Council Decision on the signature, on behalf of the European Union, and the provisional application of the Protocol agreed between the European Union and the Republic of Guinea-Bissau setting out fishing opportunities and the financial contribution provided for in the Fisheries Partnership Agreement between the two parties currently in force</w:t>
      </w:r>
      <w:bookmarkEnd w:id="7"/>
    </w:p>
    <w:p w14:paraId="5B8B5526" w14:textId="77777777" w:rsidR="00643D86" w:rsidRPr="004C0524" w:rsidRDefault="00D874C8" w:rsidP="00643D86">
      <w:r w:rsidRPr="004C0524">
        <w:rPr>
          <w:noProof/>
        </w:rPr>
        <w:t>11666</w:t>
      </w:r>
      <w:r w:rsidRPr="004C0524">
        <w:t>/12 PECHE 236 13392/14 PECHE 431+ ADD 1</w:t>
      </w:r>
    </w:p>
    <w:p w14:paraId="5B8B5527" w14:textId="43EEF8BF" w:rsidR="00643D86" w:rsidRDefault="00D874C8" w:rsidP="00643D86">
      <w:r>
        <w:rPr>
          <w:b/>
        </w:rPr>
        <w:t>Ansvarigt statsråd</w:t>
      </w:r>
      <w:r w:rsidR="009A1BEC">
        <w:rPr>
          <w:b/>
        </w:rPr>
        <w:t xml:space="preserve">: </w:t>
      </w:r>
      <w:r>
        <w:rPr>
          <w:noProof/>
        </w:rPr>
        <w:t>Sven-Erik</w:t>
      </w:r>
      <w:r>
        <w:t xml:space="preserve"> Bucht</w:t>
      </w:r>
    </w:p>
    <w:p w14:paraId="5B8B552A" w14:textId="2A330C6C" w:rsidR="00643D86" w:rsidRDefault="00D874C8" w:rsidP="00643D86">
      <w:r>
        <w:t xml:space="preserve">Det protokoll som finns kopplat till fiskepartnerskapsavtalet mellan EU och Guinea- Bissau löpte ut den 15 juni 2012. Ett nytt protokoll förhandlades fram och presenterades </w:t>
      </w:r>
      <w:proofErr w:type="gramStart"/>
      <w:r>
        <w:t>av  kommissionen</w:t>
      </w:r>
      <w:proofErr w:type="gramEnd"/>
      <w:r>
        <w:t xml:space="preserve"> för rådet den 5 juni 2012.  En militärkupp ägde rum i Guinea-Bissau i april 2012 och protokollet trädde aldrig ikraft pga. militärkuppen. Det politiska läget har förbättrats i Guinea-Bissau och under 2014 har demokratiska val hållits som av FN och av EUs valobservatörer bedömts som rättvisa. Kommissionen har därför återigen lagt fram förslagen från 2012 för rådet att ta ställning till.  Mot bakgrund av att utvärderingen är flera år gammal anser Sverige att det inte går att säkerställa att det finns ett överskott för EU att fiska på. Sverige kommer därför att lägga ned sin röst. </w:t>
      </w:r>
    </w:p>
    <w:p w14:paraId="5B8B552B" w14:textId="77777777" w:rsidR="00643D86" w:rsidRPr="004C0524" w:rsidRDefault="00D874C8" w:rsidP="00643D86">
      <w:pPr>
        <w:pStyle w:val="Rubrik1"/>
        <w:rPr>
          <w:lang w:val="en-US"/>
        </w:rPr>
      </w:pPr>
      <w:bookmarkStart w:id="8" w:name="_Toc256000010"/>
      <w:r w:rsidRPr="004C0524">
        <w:rPr>
          <w:noProof/>
          <w:lang w:val="en-US"/>
        </w:rPr>
        <w:t>Proposal</w:t>
      </w:r>
      <w:r w:rsidRPr="004C0524">
        <w:rPr>
          <w:lang w:val="en-US"/>
        </w:rPr>
        <w:t xml:space="preserve"> for a Council Decision on the conclusion of the Protocol agreed between the European Union and the Republic of Guinea-Bissau setting out fishing opportunities and the financial contribution provided for in the Fisheries Partnership Agreement between the two parties currently in force</w:t>
      </w:r>
      <w:bookmarkEnd w:id="8"/>
    </w:p>
    <w:p w14:paraId="5B8B552C" w14:textId="77777777" w:rsidR="00643D86" w:rsidRPr="004C0524" w:rsidRDefault="00D874C8" w:rsidP="00643D86">
      <w:r w:rsidRPr="004C0524">
        <w:rPr>
          <w:noProof/>
        </w:rPr>
        <w:t>11667</w:t>
      </w:r>
      <w:r w:rsidRPr="004C0524">
        <w:t>/12 PECHE 237 11671/12 PECHE 239 13392/14 PECHE 431+ ADD 1</w:t>
      </w:r>
    </w:p>
    <w:p w14:paraId="5B8B552D" w14:textId="5184EFEC" w:rsidR="00643D86" w:rsidRDefault="00D874C8" w:rsidP="00643D86">
      <w:r>
        <w:rPr>
          <w:b/>
        </w:rPr>
        <w:t>Ansvarigt statsråd</w:t>
      </w:r>
      <w:r w:rsidR="009A1BEC">
        <w:rPr>
          <w:b/>
        </w:rPr>
        <w:t xml:space="preserve">: </w:t>
      </w:r>
      <w:r>
        <w:rPr>
          <w:noProof/>
        </w:rPr>
        <w:t>Sven-Erik</w:t>
      </w:r>
      <w:r>
        <w:t xml:space="preserve"> Bucht</w:t>
      </w:r>
    </w:p>
    <w:p w14:paraId="5B8B5530" w14:textId="46124A4F" w:rsidR="00643D86" w:rsidRDefault="00D874C8" w:rsidP="00643D86">
      <w:r>
        <w:t xml:space="preserve">Det protokoll som finns kopplat till fiskepartnerskapsavtalet mellan EU och Guinea- Bissau löpte ut den 15 juni 2012. Ett nytt protokoll förhandlades fram och presenterades </w:t>
      </w:r>
      <w:proofErr w:type="gramStart"/>
      <w:r>
        <w:t>av  kommissionen</w:t>
      </w:r>
      <w:proofErr w:type="gramEnd"/>
      <w:r>
        <w:t xml:space="preserve"> för rådet den 5 juni 2012.  En militärkupp ägde rum i Guinea-Bissau i april 2012 och protokollet trädde aldrig ikraft pga. militärkuppen. Det politiska läget har förbättrats i Guinea-Bissau och under 2014 har demokratiska val hållits som av FN och av EUs valobservatörer bedömts som rättvisa. Kommissionen har därför återigen lagt fram förslagen </w:t>
      </w:r>
      <w:r>
        <w:lastRenderedPageBreak/>
        <w:t xml:space="preserve">från 2012 för rådet att ta ställning till.  Mot bakgrund av att utvärderingen är flera år gammal anser Sverige att det inte går att säkerställa att det finns ett överskott för EU att fiska på. Sverige kommer därför att lägga ned sin röst. </w:t>
      </w:r>
    </w:p>
    <w:p w14:paraId="5B8B5531" w14:textId="77777777" w:rsidR="00643D86" w:rsidRPr="004C0524" w:rsidRDefault="00D874C8" w:rsidP="00643D86">
      <w:pPr>
        <w:pStyle w:val="Rubrik1"/>
        <w:rPr>
          <w:lang w:val="en-US"/>
        </w:rPr>
      </w:pPr>
      <w:bookmarkStart w:id="9" w:name="_Toc256000011"/>
      <w:r w:rsidRPr="004C0524">
        <w:rPr>
          <w:noProof/>
          <w:lang w:val="en-US"/>
        </w:rPr>
        <w:t>Proposal</w:t>
      </w:r>
      <w:r w:rsidRPr="004C0524">
        <w:rPr>
          <w:lang w:val="en-US"/>
        </w:rPr>
        <w:t xml:space="preserve"> for a Council Regulation on the allocation of fishing opportunities under the Protocol agreed between the European Union and the Republic of Guinea-Bissau setting out fishing opportunities and the financial contribution provided for in the Fisheries Partnership Agreement between the two parties currently in force</w:t>
      </w:r>
      <w:bookmarkEnd w:id="9"/>
    </w:p>
    <w:p w14:paraId="5B8B5532" w14:textId="77777777" w:rsidR="00643D86" w:rsidRPr="004C0524" w:rsidRDefault="00D874C8" w:rsidP="00643D86">
      <w:r w:rsidRPr="004C0524">
        <w:rPr>
          <w:noProof/>
        </w:rPr>
        <w:t>11670</w:t>
      </w:r>
      <w:r w:rsidRPr="004C0524">
        <w:t>/12 PECHE 238 13392/14 PECHE 431+ ADD 1</w:t>
      </w:r>
    </w:p>
    <w:p w14:paraId="5B8B5533" w14:textId="514D974E" w:rsidR="00643D86" w:rsidRDefault="00D874C8" w:rsidP="00643D86">
      <w:r>
        <w:rPr>
          <w:b/>
        </w:rPr>
        <w:t>Ansvarigt statsråd</w:t>
      </w:r>
      <w:r w:rsidR="009A1BEC">
        <w:rPr>
          <w:b/>
        </w:rPr>
        <w:t xml:space="preserve">: </w:t>
      </w:r>
      <w:r>
        <w:rPr>
          <w:noProof/>
        </w:rPr>
        <w:t>Sven-Erik</w:t>
      </w:r>
      <w:r>
        <w:t xml:space="preserve"> Bucht</w:t>
      </w:r>
    </w:p>
    <w:p w14:paraId="5B8B5536" w14:textId="564C721E" w:rsidR="00643D86" w:rsidRDefault="00D874C8" w:rsidP="00643D86">
      <w:r>
        <w:t xml:space="preserve">Det protokoll som finns kopplat till fiskepartnerskapsavtalet mellan EU och Guinea- Bissau löpte ut den 15 juni 2012. Ett nytt protokoll förhandlades fram och presenterades </w:t>
      </w:r>
      <w:proofErr w:type="gramStart"/>
      <w:r>
        <w:t>av  kommissionen</w:t>
      </w:r>
      <w:proofErr w:type="gramEnd"/>
      <w:r>
        <w:t xml:space="preserve"> för rådet den 5 juni 2012.  En militärkupp ägde rum i Guinea-Bissau i april 2012 och protokollet trädde aldrig ikraft pga. militärkuppen. Det politiska läget har förbättrats i Guinea-Bissau och under 2014 har demokratiska val hållits som av FN och av EUs valobservatörer bedömts som rättvisa. Kommissionen har därför återigen lagt fram förslagen från 2012 för rådet att ta ställning till.  Mot bakgrund av att utvärderingen är flera år gammal anser Sverige att det inte går att säkerställa att det finns ett överskott för EU att fiska på. Sverige kommer därför att lägga ned sin röst. </w:t>
      </w:r>
    </w:p>
    <w:bookmarkEnd w:id="1"/>
    <w:p w14:paraId="5B8B5537" w14:textId="77777777" w:rsidR="00643D86" w:rsidRPr="00643D86" w:rsidRDefault="004C0524" w:rsidP="00643D86">
      <w:pPr>
        <w:ind w:left="0"/>
        <w:rPr>
          <w:lang w:val="en-US"/>
        </w:rPr>
      </w:pPr>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B5549" w14:textId="77777777" w:rsidR="008201B8" w:rsidRDefault="00D874C8">
      <w:pPr>
        <w:spacing w:after="0" w:line="240" w:lineRule="auto"/>
      </w:pPr>
      <w:r>
        <w:separator/>
      </w:r>
    </w:p>
  </w:endnote>
  <w:endnote w:type="continuationSeparator" w:id="0">
    <w:p w14:paraId="5B8B554B" w14:textId="77777777" w:rsidR="008201B8" w:rsidRDefault="00D8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B5545" w14:textId="77777777" w:rsidR="008201B8" w:rsidRDefault="00D874C8">
      <w:pPr>
        <w:spacing w:after="0" w:line="240" w:lineRule="auto"/>
      </w:pPr>
      <w:r>
        <w:separator/>
      </w:r>
    </w:p>
  </w:footnote>
  <w:footnote w:type="continuationSeparator" w:id="0">
    <w:p w14:paraId="5B8B5547" w14:textId="77777777" w:rsidR="008201B8" w:rsidRDefault="00D87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B5538" w14:textId="77777777" w:rsidR="006E71D7" w:rsidRDefault="004C0524" w:rsidP="006E71D7">
    <w:pPr>
      <w:pStyle w:val="Sidhuvud"/>
      <w:ind w:left="0"/>
    </w:pPr>
  </w:p>
  <w:p w14:paraId="5B8B5539" w14:textId="77777777" w:rsidR="006F1C0D" w:rsidRDefault="004C0524"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E3788" w14:paraId="5B8B553F" w14:textId="77777777" w:rsidTr="006E71D7">
      <w:tc>
        <w:tcPr>
          <w:tcW w:w="4606" w:type="dxa"/>
        </w:tcPr>
        <w:p w14:paraId="5B8B553A" w14:textId="77777777" w:rsidR="006E71D7" w:rsidRDefault="00D874C8" w:rsidP="00752770">
          <w:pPr>
            <w:pStyle w:val="Sidhuvud"/>
            <w:ind w:left="0"/>
          </w:pPr>
          <w:r>
            <w:rPr>
              <w:noProof/>
              <w:lang w:eastAsia="sv-SE"/>
            </w:rPr>
            <w:drawing>
              <wp:inline distT="0" distB="0" distL="0" distR="0" wp14:anchorId="5B8B5545" wp14:editId="5B8B554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B8B553B" w14:textId="77777777" w:rsidR="00FB32B9" w:rsidRDefault="004C0524" w:rsidP="00FB32B9">
          <w:pPr>
            <w:ind w:right="916"/>
            <w:rPr>
              <w:rFonts w:ascii="TradeGothic" w:hAnsi="TradeGothic"/>
              <w:b/>
            </w:rPr>
          </w:pPr>
        </w:p>
        <w:p w14:paraId="5B8B553C" w14:textId="77777777" w:rsidR="00FB32B9" w:rsidRDefault="00D874C8" w:rsidP="00FB32B9">
          <w:pPr>
            <w:ind w:right="916"/>
          </w:pPr>
          <w:r>
            <w:rPr>
              <w:rFonts w:ascii="TradeGothic" w:hAnsi="TradeGothic"/>
              <w:b/>
            </w:rPr>
            <w:t>Promemoria</w:t>
          </w:r>
        </w:p>
        <w:p w14:paraId="5B8B553D" w14:textId="77777777" w:rsidR="00FB32B9" w:rsidRDefault="004C0524" w:rsidP="00FB32B9">
          <w:pPr>
            <w:jc w:val="right"/>
          </w:pPr>
        </w:p>
        <w:p w14:paraId="5B8B553E" w14:textId="77777777" w:rsidR="006E71D7" w:rsidRDefault="00D874C8" w:rsidP="00FB32B9">
          <w:pPr>
            <w:ind w:right="916"/>
          </w:pPr>
          <w:r>
            <w:rPr>
              <w:rFonts w:ascii="TradeGothic" w:hAnsi="TradeGothic"/>
              <w:b/>
              <w:noProof/>
            </w:rPr>
            <w:t>2014-10-09</w:t>
          </w:r>
          <w:r w:rsidRPr="00934953">
            <w:t xml:space="preserve"> </w:t>
          </w:r>
        </w:p>
      </w:tc>
    </w:tr>
  </w:tbl>
  <w:p w14:paraId="5B8B5540" w14:textId="77777777" w:rsidR="00FB32B9" w:rsidRDefault="004C0524" w:rsidP="00FB32B9">
    <w:pPr>
      <w:pStyle w:val="Avsndare"/>
      <w:framePr w:w="0" w:hRule="auto" w:hSpace="0" w:wrap="auto" w:vAnchor="margin" w:hAnchor="text" w:xAlign="left" w:yAlign="inline"/>
      <w:rPr>
        <w:b/>
        <w:i w:val="0"/>
        <w:sz w:val="22"/>
      </w:rPr>
    </w:pPr>
  </w:p>
  <w:p w14:paraId="5B8B5541" w14:textId="77777777" w:rsidR="00FB32B9" w:rsidRDefault="00D874C8" w:rsidP="00FB32B9">
    <w:pPr>
      <w:pStyle w:val="Avsndare"/>
      <w:framePr w:w="0" w:hRule="auto" w:hSpace="0" w:wrap="auto" w:vAnchor="margin" w:hAnchor="text" w:xAlign="left" w:yAlign="inline"/>
      <w:rPr>
        <w:b/>
        <w:i w:val="0"/>
        <w:sz w:val="22"/>
      </w:rPr>
    </w:pPr>
    <w:r>
      <w:rPr>
        <w:b/>
        <w:i w:val="0"/>
        <w:sz w:val="22"/>
      </w:rPr>
      <w:t>Statsrådsberedningen</w:t>
    </w:r>
  </w:p>
  <w:p w14:paraId="5B8B5542" w14:textId="77777777" w:rsidR="00FB32B9" w:rsidRDefault="004C0524" w:rsidP="00FB32B9">
    <w:pPr>
      <w:pStyle w:val="Avsndare"/>
      <w:framePr w:w="0" w:hRule="auto" w:hSpace="0" w:wrap="auto" w:vAnchor="margin" w:hAnchor="text" w:xAlign="left" w:yAlign="inline"/>
    </w:pPr>
  </w:p>
  <w:p w14:paraId="5B8B5543" w14:textId="77777777" w:rsidR="00FB32B9" w:rsidRDefault="00D874C8" w:rsidP="00FB32B9">
    <w:pPr>
      <w:pStyle w:val="Avsndare"/>
      <w:framePr w:w="0" w:hRule="auto" w:hSpace="0" w:wrap="auto" w:vAnchor="margin" w:hAnchor="text" w:xAlign="left" w:yAlign="inline"/>
    </w:pPr>
    <w:r>
      <w:t>EU-kansliet</w:t>
    </w:r>
  </w:p>
  <w:p w14:paraId="5B8B5544" w14:textId="77777777" w:rsidR="0012376B" w:rsidRDefault="004C052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2D5A5DF8">
      <w:start w:val="1"/>
      <w:numFmt w:val="decimal"/>
      <w:pStyle w:val="Rubrik1"/>
      <w:lvlText w:val="%1."/>
      <w:lvlJc w:val="left"/>
      <w:pPr>
        <w:ind w:left="720" w:hanging="360"/>
      </w:pPr>
    </w:lvl>
    <w:lvl w:ilvl="1" w:tplc="6082B5C0" w:tentative="1">
      <w:start w:val="1"/>
      <w:numFmt w:val="lowerLetter"/>
      <w:lvlText w:val="%2."/>
      <w:lvlJc w:val="left"/>
      <w:pPr>
        <w:ind w:left="1440" w:hanging="360"/>
      </w:pPr>
    </w:lvl>
    <w:lvl w:ilvl="2" w:tplc="095085CA" w:tentative="1">
      <w:start w:val="1"/>
      <w:numFmt w:val="lowerRoman"/>
      <w:lvlText w:val="%3."/>
      <w:lvlJc w:val="right"/>
      <w:pPr>
        <w:ind w:left="2160" w:hanging="180"/>
      </w:pPr>
    </w:lvl>
    <w:lvl w:ilvl="3" w:tplc="187221AE" w:tentative="1">
      <w:start w:val="1"/>
      <w:numFmt w:val="decimal"/>
      <w:lvlText w:val="%4."/>
      <w:lvlJc w:val="left"/>
      <w:pPr>
        <w:ind w:left="2880" w:hanging="360"/>
      </w:pPr>
    </w:lvl>
    <w:lvl w:ilvl="4" w:tplc="861ED4E2" w:tentative="1">
      <w:start w:val="1"/>
      <w:numFmt w:val="lowerLetter"/>
      <w:lvlText w:val="%5."/>
      <w:lvlJc w:val="left"/>
      <w:pPr>
        <w:ind w:left="3600" w:hanging="360"/>
      </w:pPr>
    </w:lvl>
    <w:lvl w:ilvl="5" w:tplc="7F8ECD1C" w:tentative="1">
      <w:start w:val="1"/>
      <w:numFmt w:val="lowerRoman"/>
      <w:lvlText w:val="%6."/>
      <w:lvlJc w:val="right"/>
      <w:pPr>
        <w:ind w:left="4320" w:hanging="180"/>
      </w:pPr>
    </w:lvl>
    <w:lvl w:ilvl="6" w:tplc="6180CF2A" w:tentative="1">
      <w:start w:val="1"/>
      <w:numFmt w:val="decimal"/>
      <w:lvlText w:val="%7."/>
      <w:lvlJc w:val="left"/>
      <w:pPr>
        <w:ind w:left="5040" w:hanging="360"/>
      </w:pPr>
    </w:lvl>
    <w:lvl w:ilvl="7" w:tplc="F3C6B39E" w:tentative="1">
      <w:start w:val="1"/>
      <w:numFmt w:val="lowerLetter"/>
      <w:lvlText w:val="%8."/>
      <w:lvlJc w:val="left"/>
      <w:pPr>
        <w:ind w:left="5760" w:hanging="360"/>
      </w:pPr>
    </w:lvl>
    <w:lvl w:ilvl="8" w:tplc="5164FEBA" w:tentative="1">
      <w:start w:val="1"/>
      <w:numFmt w:val="lowerRoman"/>
      <w:lvlText w:val="%9."/>
      <w:lvlJc w:val="right"/>
      <w:pPr>
        <w:ind w:left="6480" w:hanging="180"/>
      </w:pPr>
    </w:lvl>
  </w:abstractNum>
  <w:abstractNum w:abstractNumId="1">
    <w:nsid w:val="73990993"/>
    <w:multiLevelType w:val="hybridMultilevel"/>
    <w:tmpl w:val="3BD822EE"/>
    <w:lvl w:ilvl="0" w:tplc="0B5AED3E">
      <w:start w:val="1"/>
      <w:numFmt w:val="decimal"/>
      <w:lvlText w:val="%1."/>
      <w:lvlJc w:val="left"/>
      <w:pPr>
        <w:ind w:left="360" w:hanging="360"/>
      </w:pPr>
      <w:rPr>
        <w:b w:val="0"/>
      </w:rPr>
    </w:lvl>
    <w:lvl w:ilvl="1" w:tplc="FA5AE1E4" w:tentative="1">
      <w:start w:val="1"/>
      <w:numFmt w:val="lowerLetter"/>
      <w:lvlText w:val="%2."/>
      <w:lvlJc w:val="left"/>
      <w:pPr>
        <w:ind w:left="1080" w:hanging="360"/>
      </w:pPr>
    </w:lvl>
    <w:lvl w:ilvl="2" w:tplc="686A053C" w:tentative="1">
      <w:start w:val="1"/>
      <w:numFmt w:val="lowerRoman"/>
      <w:lvlText w:val="%3."/>
      <w:lvlJc w:val="right"/>
      <w:pPr>
        <w:ind w:left="1800" w:hanging="180"/>
      </w:pPr>
    </w:lvl>
    <w:lvl w:ilvl="3" w:tplc="10666CEC" w:tentative="1">
      <w:start w:val="1"/>
      <w:numFmt w:val="decimal"/>
      <w:lvlText w:val="%4."/>
      <w:lvlJc w:val="left"/>
      <w:pPr>
        <w:ind w:left="2520" w:hanging="360"/>
      </w:pPr>
    </w:lvl>
    <w:lvl w:ilvl="4" w:tplc="3B7A12F2" w:tentative="1">
      <w:start w:val="1"/>
      <w:numFmt w:val="lowerLetter"/>
      <w:lvlText w:val="%5."/>
      <w:lvlJc w:val="left"/>
      <w:pPr>
        <w:ind w:left="3240" w:hanging="360"/>
      </w:pPr>
    </w:lvl>
    <w:lvl w:ilvl="5" w:tplc="0F327658" w:tentative="1">
      <w:start w:val="1"/>
      <w:numFmt w:val="lowerRoman"/>
      <w:lvlText w:val="%6."/>
      <w:lvlJc w:val="right"/>
      <w:pPr>
        <w:ind w:left="3960" w:hanging="180"/>
      </w:pPr>
    </w:lvl>
    <w:lvl w:ilvl="6" w:tplc="7896AAEE" w:tentative="1">
      <w:start w:val="1"/>
      <w:numFmt w:val="decimal"/>
      <w:lvlText w:val="%7."/>
      <w:lvlJc w:val="left"/>
      <w:pPr>
        <w:ind w:left="4680" w:hanging="360"/>
      </w:pPr>
    </w:lvl>
    <w:lvl w:ilvl="7" w:tplc="DCE018F8" w:tentative="1">
      <w:start w:val="1"/>
      <w:numFmt w:val="lowerLetter"/>
      <w:lvlText w:val="%8."/>
      <w:lvlJc w:val="left"/>
      <w:pPr>
        <w:ind w:left="5400" w:hanging="360"/>
      </w:pPr>
    </w:lvl>
    <w:lvl w:ilvl="8" w:tplc="51C8D82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88"/>
    <w:rsid w:val="001E3788"/>
    <w:rsid w:val="001F5686"/>
    <w:rsid w:val="004C0524"/>
    <w:rsid w:val="008201B8"/>
    <w:rsid w:val="009A1BEC"/>
    <w:rsid w:val="00D87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54EB"/>
  <w15:docId w15:val="{06ACDF8B-D3C7-4FF7-B710-A0ED42AF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JE6N4JFJXNNF-9-64196</_dlc_DocId>
    <_dlc_DocIdUrl xmlns="8b66ae41-1ec6-402e-b662-35d1932ca064">
      <Url>http://rkdhs-sb/enhet/EUKansli/_layouts/DocIdRedir.aspx?ID=JE6N4JFJXNNF-9-64196</Url>
      <Description>JE6N4JFJXNNF-9-64196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2869D-D6D5-477C-A9E2-5EDDAD8B63DD}">
  <ds:schemaRefs>
    <ds:schemaRef ds:uri="http://schemas.microsoft.com/office/2006/documentManagement/types"/>
    <ds:schemaRef ds:uri="http://schemas.microsoft.com/office/2006/metadata/properties"/>
    <ds:schemaRef ds:uri="e4c0beb7-0294-4d25-9600-346807c0961e"/>
    <ds:schemaRef ds:uri="8b66ae41-1ec6-402e-b662-35d1932ca064"/>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F98C8DBA-7AEF-4D45-9DCA-7E02D169A396}">
  <ds:schemaRefs>
    <ds:schemaRef ds:uri="http://schemas.microsoft.com/sharepoint/v3/contenttype/forms"/>
  </ds:schemaRefs>
</ds:datastoreItem>
</file>

<file path=customXml/itemProps3.xml><?xml version="1.0" encoding="utf-8"?>
<ds:datastoreItem xmlns:ds="http://schemas.openxmlformats.org/officeDocument/2006/customXml" ds:itemID="{2201C6D1-0DF6-4D4D-932F-019B797C89F0}">
  <ds:schemaRefs>
    <ds:schemaRef ds:uri="http://schemas.microsoft.com/sharepoint/v3/contenttype/forms/url"/>
  </ds:schemaRefs>
</ds:datastoreItem>
</file>

<file path=customXml/itemProps4.xml><?xml version="1.0" encoding="utf-8"?>
<ds:datastoreItem xmlns:ds="http://schemas.openxmlformats.org/officeDocument/2006/customXml" ds:itemID="{3ABFA650-4388-4E80-AC71-33930F07BA02}">
  <ds:schemaRefs>
    <ds:schemaRef ds:uri="http://schemas.microsoft.com/office/2006/metadata/customXsn"/>
  </ds:schemaRefs>
</ds:datastoreItem>
</file>

<file path=customXml/itemProps5.xml><?xml version="1.0" encoding="utf-8"?>
<ds:datastoreItem xmlns:ds="http://schemas.openxmlformats.org/officeDocument/2006/customXml" ds:itemID="{D4DFE576-2ABA-41A7-A0C4-0CC423D0B151}">
  <ds:schemaRefs>
    <ds:schemaRef ds:uri="http://schemas.microsoft.com/sharepoint/events"/>
  </ds:schemaRefs>
</ds:datastoreItem>
</file>

<file path=customXml/itemProps6.xml><?xml version="1.0" encoding="utf-8"?>
<ds:datastoreItem xmlns:ds="http://schemas.openxmlformats.org/officeDocument/2006/customXml" ds:itemID="{3DEB1A71-86A6-437A-8F74-AFEEEE74D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DAF450C-F743-4755-A6CF-D8C36F7D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1474</Words>
  <Characters>7813</Characters>
  <Application>Microsoft Office Word</Application>
  <DocSecurity>4</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2014-12-09T12:32:00Z</dcterms:created>
  <dcterms:modified xsi:type="dcterms:W3CDTF">2014-12-09T12:32:00Z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9b3bf1c0-8986-4eb5-836a-c0dd50feb595</vt:lpwstr>
  </property>
</Properties>
</file>