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A5ECE">
        <w:tblPrEx>
          <w:tblCellMar>
            <w:top w:w="0" w:type="dxa"/>
            <w:left w:w="0" w:type="dxa"/>
            <w:bottom w:w="0" w:type="dxa"/>
            <w:right w:w="0" w:type="dxa"/>
          </w:tblCellMar>
        </w:tblPrEx>
        <w:trPr>
          <w:gridAfter w:val="2"/>
          <w:wAfter w:w="1758" w:type="dxa"/>
          <w:cantSplit/>
          <w:trHeight w:val="1320"/>
        </w:trPr>
        <w:tc>
          <w:tcPr>
            <w:tcW w:w="5897" w:type="dxa"/>
          </w:tcPr>
          <w:p w:rsidR="002B292D" w:rsidRPr="00EA5ECE" w:rsidRDefault="002B292D">
            <w:pPr>
              <w:pStyle w:val="HuvudRubrik"/>
            </w:pPr>
            <w:r w:rsidRPr="00EA5ECE">
              <w:t>Regeringskansliet</w:t>
            </w:r>
          </w:p>
          <w:p w:rsidR="002B292D" w:rsidRPr="00EA5ECE" w:rsidRDefault="002B292D">
            <w:pPr>
              <w:pStyle w:val="HuvudRubrik"/>
            </w:pPr>
            <w:r w:rsidRPr="00EA5ECE">
              <w:t>Faktapromemoria 2004/05:FPM66</w:t>
            </w:r>
          </w:p>
        </w:tc>
      </w:tr>
      <w:tr w:rsidR="00000000" w:rsidRPr="00EA5ECE">
        <w:tblPrEx>
          <w:tblCellMar>
            <w:top w:w="0" w:type="dxa"/>
            <w:left w:w="0" w:type="dxa"/>
            <w:bottom w:w="0" w:type="dxa"/>
            <w:right w:w="0" w:type="dxa"/>
          </w:tblCellMar>
        </w:tblPrEx>
        <w:trPr>
          <w:gridAfter w:val="2"/>
          <w:wAfter w:w="1758" w:type="dxa"/>
          <w:cantSplit/>
          <w:trHeight w:val="240"/>
        </w:trPr>
        <w:tc>
          <w:tcPr>
            <w:tcW w:w="5897" w:type="dxa"/>
          </w:tcPr>
          <w:p w:rsidR="002B292D" w:rsidRPr="00EA5ECE" w:rsidRDefault="002B292D">
            <w:pPr>
              <w:pStyle w:val="HuvudRubrik"/>
              <w:rPr>
                <w:sz w:val="28"/>
              </w:rPr>
            </w:pPr>
            <w:r w:rsidRPr="00EA5ECE">
              <w:t>Integrerade riktlinjer för tillväxt och sysselsättning 2005-2008</w:t>
            </w:r>
          </w:p>
        </w:tc>
      </w:tr>
      <w:tr w:rsidR="00E27136" w:rsidRPr="00EA5ECE">
        <w:tblPrEx>
          <w:tblCellMar>
            <w:top w:w="0" w:type="dxa"/>
            <w:left w:w="0" w:type="dxa"/>
            <w:bottom w:w="0" w:type="dxa"/>
            <w:right w:w="0" w:type="dxa"/>
          </w:tblCellMar>
        </w:tblPrEx>
        <w:trPr>
          <w:cantSplit/>
          <w:trHeight w:val="285"/>
        </w:trPr>
        <w:tc>
          <w:tcPr>
            <w:tcW w:w="7655" w:type="dxa"/>
            <w:gridSpan w:val="3"/>
          </w:tcPr>
          <w:p w:rsidR="00E27136" w:rsidRPr="00EA5ECE" w:rsidRDefault="0014312B">
            <w:pPr>
              <w:pStyle w:val="Departement"/>
              <w:rPr>
                <w:sz w:val="28"/>
              </w:rPr>
            </w:pPr>
            <w:r w:rsidRPr="00EA5ECE">
              <w:t>Statsrådsberedningen</w:t>
            </w:r>
          </w:p>
        </w:tc>
      </w:tr>
      <w:tr w:rsidR="00E27136" w:rsidRPr="00EA5ECE">
        <w:tblPrEx>
          <w:tblCellMar>
            <w:top w:w="0" w:type="dxa"/>
            <w:left w:w="0" w:type="dxa"/>
            <w:bottom w:w="0" w:type="dxa"/>
            <w:right w:w="0" w:type="dxa"/>
          </w:tblCellMar>
        </w:tblPrEx>
        <w:trPr>
          <w:cantSplit/>
          <w:trHeight w:val="240"/>
        </w:trPr>
        <w:tc>
          <w:tcPr>
            <w:tcW w:w="7655" w:type="dxa"/>
            <w:gridSpan w:val="3"/>
          </w:tcPr>
          <w:p w:rsidR="00E27136" w:rsidRPr="00EA5ECE" w:rsidRDefault="0014312B">
            <w:pPr>
              <w:pStyle w:val="Dokumentdatum"/>
            </w:pPr>
            <w:r w:rsidRPr="00EA5ECE">
              <w:t>2005-05-31</w:t>
            </w:r>
          </w:p>
        </w:tc>
      </w:tr>
      <w:tr w:rsidR="00E27136" w:rsidRPr="00EA5ECE">
        <w:tblPrEx>
          <w:tblCellMar>
            <w:top w:w="0" w:type="dxa"/>
            <w:left w:w="0" w:type="dxa"/>
            <w:bottom w:w="0" w:type="dxa"/>
            <w:right w:w="0" w:type="dxa"/>
          </w:tblCellMar>
        </w:tblPrEx>
        <w:trPr>
          <w:cantSplit/>
          <w:trHeight w:val="726"/>
        </w:trPr>
        <w:tc>
          <w:tcPr>
            <w:tcW w:w="7655" w:type="dxa"/>
            <w:gridSpan w:val="3"/>
            <w:vAlign w:val="bottom"/>
          </w:tcPr>
          <w:p w:rsidR="00E27136" w:rsidRPr="00EA5ECE" w:rsidRDefault="00E27136">
            <w:pPr>
              <w:pStyle w:val="Dokumentbeteckning"/>
            </w:pPr>
            <w:r w:rsidRPr="00EA5ECE">
              <w:t>Dokumentbeteckning</w:t>
            </w:r>
          </w:p>
        </w:tc>
      </w:tr>
      <w:tr w:rsidR="00E27136" w:rsidRPr="00EA5ECE">
        <w:tblPrEx>
          <w:tblCellMar>
            <w:top w:w="0" w:type="dxa"/>
            <w:left w:w="0" w:type="dxa"/>
            <w:bottom w:w="0" w:type="dxa"/>
            <w:right w:w="0" w:type="dxa"/>
          </w:tblCellMar>
        </w:tblPrEx>
        <w:trPr>
          <w:gridAfter w:val="1"/>
          <w:wAfter w:w="1560" w:type="dxa"/>
          <w:trHeight w:val="120"/>
        </w:trPr>
        <w:tc>
          <w:tcPr>
            <w:tcW w:w="6095" w:type="dxa"/>
            <w:gridSpan w:val="2"/>
          </w:tcPr>
          <w:p w:rsidR="00E27136" w:rsidRPr="00EA5ECE" w:rsidRDefault="0014312B" w:rsidP="00A00C9B">
            <w:bookmarkStart w:id="0" w:name="KomNr"/>
            <w:bookmarkEnd w:id="0"/>
            <w:r w:rsidRPr="00EA5ECE">
              <w:t>KOM(2005) 141</w:t>
            </w:r>
          </w:p>
        </w:tc>
      </w:tr>
      <w:tr w:rsidR="00A00C9B" w:rsidRPr="00EA5ECE">
        <w:tblPrEx>
          <w:tblCellMar>
            <w:top w:w="0" w:type="dxa"/>
            <w:left w:w="0" w:type="dxa"/>
            <w:bottom w:w="0" w:type="dxa"/>
            <w:right w:w="0" w:type="dxa"/>
          </w:tblCellMar>
        </w:tblPrEx>
        <w:trPr>
          <w:gridAfter w:val="1"/>
          <w:wAfter w:w="1560" w:type="dxa"/>
          <w:trHeight w:val="120"/>
        </w:trPr>
        <w:tc>
          <w:tcPr>
            <w:tcW w:w="6095" w:type="dxa"/>
            <w:gridSpan w:val="2"/>
          </w:tcPr>
          <w:p w:rsidR="00A00C9B" w:rsidRPr="00EA5ECE" w:rsidRDefault="0014312B" w:rsidP="00A00C9B">
            <w:pPr>
              <w:pStyle w:val="Dokumentbeteckning-titel"/>
            </w:pPr>
            <w:r w:rsidRPr="00EA5ECE">
              <w:t>Integrerade riktlinjer för tillväxt och sysselsättning 2005-2008. Meddelande från Ordförandeskapet inklusive Kommissionens rekommendationer till de allmänna riktlinjerna för den ekonomisk politikn samt Kommissionens förslag till riktlinjer för sysselsättningspolitiken i medlemstaterna</w:t>
            </w:r>
          </w:p>
        </w:tc>
      </w:tr>
    </w:tbl>
    <w:p w:rsidR="00E27136" w:rsidRPr="00EA5ECE" w:rsidRDefault="00E27136">
      <w:pPr>
        <w:pStyle w:val="Rubrik1"/>
        <w:numPr>
          <w:ilvl w:val="0"/>
          <w:numId w:val="0"/>
        </w:numPr>
      </w:pPr>
      <w:r w:rsidRPr="00EA5ECE">
        <w:t>Sammanfattning</w:t>
      </w:r>
    </w:p>
    <w:p w:rsidR="00E27136" w:rsidRPr="00EA5ECE" w:rsidRDefault="00E27136">
      <w:r w:rsidRPr="00EA5ECE">
        <w:t xml:space="preserve">Vid Europeiska rådets möte i mars 2005 beslutades att upprätta integrerade riktlinjer för unionen och medlemsstaternas genomförande av Lissabonstrategin. Riktlinjerna ska omfatta de allmänna riktlinjerna för den ekonomiska politiken respektive sysselsättningsriktlinjerna.  </w:t>
      </w:r>
    </w:p>
    <w:p w:rsidR="00E27136" w:rsidRPr="00EA5ECE" w:rsidRDefault="00E27136">
      <w:r w:rsidRPr="00EA5ECE">
        <w:t xml:space="preserve">Den 12 april presenterade kommissionen sitt förslag till integrerade riktlinjer för perioden 2005-2008. Förslaget till riktlinjer fokuserar på tillväxt och sysselsättning inom ramen för målsättningarna för hållbar utveckling. De integrerade riktlinjerna ska svara upp mot de utmaningar som unionen står inför med en ökad global konkurrens och åldrande befolkning. De fokuserar på reformer för ökad tillväxtpotential och fler och bättre jobb inom unionen med bibehållen sund makroekonomisk politik.  </w:t>
      </w:r>
    </w:p>
    <w:p w:rsidR="00E27136" w:rsidRPr="00EA5ECE" w:rsidRDefault="00E27136">
      <w:r w:rsidRPr="00EA5ECE">
        <w:t xml:space="preserve">Sverige kan välkomna förslaget till integrerade riktlinjer för genomförandet av Lissabonstrategin. Sverige bör framhålla att, i enlighet med slutsatserna från vårtoppmötet, ska samtliga tre dimensioner (ekonomiska, sociala och miljö) fortsatt ingå som tre inbördes beroende och ömsesidigt förstärkande delar av Lissabonstrategin. </w:t>
      </w:r>
    </w:p>
    <w:p w:rsidR="00E27136" w:rsidRPr="00EA5ECE" w:rsidRDefault="00E27136"/>
    <w:p w:rsidR="00E27136" w:rsidRPr="00EA5ECE" w:rsidRDefault="00E27136">
      <w:r w:rsidRPr="00EA5ECE">
        <w:t xml:space="preserve"> </w:t>
      </w:r>
    </w:p>
    <w:p w:rsidR="00E27136" w:rsidRPr="00EA5ECE" w:rsidRDefault="00E27136">
      <w:pPr>
        <w:pStyle w:val="Rubrik1"/>
      </w:pPr>
      <w:r w:rsidRPr="00EA5ECE">
        <w:lastRenderedPageBreak/>
        <w:t>Förslaget</w:t>
      </w:r>
    </w:p>
    <w:p w:rsidR="00E27136" w:rsidRPr="00EA5ECE" w:rsidRDefault="00E27136">
      <w:pPr>
        <w:pStyle w:val="Rubrik2"/>
      </w:pPr>
      <w:r w:rsidRPr="00EA5ECE">
        <w:t>Innehåll</w:t>
      </w:r>
    </w:p>
    <w:p w:rsidR="00E27136" w:rsidRPr="00EA5ECE" w:rsidRDefault="00E27136">
      <w:r w:rsidRPr="00EA5ECE">
        <w:t xml:space="preserve">Som ett resultat av halvtidsöversynen av Lissabonstrategin beslutades vid Europeiska rådets möte i mars 2005 att förbättra förutsättningarna för genomförandet av Lissabonstrategin och rationalisera uppföljningen. Beslut fattades att upprätta integrerade riktlinjer för unionen och medlemsstaternas genomförande av Lissabonstrategin. Riktlinjerna ska utformas i enlighet med de förfaranden som nämns i art 99 och 128 i EG-fördraget och därmed inkorporera de allmänna riktlinjerna för den ekonomiska politiken respektive sysselsättningsriktlinjerna.  </w:t>
      </w:r>
    </w:p>
    <w:p w:rsidR="00E27136" w:rsidRPr="00EA5ECE" w:rsidRDefault="00E27136">
      <w:r w:rsidRPr="00EA5ECE">
        <w:t xml:space="preserve">Den 12 april presenterade kommissionen sitt förslag till integrerade riktlinjer för perioden 2005-2008. Förslaget till riktlinjer avser att reflektera ambitionerna vid Europeiska rådet i mars 2005 att fokusera på tillväxt och sysselsättning inom ramen för målsättningarna för hållbar utveckling. Riktlinjerna bygger på en integrerad ansats där man utgår från att makro- och mikroekonomisk politik samt sysselsättningspolitik är inbördes beroende och ömsesidigt förstärkande. De integrerade riktlinjerna ska svara upp mot de utmaningar som unionen står inför med en ökad global konkurrens och åldrande befolkning. De fokuserar på reformer för ökad tillväxtpotential och fler och bättre jobb inom unionen med bibehållen sund makroekonomisk politik.  </w:t>
      </w:r>
    </w:p>
    <w:p w:rsidR="00E27136" w:rsidRPr="00EA5ECE" w:rsidRDefault="00E27136">
      <w:r w:rsidRPr="00EA5ECE">
        <w:t xml:space="preserve">Riktlinjerna ska bestå av två delar - de allmänna riktlinjerna för den ekonomiska politiken respektive sysselsättningsriktlinjerna. </w:t>
      </w:r>
    </w:p>
    <w:p w:rsidR="00E27136" w:rsidRPr="00EA5ECE" w:rsidRDefault="00E27136">
      <w:pPr>
        <w:rPr>
          <w:b/>
          <w:bCs/>
        </w:rPr>
      </w:pPr>
      <w:r w:rsidRPr="00EA5ECE">
        <w:rPr>
          <w:b/>
          <w:bCs/>
        </w:rPr>
        <w:t>Del 1 - De allmänna riktlinjerna för den ekonomiska politiken.</w:t>
      </w:r>
    </w:p>
    <w:p w:rsidR="00E27136" w:rsidRPr="00EA5ECE" w:rsidRDefault="00E27136">
      <w:r w:rsidRPr="00EA5ECE">
        <w:t>De allmänna riktlinjerna för den ekonomiska politiken är uppdelad i en makroekonomisk del fokuserad på åtgärder för sund makroekonomisk politik och stabilitet samt en mikroekonomisk del fokuserad på åtgärder för att göra unionen till ett mer attraktivt område att investera och arbeta samt optimera kunskap och innovationer för tillväxt.</w:t>
      </w:r>
    </w:p>
    <w:p w:rsidR="00E27136" w:rsidRPr="00EA5ECE" w:rsidRDefault="00E27136">
      <w:pPr>
        <w:rPr>
          <w:i/>
          <w:iCs/>
        </w:rPr>
      </w:pPr>
      <w:r w:rsidRPr="00EA5ECE">
        <w:rPr>
          <w:i/>
          <w:iCs/>
        </w:rPr>
        <w:t>Makroekonomiska riktlinjer</w:t>
      </w:r>
    </w:p>
    <w:p w:rsidR="00E27136" w:rsidRPr="00EA5ECE" w:rsidRDefault="00E27136">
      <w:r w:rsidRPr="00EA5ECE">
        <w:t xml:space="preserve">1: Säkerställa ekonomisk stabilitet </w:t>
      </w:r>
    </w:p>
    <w:p w:rsidR="00E27136" w:rsidRPr="00EA5ECE" w:rsidRDefault="00E27136">
      <w:r w:rsidRPr="00EA5ECE">
        <w:t xml:space="preserve">2: Säkra ekonomisk hållbarhet </w:t>
      </w:r>
    </w:p>
    <w:p w:rsidR="00E27136" w:rsidRPr="00EA5ECE" w:rsidRDefault="00E27136">
      <w:r w:rsidRPr="00EA5ECE">
        <w:t xml:space="preserve">3: Främja ett effektivt resursutnyttjande </w:t>
      </w:r>
    </w:p>
    <w:p w:rsidR="00E27136" w:rsidRPr="00EA5ECE" w:rsidRDefault="00E27136">
      <w:r w:rsidRPr="00EA5ECE">
        <w:t xml:space="preserve">4: Främja större samstämmighet mellan makroekonomisk och strukturpolitik </w:t>
      </w:r>
    </w:p>
    <w:p w:rsidR="00E27136" w:rsidRPr="00EA5ECE" w:rsidRDefault="00E27136">
      <w:r w:rsidRPr="00EA5ECE">
        <w:t xml:space="preserve">5: Säkerställa att löneutvecklingen bidrar till makroekonomisk stabilitet, tillväxt och anpassningsbarhet </w:t>
      </w:r>
    </w:p>
    <w:p w:rsidR="00E27136" w:rsidRPr="00EA5ECE" w:rsidRDefault="00E27136">
      <w:r w:rsidRPr="00EA5ECE">
        <w:t xml:space="preserve">6: Bidra till ett dynamisk och väl fungerande EMU </w:t>
      </w:r>
    </w:p>
    <w:p w:rsidR="00E27136" w:rsidRPr="00EA5ECE" w:rsidRDefault="00E27136">
      <w:pPr>
        <w:rPr>
          <w:i/>
          <w:iCs/>
        </w:rPr>
      </w:pPr>
    </w:p>
    <w:p w:rsidR="00E27136" w:rsidRPr="00EA5ECE" w:rsidRDefault="00E27136">
      <w:pPr>
        <w:rPr>
          <w:i/>
          <w:iCs/>
        </w:rPr>
      </w:pPr>
      <w:r w:rsidRPr="00EA5ECE">
        <w:rPr>
          <w:i/>
          <w:iCs/>
        </w:rPr>
        <w:t>Mikroekonomisk riktlinjer</w:t>
      </w:r>
    </w:p>
    <w:p w:rsidR="00E27136" w:rsidRPr="00EA5ECE" w:rsidRDefault="00E27136">
      <w:r w:rsidRPr="00EA5ECE">
        <w:t xml:space="preserve">7: Utvidga och fördjupa den inre marknaden </w:t>
      </w:r>
    </w:p>
    <w:p w:rsidR="00E27136" w:rsidRPr="00EA5ECE" w:rsidRDefault="00E27136">
      <w:r w:rsidRPr="00EA5ECE">
        <w:t xml:space="preserve">8: Säkerställa öppna och konkurrenskraftiga marknader </w:t>
      </w:r>
    </w:p>
    <w:p w:rsidR="00E27136" w:rsidRPr="00EA5ECE" w:rsidRDefault="00E27136">
      <w:r w:rsidRPr="00EA5ECE">
        <w:t xml:space="preserve">9: Skapa ett mer attraktivt företagsklimat </w:t>
      </w:r>
    </w:p>
    <w:p w:rsidR="00E27136" w:rsidRPr="00EA5ECE" w:rsidRDefault="00E27136">
      <w:r w:rsidRPr="00EA5ECE">
        <w:t>10: Främja en starkare kultur för entreprenörskap och skapa ett företagsvänligt klimat för små och medelstora företag</w:t>
      </w:r>
    </w:p>
    <w:p w:rsidR="00E27136" w:rsidRPr="00EA5ECE" w:rsidRDefault="00E27136">
      <w:r w:rsidRPr="00EA5ECE">
        <w:t xml:space="preserve">11: Utvidga och förbättra Europas infrastruktur och färdigställa överenskomna gränsöverskridande projekt </w:t>
      </w:r>
    </w:p>
    <w:p w:rsidR="00E27136" w:rsidRPr="00EA5ECE" w:rsidRDefault="00E27136">
      <w:r w:rsidRPr="00EA5ECE">
        <w:t xml:space="preserve">12: Öka och förbättra investeringar i forskning och utveckling </w:t>
      </w:r>
    </w:p>
    <w:p w:rsidR="00E27136" w:rsidRPr="00EA5ECE" w:rsidRDefault="00E27136">
      <w:r w:rsidRPr="00EA5ECE">
        <w:t xml:space="preserve">13: Underlätta för innovationer och införandet av informations och kommunikations teknologi </w:t>
      </w:r>
    </w:p>
    <w:p w:rsidR="00E27136" w:rsidRPr="00EA5ECE" w:rsidRDefault="00E27136">
      <w:r w:rsidRPr="00EA5ECE">
        <w:t xml:space="preserve">14: Uppmuntra ett hållbart användande av resurser och stärka synergierna mellan en pro-aktiv miljöpolitik och tillväxt </w:t>
      </w:r>
    </w:p>
    <w:p w:rsidR="00E27136" w:rsidRPr="00EA5ECE" w:rsidRDefault="00E27136">
      <w:r w:rsidRPr="00EA5ECE">
        <w:t xml:space="preserve">15: Bidra till en stark europeisk industriell bas </w:t>
      </w:r>
    </w:p>
    <w:p w:rsidR="00E27136" w:rsidRPr="00EA5ECE" w:rsidRDefault="00E27136">
      <w:pPr>
        <w:rPr>
          <w:b/>
          <w:bCs/>
        </w:rPr>
      </w:pPr>
      <w:r w:rsidRPr="00EA5ECE">
        <w:rPr>
          <w:b/>
          <w:bCs/>
        </w:rPr>
        <w:t>Del 2 – Sysselsättningsriktlinjerna</w:t>
      </w:r>
    </w:p>
    <w:p w:rsidR="00E27136" w:rsidRPr="00EA5ECE" w:rsidRDefault="00E27136">
      <w:r w:rsidRPr="00EA5ECE">
        <w:t>Sysselsättningsriktlinjerna är indelade under tre huvudrubriker i linje med Kok-rapporten från november 2003: Få in och behålla fler personer på arbetsmarknaden samt modernisera socialförsäkringssystemen; Främja anpassbarheten bland arbetstagare och företag samt arbetsmarknadens flexibilitet samt Investera mer i humankapital genom bättre utbildning och kunskap.</w:t>
      </w:r>
    </w:p>
    <w:p w:rsidR="00E27136" w:rsidRPr="00EA5ECE" w:rsidRDefault="00E27136">
      <w:r w:rsidRPr="00EA5ECE">
        <w:t>16: Genomföra en sysselsättningspolitik som syftar till att uppnå full sysselsättning, förbättrad kvalitet och produktivitet i arbete samt förstärkt social och territoriell sammanhållning samt uppnå de gemensamma sysselsättningsmål.</w:t>
      </w:r>
    </w:p>
    <w:p w:rsidR="00E27136" w:rsidRPr="00EA5ECE" w:rsidRDefault="00E27136">
      <w:r w:rsidRPr="00EA5ECE">
        <w:t xml:space="preserve">17: Främja en livscykelbaserad ansats till arbete </w:t>
      </w:r>
    </w:p>
    <w:p w:rsidR="00E27136" w:rsidRPr="00EA5ECE" w:rsidRDefault="00E27136">
      <w:r w:rsidRPr="00EA5ECE">
        <w:t xml:space="preserve">18: Säkerställa arbetsmarknader öppna för alla arbetssökande och missgynnade grupper </w:t>
      </w:r>
    </w:p>
    <w:p w:rsidR="00E27136" w:rsidRPr="00EA5ECE" w:rsidRDefault="00E27136">
      <w:r w:rsidRPr="00EA5ECE">
        <w:t xml:space="preserve">19: Förbättra matchningen på arbetsmarknaden </w:t>
      </w:r>
    </w:p>
    <w:p w:rsidR="00E27136" w:rsidRPr="00EA5ECE" w:rsidRDefault="00E27136">
      <w:r w:rsidRPr="00EA5ECE">
        <w:t xml:space="preserve">20: Främja flexibilitet i kombination med anställningstrygghet, och minska segmenteringen på arbetsmarknaden </w:t>
      </w:r>
    </w:p>
    <w:p w:rsidR="00E27136" w:rsidRPr="00EA5ECE" w:rsidRDefault="00E27136">
      <w:r w:rsidRPr="00EA5ECE">
        <w:t xml:space="preserve">21: Säkerställa en sysselsättningsvänlig utveckling av löner och lönekostnader </w:t>
      </w:r>
    </w:p>
    <w:p w:rsidR="00E27136" w:rsidRPr="00EA5ECE" w:rsidRDefault="00E27136">
      <w:r w:rsidRPr="00EA5ECE">
        <w:t xml:space="preserve">22: Utvidga och förbättra investeringarna i humankapital </w:t>
      </w:r>
    </w:p>
    <w:p w:rsidR="00E27136" w:rsidRPr="00EA5ECE" w:rsidRDefault="00E27136">
      <w:r w:rsidRPr="00EA5ECE">
        <w:t xml:space="preserve">23: Anpassa utbildnings- och yrkesutbildningssystemen till nya kompetenskrav </w:t>
      </w:r>
    </w:p>
    <w:p w:rsidR="00E27136" w:rsidRPr="00EA5ECE" w:rsidRDefault="00E27136">
      <w:r w:rsidRPr="00EA5ECE">
        <w:t>De integrerade riktlinjerna ska gälla i tre år under perioden 2005-2008 De ska ligga till grund för medlemsstaternas nationella handlingsprogram för samma period som ska presenteras hösten 2005. Kommissionen ska, som ett komplement till de nationella programmen, presentera ett gemenskapens Lissabonprogram som omfattar alla de åtgärder som vidtas på gemenskapsnivå för att uppnå tillväxt och sysselsättning.</w:t>
      </w:r>
    </w:p>
    <w:p w:rsidR="00E27136" w:rsidRPr="00EA5ECE" w:rsidRDefault="00E27136">
      <w:r w:rsidRPr="00EA5ECE">
        <w:t>Hösten 2006 skall medlemsstaterna presentera sin första samlade rapport om genomförande av handlingsprogrammen. Kommissionen ska vidare avlägga en årlig rapport om genomförandet av strategin i dess tre dimensioner. På grundval av kommissionens analys ska Europeiska rådet årligen gå genom framstegen och yttra sig om de eventuella justeringar av de integrerade riktlinjerna som kan bli nödvändiga.</w:t>
      </w:r>
    </w:p>
    <w:p w:rsidR="00E27136" w:rsidRPr="00EA5ECE" w:rsidRDefault="00E27136">
      <w:pPr>
        <w:pStyle w:val="Rubrik2"/>
      </w:pPr>
      <w:r w:rsidRPr="00EA5ECE">
        <w:t>Gällande svenska regler och förslagets effekt på dessa</w:t>
      </w:r>
    </w:p>
    <w:p w:rsidR="00E27136" w:rsidRPr="00EA5ECE" w:rsidRDefault="00E27136">
      <w:r w:rsidRPr="00EA5ECE">
        <w:t>Ej aktuell.</w:t>
      </w:r>
    </w:p>
    <w:p w:rsidR="00E27136" w:rsidRPr="00EA5ECE" w:rsidRDefault="00E27136">
      <w:pPr>
        <w:pStyle w:val="Rubrik2"/>
      </w:pPr>
      <w:r w:rsidRPr="00EA5ECE">
        <w:t>Budgetära konsekvenser</w:t>
      </w:r>
    </w:p>
    <w:p w:rsidR="00E27136" w:rsidRPr="00EA5ECE" w:rsidRDefault="00E27136">
      <w:r w:rsidRPr="00EA5ECE">
        <w:t>De åtgärder som syftar till Lissabonstrategins genomförande i Sverige finansieras genom förslag till utgiftsramar och anslag i ekonomiska vårpropositionen samt budgetpropositionen.</w:t>
      </w:r>
    </w:p>
    <w:p w:rsidR="00E27136" w:rsidRPr="00EA5ECE" w:rsidRDefault="00E27136">
      <w:pPr>
        <w:pStyle w:val="Rubrik1"/>
      </w:pPr>
      <w:r w:rsidRPr="00EA5ECE">
        <w:t>Ståndpunkter</w:t>
      </w:r>
    </w:p>
    <w:p w:rsidR="00E27136" w:rsidRPr="00EA5ECE" w:rsidRDefault="00E27136">
      <w:pPr>
        <w:pStyle w:val="Rubrik2"/>
      </w:pPr>
      <w:r w:rsidRPr="00EA5ECE">
        <w:t>Svensk ståndpunkt</w:t>
      </w:r>
    </w:p>
    <w:p w:rsidR="00E27136" w:rsidRPr="00EA5ECE" w:rsidRDefault="00E27136">
      <w:r w:rsidRPr="00EA5ECE">
        <w:t xml:space="preserve">Sverige kan välkomna förslaget till integrerade riktlinjer för genomförandet av Lissabonstrategin. Sverige bör framhålla att i enlighet med slutsatserna från vårtoppmötet ska samtliga tre dimensioner (ekonomiska, sociala och miljö) fortsatt ingå som tre inbördes beroende och ömsesidigt förstärkande delar av Lissabonstrategin. </w:t>
      </w:r>
    </w:p>
    <w:p w:rsidR="00E27136" w:rsidRPr="00EA5ECE" w:rsidRDefault="00E27136">
      <w:r w:rsidRPr="00EA5ECE">
        <w:t xml:space="preserve">Riktlinjerna bör i större utsträckning inkludera tidigare överenskomna kvantitativa mål. Det är även av central betydelse att den årliga uppföljningsprocessen fortsättningsvis innehåller landspecifika rekommendationer och utgår från gemensamma strukturindikatorer. </w:t>
      </w:r>
    </w:p>
    <w:p w:rsidR="00E27136" w:rsidRPr="00EA5ECE" w:rsidRDefault="00E27136">
      <w:r w:rsidRPr="00EA5ECE">
        <w:t xml:space="preserve">Sverige bör verka för ett integrerat jämställdhetsperspektiv i riktlinjepaketet och att vikten av ett genderperspektiv i genomförandet av riktlinjerna och de nationella handlingsprogrammen framhålls. </w:t>
      </w:r>
    </w:p>
    <w:p w:rsidR="00E27136" w:rsidRPr="00EA5ECE" w:rsidRDefault="00E27136">
      <w:r w:rsidRPr="00EA5ECE">
        <w:t>Sverige bör verka för att hållbarhetsperspektivet stärks i riktlinjerna och att MS i genomförandet av Lissabonstrategin och de nationella handlingsplanerna beaktar det övergripande målet om hållbar utveckling.</w:t>
      </w:r>
    </w:p>
    <w:p w:rsidR="00E27136" w:rsidRPr="00EA5ECE" w:rsidRDefault="00E27136"/>
    <w:p w:rsidR="00E27136" w:rsidRPr="00EA5ECE" w:rsidRDefault="00E27136">
      <w:r w:rsidRPr="00EA5ECE">
        <w:t>Sverige bör generellt verka för att riktlinjerna betonar ökad öppenhet och konkurrens för att främja förutsättningarna för hållbar tillväxt och sysselsättning. S bör verka för att vikten av ökat arbetskraftsutbud tydliggörs i riktlinjerna samt driva att den externa handelsdimensionen stärks i riktlinjepaketet. Sverige kan särskilt välkomna hänvisningen till ungdomspakten i riktlinjepaketet.</w:t>
      </w:r>
    </w:p>
    <w:p w:rsidR="00E27136" w:rsidRPr="00EA5ECE" w:rsidRDefault="00E27136">
      <w:r w:rsidRPr="00EA5ECE">
        <w:t xml:space="preserve">Sverige välkomnar den nya styrstrukturen. I enlighet med slutsatserna från vårtoppmötet ska samtliga tre dimensioner (ekonomiska, sociala och miljö) fortsatt ingå som tre inbördes beroende och ömsesidigt förstärkande delar av Lissabonstrategin - detta måste avspeglas i den fortsatta processen inom den nya styrstrukturen.  </w:t>
      </w:r>
    </w:p>
    <w:p w:rsidR="00E27136" w:rsidRPr="00EA5ECE" w:rsidRDefault="00E27136">
      <w:pPr>
        <w:pStyle w:val="Rubrik2"/>
      </w:pPr>
      <w:r w:rsidRPr="00EA5ECE">
        <w:t>Medlemsstaternas ståndpunkter</w:t>
      </w:r>
    </w:p>
    <w:p w:rsidR="00E27136" w:rsidRPr="00EA5ECE" w:rsidRDefault="00E27136">
      <w:r w:rsidRPr="00EA5ECE">
        <w:t xml:space="preserve">Överlag råder samsyn om de integrerade riktlinjerna i linje med Europeiska rådets slutsatser och att de ska fokusera på tillväxt och sysselsättning inom ramen för målsättningarna för hållbar utveckling. Medlemsstaterna är eniga om att ett integrerat riktlinjepaket ska ligga till grund för de nationella handlingsprogrammen.  </w:t>
      </w:r>
    </w:p>
    <w:p w:rsidR="00E27136" w:rsidRPr="00EA5ECE" w:rsidRDefault="00E27136">
      <w:pPr>
        <w:pStyle w:val="Rubrik2"/>
      </w:pPr>
      <w:r w:rsidRPr="00EA5ECE">
        <w:t>Institutionernas ståndpunkter</w:t>
      </w:r>
    </w:p>
    <w:p w:rsidR="00E27136" w:rsidRPr="00EA5ECE" w:rsidRDefault="00E27136"/>
    <w:p w:rsidR="00E27136" w:rsidRPr="00EA5ECE" w:rsidRDefault="00E27136">
      <w:pPr>
        <w:pStyle w:val="Rubrik2"/>
      </w:pPr>
      <w:r w:rsidRPr="00EA5ECE">
        <w:t>Remissinstansernas ståndpunkter</w:t>
      </w:r>
    </w:p>
    <w:p w:rsidR="00E27136" w:rsidRPr="00EA5ECE" w:rsidRDefault="00E27136"/>
    <w:p w:rsidR="00E27136" w:rsidRPr="00EA5ECE" w:rsidRDefault="00E27136">
      <w:pPr>
        <w:pStyle w:val="Rubrik1"/>
      </w:pPr>
      <w:r w:rsidRPr="00EA5ECE">
        <w:t>Övrigt</w:t>
      </w:r>
    </w:p>
    <w:p w:rsidR="00E27136" w:rsidRPr="00EA5ECE" w:rsidRDefault="00E27136">
      <w:pPr>
        <w:pStyle w:val="Rubrik2"/>
      </w:pPr>
      <w:r w:rsidRPr="00EA5ECE">
        <w:t>Fortsatt behandling av ärendet</w:t>
      </w:r>
    </w:p>
    <w:p w:rsidR="00E27136" w:rsidRPr="00EA5ECE" w:rsidRDefault="00E27136">
      <w:r w:rsidRPr="00EA5ECE">
        <w:t>I samband med presentationen av riktlinjepaketet presenterade ordförandeskapet ett förslag till tidtabell för den fortsatta hanteringen. Riktlinjepaketet ska behandlas i ECOFIN-rådet (allmänna riktlinjerna för den ekonomiska politiken) samt EPSCO-rådet (sysselsättningsriktlinjerna) efter föregående behandling i de respektive rådgivande kommittéerna (Ekonomisk politiska kommittén, Ekonomisk och finanspolitiska kommittén och Sysselsättningskommittén) samt Coreper. Övriga berörda rådsformationer förväntas hantera förslaget på arbetsgruppsnivå (däribland Konkurrenskraft- rådets högnivågrupp) och lämna ett bidrag/yttrande till Coreper I för fortsatt hantering. Resultatet av förhandlingarna i Coreper I går vidare till Coreper II för en enhetlig hantering av de ekonomiska riktlinjerna i ECOFIN-rådet. Efter hanteringen i rådet presenteras ett nytt utkast inför Europeiska rådet i juni för slutligt antagande av rådet i slutet av juni.</w:t>
      </w:r>
    </w:p>
    <w:p w:rsidR="00E27136" w:rsidRPr="00EA5ECE" w:rsidRDefault="00E27136">
      <w:pPr>
        <w:pStyle w:val="Rubrik2"/>
      </w:pPr>
      <w:r w:rsidRPr="00EA5ECE">
        <w:t>Rättslig grund och beslutsförfarande</w:t>
      </w:r>
    </w:p>
    <w:p w:rsidR="00E27136" w:rsidRPr="00EA5ECE" w:rsidRDefault="00E27136">
      <w:r w:rsidRPr="00EA5ECE">
        <w:t>Artikel 99 i EG-fördraget</w:t>
      </w:r>
    </w:p>
    <w:p w:rsidR="00E27136" w:rsidRPr="00EA5ECE" w:rsidRDefault="00E27136">
      <w:r w:rsidRPr="00EA5ECE">
        <w:t>Artikel 128 i EG-fördraget</w:t>
      </w:r>
    </w:p>
    <w:p w:rsidR="00E27136" w:rsidRPr="00EA5ECE" w:rsidRDefault="00E27136">
      <w:pPr>
        <w:pStyle w:val="Rubrik2"/>
      </w:pPr>
      <w:r w:rsidRPr="00EA5ECE">
        <w:t>Fackuttryck/termer</w:t>
      </w:r>
    </w:p>
    <w:p w:rsidR="00E27136" w:rsidRPr="00EA5ECE" w:rsidRDefault="00E27136"/>
    <w:sectPr w:rsidR="00E27136" w:rsidRPr="00EA5EC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92D" w:rsidRPr="00EA5ECE" w:rsidRDefault="002B292D">
      <w:r w:rsidRPr="00EA5ECE">
        <w:separator/>
      </w:r>
    </w:p>
  </w:endnote>
  <w:endnote w:type="continuationSeparator" w:id="0">
    <w:p w:rsidR="002B292D" w:rsidRPr="00EA5ECE" w:rsidRDefault="002B292D">
      <w:r w:rsidRPr="00EA5E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36" w:rsidRPr="00EA5ECE" w:rsidRDefault="00E271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36" w:rsidRPr="00EA5ECE" w:rsidRDefault="00802902">
    <w:pPr>
      <w:pStyle w:val="SidfotH"/>
      <w:framePr w:wrap="around"/>
    </w:pPr>
    <w:r w:rsidRPr="00EA5ECE">
      <w:t>6</w:t>
    </w:r>
  </w:p>
  <w:p w:rsidR="00E27136" w:rsidRPr="00EA5ECE" w:rsidRDefault="00E271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36" w:rsidRPr="00EA5ECE" w:rsidRDefault="002B292D">
    <w:pPr>
      <w:pStyle w:val="SidfotH"/>
      <w:framePr w:wrap="around"/>
    </w:pPr>
    <w:r w:rsidRPr="00EA5ECE">
      <w:t>1</w:t>
    </w:r>
  </w:p>
  <w:p w:rsidR="00E27136" w:rsidRPr="00EA5ECE" w:rsidRDefault="00E271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92D" w:rsidRPr="00EA5ECE" w:rsidRDefault="002B292D">
      <w:r w:rsidRPr="00EA5ECE">
        <w:separator/>
      </w:r>
    </w:p>
  </w:footnote>
  <w:footnote w:type="continuationSeparator" w:id="0">
    <w:p w:rsidR="002B292D" w:rsidRPr="00EA5ECE" w:rsidRDefault="002B292D">
      <w:r w:rsidRPr="00EA5E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36" w:rsidRPr="00EA5ECE" w:rsidRDefault="00E271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36" w:rsidRPr="00EA5ECE" w:rsidRDefault="0014312B">
    <w:pPr>
      <w:pStyle w:val="Kantrubrik"/>
      <w:framePr w:h="1157" w:hRule="exact" w:wrap="around" w:y="738"/>
    </w:pPr>
    <w:r w:rsidRPr="00EA5ECE">
      <w:t>2004/05</w:t>
    </w:r>
    <w:r w:rsidR="00E27136" w:rsidRPr="00EA5ECE">
      <w:t>:</w:t>
    </w:r>
    <w:r w:rsidRPr="00EA5ECE">
      <w:t>FPM66</w:t>
    </w:r>
  </w:p>
  <w:p w:rsidR="00E27136" w:rsidRPr="00EA5ECE" w:rsidRDefault="00E2713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36" w:rsidRPr="00EA5ECE" w:rsidRDefault="00EA5ECE">
    <w:pPr>
      <w:pStyle w:val="Sidhuvud"/>
    </w:pPr>
    <w:r w:rsidRPr="00EA5EC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603517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E27136" w:rsidRDefault="00E2713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E27136" w:rsidRDefault="00E27136">
                    <w:pPr>
                      <w:pStyle w:val="Logo"/>
                    </w:pPr>
                    <w:r>
                      <w:object w:dxaOrig="840" w:dyaOrig="1545">
                        <v:shape id="_x0000_i1025" type="#_x0000_t75" style="width:42pt;height:77.15pt" fillcolor="window">
                          <v:imagedata r:id="rId1" o:title=""/>
                        </v:shape>
                        <o:OLEObject Type="Embed" ProgID="Word.Picture.8" ShapeID="_x0000_i1025" DrawAspect="Content" ObjectID="_18274201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66120780">
    <w:abstractNumId w:val="4"/>
  </w:num>
  <w:num w:numId="2" w16cid:durableId="1913076624">
    <w:abstractNumId w:val="1"/>
  </w:num>
  <w:num w:numId="3" w16cid:durableId="1207252458">
    <w:abstractNumId w:val="2"/>
  </w:num>
  <w:num w:numId="4" w16cid:durableId="65957559">
    <w:abstractNumId w:val="3"/>
  </w:num>
  <w:num w:numId="5" w16cid:durableId="821701011">
    <w:abstractNumId w:val="5"/>
  </w:num>
  <w:num w:numId="6" w16cid:durableId="42657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5-31"/>
    <w:docVar w:name="Ar" w:val="2004/05"/>
    <w:docVar w:name="Dep" w:val="Statsrådsberedningen"/>
    <w:docVar w:name="DepWeb" w:val="Statsrådsberedningen"/>
    <w:docVar w:name="GDB1" w:val="KOM(2005) 14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Integrerade riktlinjer för tillväxt och sysselsättning 2005-2008. Meddelande från Ordförandeskapet inklusive Kommissionens rekommendationer till de allmänna riktlinjerna för den ekonomisk politikn samt Kommissionens förslag till riktlinjer för sysselsättningspolitiken i medlemstat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141"/>
    <w:docVar w:name="Nr" w:val="66"/>
    <w:docVar w:name="Rub" w:val="Integrerade riktlinjer för tillväxt och sysselsättning 2005-2008"/>
    <w:docVar w:name="UppDat" w:val="2005-05-31"/>
    <w:docVar w:name="Utsk" w:val="Finansutskottet"/>
  </w:docVars>
  <w:rsids>
    <w:rsidRoot w:val="00EA5ECE"/>
    <w:rsid w:val="0014312B"/>
    <w:rsid w:val="002B292D"/>
    <w:rsid w:val="00802902"/>
    <w:rsid w:val="00A00C9B"/>
    <w:rsid w:val="00E27136"/>
    <w:rsid w:val="00EA5E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00C7D0-CD23-48D9-B901-8EB9FFD9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1259</Words>
  <Characters>8765</Characters>
  <Application>Microsoft Office Word</Application>
  <DocSecurity>4</DocSecurity>
  <Lines>182</Lines>
  <Paragraphs>80</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2005-05-31T12:31:00Z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66</vt:lpwstr>
  </property>
  <property fmtid="{D5CDD505-2E9C-101B-9397-08002B2CF9AE}" pid="4" name="GDB1">
    <vt:lpwstr>KOM(2005) 141</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Integrerade riktlinjer för tillväxt och sysselsättning 2005-2008</vt:lpwstr>
  </property>
  <property fmtid="{D5CDD505-2E9C-101B-9397-08002B2CF9AE}" pid="8" name="UppDat">
    <vt:lpwstr>2005-05-31</vt:lpwstr>
  </property>
  <property fmtid="{D5CDD505-2E9C-101B-9397-08002B2CF9AE}" pid="9" name="AnkDat">
    <vt:lpwstr>2005-05-31</vt:lpwstr>
  </property>
  <property fmtid="{D5CDD505-2E9C-101B-9397-08002B2CF9AE}" pid="10" name="Utsk">
    <vt:lpwstr>Finansutskottet</vt:lpwstr>
  </property>
  <property fmtid="{D5CDD505-2E9C-101B-9397-08002B2CF9AE}" pid="11" name="Ar">
    <vt:lpwstr>2004/05</vt:lpwstr>
  </property>
  <property fmtid="{D5CDD505-2E9C-101B-9397-08002B2CF9AE}" pid="12" name="DepID">
    <vt:lpwstr>1;0;0;190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NEJ</vt:lpwstr>
  </property>
  <property fmtid="{D5CDD505-2E9C-101B-9397-08002B2CF9AE}" pid="28" name="Försvarsdepartementet">
    <vt:lpwstr>NEJ</vt:lpwstr>
  </property>
  <property fmtid="{D5CDD505-2E9C-101B-9397-08002B2CF9AE}" pid="29" name="Jordbruksdepartementet">
    <vt:lpwstr>NEJ</vt:lpwstr>
  </property>
  <property fmtid="{D5CDD505-2E9C-101B-9397-08002B2CF9AE}" pid="30" name="Justitiedepartementet">
    <vt:lpwstr>NEJ</vt:lpwstr>
  </property>
  <property fmtid="{D5CDD505-2E9C-101B-9397-08002B2CF9AE}" pid="31" name="Kulturdepartementet">
    <vt:lpwstr>NEJ</vt:lpwstr>
  </property>
  <property fmtid="{D5CDD505-2E9C-101B-9397-08002B2CF9AE}" pid="32" name="Miljö- och samhällsbyggnadsdepartementet">
    <vt:lpwstr>NEJ</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JA</vt:lpwstr>
  </property>
  <property fmtid="{D5CDD505-2E9C-101B-9397-08002B2CF9AE}" pid="36" name="Utbildnings- och kulturdepartementet">
    <vt:lpwstr>NEJ</vt:lpwstr>
  </property>
  <property fmtid="{D5CDD505-2E9C-101B-9397-08002B2CF9AE}" pid="37" name="Utrikesdepartementet">
    <vt:lpwstr>NEJ</vt:lpwstr>
  </property>
  <property fmtid="{D5CDD505-2E9C-101B-9397-08002B2CF9AE}" pid="38" name="Epostadress">
    <vt:lpwstr>ta0108aa</vt:lpwstr>
  </property>
</Properties>
</file>