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8E3706">
              <w:rPr>
                <w:b/>
              </w:rPr>
              <w:t>19</w:t>
            </w:r>
            <w:r w:rsidRPr="007A327C">
              <w:rPr>
                <w:b/>
              </w:rPr>
              <w:t>/</w:t>
            </w:r>
            <w:r w:rsidR="008E3706">
              <w:rPr>
                <w:b/>
              </w:rPr>
              <w:t>20</w:t>
            </w:r>
            <w:r w:rsidR="004F680C" w:rsidRPr="007A327C">
              <w:rPr>
                <w:b/>
              </w:rPr>
              <w:t>:</w:t>
            </w:r>
            <w:r w:rsidR="002C7839">
              <w:rPr>
                <w:b/>
              </w:rPr>
              <w:t>26</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525B2F">
              <w:t>03-03</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2C7839">
              <w:t>12</w:t>
            </w:r>
            <w:r w:rsidR="00525B2F">
              <w:t>.</w:t>
            </w:r>
            <w:r w:rsidR="002C7839">
              <w:t>10</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8E3706">
            <w:pPr>
              <w:tabs>
                <w:tab w:val="left" w:pos="1701"/>
              </w:tabs>
              <w:rPr>
                <w:snapToGrid w:val="0"/>
              </w:rPr>
            </w:pPr>
            <w:r>
              <w:rPr>
                <w:snapToGrid w:val="0"/>
              </w:rPr>
              <w:t xml:space="preserve">Utskottet justerade protokoll </w:t>
            </w:r>
            <w:r w:rsidRPr="007A327C">
              <w:rPr>
                <w:snapToGrid w:val="0"/>
              </w:rPr>
              <w:t>20</w:t>
            </w:r>
            <w:r w:rsidR="00A827D2">
              <w:rPr>
                <w:snapToGrid w:val="0"/>
              </w:rPr>
              <w:t>1</w:t>
            </w:r>
            <w:r w:rsidR="008E3706">
              <w:rPr>
                <w:snapToGrid w:val="0"/>
              </w:rPr>
              <w:t>9</w:t>
            </w:r>
            <w:r w:rsidRPr="007A327C">
              <w:rPr>
                <w:snapToGrid w:val="0"/>
              </w:rPr>
              <w:t>/</w:t>
            </w:r>
            <w:r w:rsidR="008E3706">
              <w:rPr>
                <w:snapToGrid w:val="0"/>
              </w:rPr>
              <w:t>20</w:t>
            </w:r>
            <w:r w:rsidRPr="007A327C">
              <w:rPr>
                <w:snapToGrid w:val="0"/>
              </w:rPr>
              <w:t>:</w:t>
            </w:r>
            <w:r w:rsidR="002C7839">
              <w:rPr>
                <w:snapToGrid w:val="0"/>
              </w:rPr>
              <w:t>25.</w:t>
            </w:r>
          </w:p>
          <w:p w:rsidR="002C7839" w:rsidRPr="007A327C" w:rsidRDefault="002C7839" w:rsidP="008E3706">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2C7839" w:rsidP="00F5133A">
            <w:pPr>
              <w:tabs>
                <w:tab w:val="left" w:pos="1701"/>
              </w:tabs>
              <w:rPr>
                <w:rFonts w:eastAsiaTheme="minorHAnsi"/>
                <w:b/>
                <w:bCs/>
                <w:color w:val="000000"/>
                <w:szCs w:val="24"/>
                <w:lang w:eastAsia="en-US"/>
              </w:rPr>
            </w:pPr>
            <w:r w:rsidRPr="00900F45">
              <w:rPr>
                <w:rFonts w:eastAsiaTheme="minorHAnsi"/>
                <w:b/>
                <w:bCs/>
                <w:color w:val="000000"/>
                <w:szCs w:val="24"/>
                <w:lang w:eastAsia="en-US"/>
              </w:rPr>
              <w:t>Förstärkt nedsättning av arbetsgivaravgifter för personer som arbetar med forskning eller utveckling (SfU15)</w:t>
            </w:r>
          </w:p>
          <w:p w:rsidR="002C7839" w:rsidRDefault="002C7839" w:rsidP="00F5133A">
            <w:pPr>
              <w:tabs>
                <w:tab w:val="left" w:pos="1701"/>
              </w:tabs>
              <w:rPr>
                <w:snapToGrid w:val="0"/>
              </w:rPr>
            </w:pPr>
          </w:p>
          <w:p w:rsidR="002C7839" w:rsidRDefault="002C7839" w:rsidP="00F5133A">
            <w:pPr>
              <w:tabs>
                <w:tab w:val="left" w:pos="1701"/>
              </w:tabs>
              <w:rPr>
                <w:snapToGrid w:val="0"/>
              </w:rPr>
            </w:pPr>
            <w:r>
              <w:rPr>
                <w:snapToGrid w:val="0"/>
              </w:rPr>
              <w:t xml:space="preserve">Utskottet fortsatte behandlingen av proposition 2019/20:68 och motioner. </w:t>
            </w:r>
          </w:p>
          <w:p w:rsidR="002C7839" w:rsidRDefault="002C7839" w:rsidP="00F5133A">
            <w:pPr>
              <w:tabs>
                <w:tab w:val="left" w:pos="1701"/>
              </w:tabs>
              <w:rPr>
                <w:snapToGrid w:val="0"/>
              </w:rPr>
            </w:pPr>
          </w:p>
          <w:p w:rsidR="002C7839" w:rsidRDefault="002C7839" w:rsidP="00F5133A">
            <w:pPr>
              <w:tabs>
                <w:tab w:val="left" w:pos="1701"/>
              </w:tabs>
              <w:rPr>
                <w:snapToGrid w:val="0"/>
              </w:rPr>
            </w:pPr>
            <w:r>
              <w:rPr>
                <w:snapToGrid w:val="0"/>
              </w:rPr>
              <w:t>Utskottet justerade betänkande 2019/20:15.</w:t>
            </w:r>
          </w:p>
          <w:p w:rsidR="002C7839" w:rsidRDefault="002C7839" w:rsidP="00F5133A">
            <w:pPr>
              <w:tabs>
                <w:tab w:val="left" w:pos="1701"/>
              </w:tabs>
              <w:rPr>
                <w:snapToGrid w:val="0"/>
              </w:rPr>
            </w:pPr>
          </w:p>
          <w:p w:rsidR="002C7839" w:rsidRDefault="002C7839" w:rsidP="00F5133A">
            <w:pPr>
              <w:tabs>
                <w:tab w:val="left" w:pos="1701"/>
              </w:tabs>
              <w:rPr>
                <w:snapToGrid w:val="0"/>
              </w:rPr>
            </w:pPr>
            <w:r>
              <w:rPr>
                <w:snapToGrid w:val="0"/>
              </w:rPr>
              <w:t>SD-, C-, V- och KD-ledamöterna anmälde reservationer.</w:t>
            </w:r>
          </w:p>
          <w:p w:rsidR="002C7839" w:rsidRDefault="002C7839" w:rsidP="00F5133A">
            <w:pPr>
              <w:tabs>
                <w:tab w:val="left" w:pos="1701"/>
              </w:tabs>
              <w:rPr>
                <w:snapToGrid w:val="0"/>
              </w:rPr>
            </w:pPr>
          </w:p>
          <w:p w:rsidR="002C7839" w:rsidRDefault="002C7839" w:rsidP="00F5133A">
            <w:pPr>
              <w:tabs>
                <w:tab w:val="left" w:pos="1701"/>
              </w:tabs>
              <w:rPr>
                <w:snapToGrid w:val="0"/>
              </w:rPr>
            </w:pPr>
            <w:r>
              <w:rPr>
                <w:snapToGrid w:val="0"/>
              </w:rPr>
              <w:t>M-ledamöterna anmälde ett särskilt yttrande.</w:t>
            </w:r>
          </w:p>
          <w:p w:rsidR="002C7839" w:rsidRPr="007A327C" w:rsidRDefault="002C7839"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2C7839" w:rsidP="00F5133A">
            <w:pPr>
              <w:tabs>
                <w:tab w:val="left" w:pos="1701"/>
              </w:tabs>
              <w:rPr>
                <w:rFonts w:eastAsiaTheme="minorHAnsi"/>
                <w:b/>
                <w:bCs/>
                <w:color w:val="000000"/>
                <w:szCs w:val="24"/>
                <w:lang w:eastAsia="en-US"/>
              </w:rPr>
            </w:pPr>
            <w:r w:rsidRPr="00900F45">
              <w:rPr>
                <w:rFonts w:eastAsiaTheme="minorHAnsi"/>
                <w:b/>
                <w:bCs/>
                <w:color w:val="000000"/>
                <w:szCs w:val="24"/>
                <w:lang w:eastAsia="en-US"/>
              </w:rPr>
              <w:t>EU-frågor på det migrationspolitiska området</w:t>
            </w:r>
          </w:p>
          <w:p w:rsidR="002C7839" w:rsidRDefault="002C7839" w:rsidP="00F5133A">
            <w:pPr>
              <w:tabs>
                <w:tab w:val="left" w:pos="1701"/>
              </w:tabs>
              <w:rPr>
                <w:rFonts w:eastAsiaTheme="minorHAnsi"/>
                <w:b/>
                <w:bCs/>
                <w:color w:val="000000"/>
                <w:szCs w:val="24"/>
                <w:lang w:eastAsia="en-US"/>
              </w:rPr>
            </w:pPr>
          </w:p>
          <w:p w:rsidR="002C7839" w:rsidRDefault="002C7839" w:rsidP="00F5133A">
            <w:pPr>
              <w:tabs>
                <w:tab w:val="left" w:pos="1701"/>
              </w:tabs>
              <w:rPr>
                <w:snapToGrid w:val="0"/>
              </w:rPr>
            </w:pPr>
            <w:r>
              <w:rPr>
                <w:snapToGrid w:val="0"/>
              </w:rPr>
              <w:t>Statssekreterare Lars Westbratt, Justitiedepartementet, återrapporterade från RIF-rådets möte den 2–3 december 2019 och från det informella RIF</w:t>
            </w:r>
            <w:r w:rsidR="00443AC0">
              <w:rPr>
                <w:snapToGrid w:val="0"/>
              </w:rPr>
              <w:t>-</w:t>
            </w:r>
            <w:r>
              <w:rPr>
                <w:snapToGrid w:val="0"/>
              </w:rPr>
              <w:t>möte</w:t>
            </w:r>
            <w:r w:rsidR="00443AC0">
              <w:rPr>
                <w:snapToGrid w:val="0"/>
              </w:rPr>
              <w:t>t</w:t>
            </w:r>
            <w:r>
              <w:rPr>
                <w:snapToGrid w:val="0"/>
              </w:rPr>
              <w:t xml:space="preserve"> den 23–24 januari 20</w:t>
            </w:r>
            <w:r w:rsidR="00443AC0">
              <w:rPr>
                <w:snapToGrid w:val="0"/>
              </w:rPr>
              <w:t>20</w:t>
            </w:r>
            <w:r>
              <w:rPr>
                <w:snapToGrid w:val="0"/>
              </w:rPr>
              <w:t>.</w:t>
            </w:r>
          </w:p>
          <w:p w:rsidR="002C7839" w:rsidRPr="007A327C" w:rsidRDefault="002C7839"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2C7839" w:rsidP="00F5133A">
            <w:pPr>
              <w:tabs>
                <w:tab w:val="left" w:pos="1701"/>
              </w:tabs>
              <w:rPr>
                <w:snapToGrid w:val="0"/>
              </w:rPr>
            </w:pPr>
            <w:r>
              <w:rPr>
                <w:rFonts w:eastAsiaTheme="minorHAnsi"/>
                <w:b/>
                <w:bCs/>
                <w:color w:val="000000"/>
                <w:szCs w:val="24"/>
                <w:lang w:eastAsia="en-US"/>
              </w:rPr>
              <w:t>Strategiska riktlinjer på rättsliga och inrikes området</w:t>
            </w:r>
            <w:r w:rsidRPr="00900F45">
              <w:rPr>
                <w:rFonts w:eastAsiaTheme="minorHAnsi"/>
                <w:b/>
                <w:bCs/>
                <w:color w:val="000000"/>
                <w:szCs w:val="24"/>
                <w:lang w:eastAsia="en-US"/>
              </w:rPr>
              <w:br/>
            </w:r>
          </w:p>
          <w:p w:rsidR="002C7839" w:rsidRDefault="002C7839" w:rsidP="002C7839">
            <w:pPr>
              <w:tabs>
                <w:tab w:val="left" w:pos="1701"/>
              </w:tabs>
              <w:rPr>
                <w:rFonts w:eastAsiaTheme="minorHAnsi"/>
                <w:bCs/>
                <w:color w:val="000000"/>
                <w:szCs w:val="24"/>
                <w:lang w:eastAsia="en-US"/>
              </w:rPr>
            </w:pPr>
            <w:r>
              <w:rPr>
                <w:rFonts w:eastAsiaTheme="minorHAnsi"/>
                <w:bCs/>
                <w:color w:val="000000"/>
                <w:szCs w:val="24"/>
                <w:lang w:eastAsia="en-US"/>
              </w:rPr>
              <w:t xml:space="preserve">Utskottet överlade med regeringen, statssekreterare Lars Westbratt, Justitiedepartementet om förslag till strategiska riktlinjer för RIF-området, </w:t>
            </w:r>
            <w:r w:rsidRPr="00B92AF6">
              <w:rPr>
                <w:rFonts w:eastAsiaTheme="minorHAnsi"/>
                <w:bCs/>
                <w:color w:val="000000"/>
                <w:szCs w:val="24"/>
                <w:lang w:eastAsia="en-US"/>
              </w:rPr>
              <w:t>i de delar som rör social</w:t>
            </w:r>
            <w:r>
              <w:rPr>
                <w:rFonts w:eastAsiaTheme="minorHAnsi"/>
                <w:bCs/>
                <w:color w:val="000000"/>
                <w:szCs w:val="24"/>
                <w:lang w:eastAsia="en-US"/>
              </w:rPr>
              <w:t>försäkrings</w:t>
            </w:r>
            <w:r w:rsidRPr="00B92AF6">
              <w:rPr>
                <w:rFonts w:eastAsiaTheme="minorHAnsi"/>
                <w:bCs/>
                <w:color w:val="000000"/>
                <w:szCs w:val="24"/>
                <w:lang w:eastAsia="en-US"/>
              </w:rPr>
              <w:t>utskottets ansvarsområde</w:t>
            </w:r>
            <w:r>
              <w:rPr>
                <w:rFonts w:eastAsiaTheme="minorHAnsi"/>
                <w:bCs/>
                <w:color w:val="000000"/>
                <w:szCs w:val="24"/>
                <w:lang w:eastAsia="en-US"/>
              </w:rPr>
              <w:t xml:space="preserve"> (punkterna 13–17).</w:t>
            </w:r>
          </w:p>
          <w:p w:rsidR="002C7839" w:rsidRDefault="002C7839" w:rsidP="002C7839">
            <w:pPr>
              <w:tabs>
                <w:tab w:val="left" w:pos="1701"/>
              </w:tabs>
              <w:rPr>
                <w:snapToGrid w:val="0"/>
              </w:rPr>
            </w:pPr>
          </w:p>
          <w:p w:rsidR="002C7839" w:rsidRDefault="002C7839" w:rsidP="002C7839">
            <w:pPr>
              <w:tabs>
                <w:tab w:val="left" w:pos="1701"/>
              </w:tabs>
              <w:rPr>
                <w:rFonts w:eastAsiaTheme="minorHAnsi"/>
                <w:bCs/>
                <w:color w:val="000000"/>
                <w:szCs w:val="24"/>
                <w:lang w:eastAsia="en-US"/>
              </w:rPr>
            </w:pPr>
            <w:r>
              <w:rPr>
                <w:snapToGrid w:val="0"/>
              </w:rPr>
              <w:t>Underlaget utgjordes av förslag till strategiska riktlinjer (6345/20) och ett utdrag ur regeringens kommenterade dagordning med regeringens ståndpunkt.</w:t>
            </w:r>
          </w:p>
          <w:p w:rsidR="002C7839" w:rsidRDefault="002C7839" w:rsidP="002C7839">
            <w:pPr>
              <w:tabs>
                <w:tab w:val="left" w:pos="1701"/>
              </w:tabs>
              <w:rPr>
                <w:snapToGrid w:val="0"/>
              </w:rPr>
            </w:pPr>
          </w:p>
          <w:p w:rsidR="002C7839" w:rsidRDefault="002C7839" w:rsidP="002C7839">
            <w:pPr>
              <w:tabs>
                <w:tab w:val="left" w:pos="1701"/>
              </w:tabs>
              <w:rPr>
                <w:snapToGrid w:val="0"/>
              </w:rPr>
            </w:pPr>
            <w:r>
              <w:rPr>
                <w:snapToGrid w:val="0"/>
              </w:rPr>
              <w:t>Regeringens ståndpunkt angiven i den kommenterade dagordningen var:</w:t>
            </w:r>
          </w:p>
          <w:p w:rsidR="002C7839" w:rsidRDefault="002C7839" w:rsidP="002C7839">
            <w:pPr>
              <w:tabs>
                <w:tab w:val="left" w:pos="1701"/>
              </w:tabs>
              <w:rPr>
                <w:snapToGrid w:val="0"/>
              </w:rPr>
            </w:pPr>
            <w:r w:rsidRPr="00B92AF6">
              <w:rPr>
                <w:snapToGrid w:val="0"/>
              </w:rPr>
              <w:t>Regeringen ställer sig bakom att de strategiska riktlinjerna antas.</w:t>
            </w:r>
            <w:r>
              <w:rPr>
                <w:snapToGrid w:val="0"/>
              </w:rPr>
              <w:t xml:space="preserve"> </w:t>
            </w:r>
            <w:r w:rsidRPr="00B92AF6">
              <w:rPr>
                <w:snapToGrid w:val="0"/>
              </w:rPr>
              <w:t>Regeringen välkomnar att de strategiska riktlinjerna fokuserar på genomförandet av den strategiska agendan.</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 xml:space="preserve">Regeringen välkomnar särskilt att riktlinjerna fastställer att RIF-rådet, </w:t>
            </w:r>
            <w:r w:rsidRPr="00B92AF6">
              <w:rPr>
                <w:snapToGrid w:val="0"/>
              </w:rPr>
              <w:lastRenderedPageBreak/>
              <w:t>inom dess kompetens, bör föra diskussioner om rättsstatens principer.</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Regeringen välkomnar vidare att riktlinjerna betonar vikten av ömsesidigt förtroende mellan medlemsstaterna som en förutsättning för ömsesidigt erkännande.</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Regeringen anser att fokus bör ligga på att genomföra antagna rättsakter. Nya förslag ska bygga på ett tydligt mervärde för medborgarna.</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Regeringen är positiv till att kommissionen ska presentera en ny migrations-och asylpakt.</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EU bör ta ett helhetsgrepp om den interna och externa dimensionen av migrationsfrågan. Kontrollen över vilka som reser in över de yttre gränserna måste förbättras samtidigt som rätten att söka asyl upprätthålls. Vi välkomnar att riktlinjerna lyfter fram lagliga vägar, till exempel vidarebosättning. Vidarebosättning som laglig väg för skyddsbehövande måste öka såväl i EU som globalt. Det är också nödvändigt att fortsatt fokusera på ett bättre återvändande.</w:t>
            </w:r>
          </w:p>
          <w:p w:rsidR="002C7839" w:rsidRPr="00B92AF6" w:rsidRDefault="002C7839" w:rsidP="002C7839">
            <w:pPr>
              <w:tabs>
                <w:tab w:val="left" w:pos="1701"/>
              </w:tabs>
              <w:rPr>
                <w:snapToGrid w:val="0"/>
              </w:rPr>
            </w:pPr>
            <w:r w:rsidRPr="00B92AF6">
              <w:rPr>
                <w:snapToGrid w:val="0"/>
              </w:rPr>
              <w:t xml:space="preserve"> </w:t>
            </w:r>
          </w:p>
          <w:p w:rsidR="002C7839" w:rsidRDefault="002C7839" w:rsidP="002C7839">
            <w:pPr>
              <w:tabs>
                <w:tab w:val="left" w:pos="1701"/>
              </w:tabs>
              <w:rPr>
                <w:snapToGrid w:val="0"/>
              </w:rPr>
            </w:pPr>
            <w:r w:rsidRPr="00B92AF6">
              <w:rPr>
                <w:snapToGrid w:val="0"/>
              </w:rPr>
              <w:t>EU bör vidare verka för långsiktiga migrationsdialoger med prioriterade tredjeländer för att motverka grundorsaker till ofrivillig migration samt stärka ursprungs- och transitländers egen kapacitet att hantera alla aspekter av migration inklusive bekämpning av människosmuggling</w:t>
            </w:r>
            <w:r>
              <w:rPr>
                <w:snapToGrid w:val="0"/>
              </w:rPr>
              <w:t>.</w:t>
            </w:r>
          </w:p>
          <w:p w:rsidR="002C7839" w:rsidRPr="00B92AF6" w:rsidRDefault="002C7839" w:rsidP="002C7839">
            <w:pPr>
              <w:tabs>
                <w:tab w:val="left" w:pos="1701"/>
              </w:tabs>
              <w:rPr>
                <w:snapToGrid w:val="0"/>
              </w:rPr>
            </w:pPr>
          </w:p>
          <w:p w:rsidR="002C7839" w:rsidRDefault="002C7839" w:rsidP="002C7839">
            <w:pPr>
              <w:tabs>
                <w:tab w:val="left" w:pos="1701"/>
              </w:tabs>
              <w:rPr>
                <w:snapToGrid w:val="0"/>
              </w:rPr>
            </w:pPr>
            <w:r w:rsidRPr="00B92AF6">
              <w:rPr>
                <w:snapToGrid w:val="0"/>
              </w:rPr>
              <w:t>Kampen mot organiserad brottslighet och terrorism kräver gränsöverskridande åtgärder. Regeringen välkomnar att riktlinjerna lyfter fram vikten av en integrerad ansats på säkerhetsområdet. Det är viktigt att samarbetet mellan medlemsstaternas brottsbekämpande myndigheter utvecklas liksom samarbetet mellan dem, EU:s byråer och andra relevanta myndigheter.</w:t>
            </w:r>
          </w:p>
          <w:p w:rsidR="002C7839" w:rsidRPr="00B92AF6" w:rsidRDefault="002C7839" w:rsidP="002C7839">
            <w:pPr>
              <w:tabs>
                <w:tab w:val="left" w:pos="1701"/>
              </w:tabs>
              <w:rPr>
                <w:snapToGrid w:val="0"/>
              </w:rPr>
            </w:pPr>
          </w:p>
          <w:p w:rsidR="002C7839" w:rsidRPr="00B92AF6" w:rsidRDefault="002C7839" w:rsidP="002C7839">
            <w:pPr>
              <w:tabs>
                <w:tab w:val="left" w:pos="1701"/>
              </w:tabs>
              <w:rPr>
                <w:snapToGrid w:val="0"/>
              </w:rPr>
            </w:pPr>
            <w:r w:rsidRPr="00B92AF6">
              <w:rPr>
                <w:snapToGrid w:val="0"/>
              </w:rPr>
              <w:t>Regeringen välkomnar också att riktlinjerna innehåller skrivningar om hur ny teknik skapar möjligheter och utmaningar. Regeringen anser att en framtida EU-rättsakt om datalagring för brottsbekämpande ändamål är viktig i detta sammanhang. En ny reglering ska vara förenlig med grundläggande rättigheter, särskilt rätten till respekt för privat- och familjelivet samt skyddet för personuppgifter, samt innefatta adekvata rättssäkerhetsgarantier.</w:t>
            </w:r>
          </w:p>
          <w:p w:rsidR="002C7839" w:rsidRDefault="002C7839" w:rsidP="002C7839">
            <w:pPr>
              <w:tabs>
                <w:tab w:val="left" w:pos="1701"/>
              </w:tabs>
              <w:rPr>
                <w:snapToGrid w:val="0"/>
              </w:rPr>
            </w:pPr>
          </w:p>
          <w:p w:rsidR="002C7839" w:rsidRDefault="002C7839" w:rsidP="002C7839">
            <w:pPr>
              <w:tabs>
                <w:tab w:val="left" w:pos="1701"/>
              </w:tabs>
              <w:rPr>
                <w:snapToGrid w:val="0"/>
              </w:rPr>
            </w:pPr>
            <w:r>
              <w:rPr>
                <w:snapToGrid w:val="0"/>
              </w:rPr>
              <w:t xml:space="preserve">Ordföranden konstaterade att det fanns en </w:t>
            </w:r>
            <w:r w:rsidRPr="008205F6">
              <w:rPr>
                <w:snapToGrid w:val="0"/>
              </w:rPr>
              <w:t>majoritet för</w:t>
            </w:r>
            <w:r>
              <w:rPr>
                <w:snapToGrid w:val="0"/>
              </w:rPr>
              <w:t xml:space="preserve"> regeringens redovisade ståndpunkt med tillägg av meningen ”EU bör fokusera på ett bättre återvändande genom bl.a. återvändandeavtal” sist i sjunde stycket.</w:t>
            </w:r>
          </w:p>
          <w:p w:rsidR="002C7839" w:rsidRDefault="002C7839" w:rsidP="002C7839">
            <w:pPr>
              <w:tabs>
                <w:tab w:val="left" w:pos="1701"/>
              </w:tabs>
              <w:rPr>
                <w:snapToGrid w:val="0"/>
              </w:rPr>
            </w:pPr>
          </w:p>
          <w:p w:rsidR="002C7839" w:rsidRDefault="002C7839" w:rsidP="002C7839">
            <w:pPr>
              <w:tabs>
                <w:tab w:val="left" w:pos="1701"/>
              </w:tabs>
              <w:rPr>
                <w:rFonts w:eastAsiaTheme="minorHAnsi"/>
                <w:bCs/>
                <w:color w:val="000000"/>
                <w:szCs w:val="24"/>
                <w:lang w:eastAsia="en-US"/>
              </w:rPr>
            </w:pPr>
            <w:r>
              <w:rPr>
                <w:rFonts w:eastAsiaTheme="minorHAnsi"/>
                <w:bCs/>
                <w:color w:val="000000"/>
                <w:szCs w:val="24"/>
                <w:lang w:eastAsia="en-US"/>
              </w:rPr>
              <w:t>SD-ledamöterna anmälde följande avvikande mening:</w:t>
            </w:r>
          </w:p>
          <w:p w:rsidR="002C7839" w:rsidRDefault="002C7839" w:rsidP="002C7839">
            <w:pPr>
              <w:tabs>
                <w:tab w:val="left" w:pos="1701"/>
              </w:tabs>
              <w:rPr>
                <w:rFonts w:eastAsiaTheme="minorHAnsi"/>
                <w:bCs/>
                <w:color w:val="000000"/>
                <w:szCs w:val="24"/>
                <w:lang w:eastAsia="en-US"/>
              </w:rPr>
            </w:pPr>
            <w:r w:rsidRPr="00331616">
              <w:rPr>
                <w:rFonts w:eastAsiaTheme="minorHAnsi"/>
                <w:bCs/>
                <w:color w:val="000000"/>
                <w:szCs w:val="24"/>
                <w:lang w:eastAsia="en-US"/>
              </w:rPr>
              <w:t xml:space="preserve">Irreguljär migration är en av EU-samarbetets största utmaningar, och unionen måste få till stånd en bättre ordning för att stoppa denna typ av migration. Vad gäller den tvingande formuleringen om vidarebosättning som en laglig väg in i EU, som ”måste öka” volymmässigt, bör regeringen i sin ståndpunkt ange att vidarebosättning är och ska förbli en nationell angelägenhet, som varje medlemsstat själv ska besluta om. Regeringen bör vidare </w:t>
            </w:r>
            <w:r>
              <w:rPr>
                <w:rFonts w:eastAsiaTheme="minorHAnsi"/>
                <w:bCs/>
                <w:color w:val="000000"/>
                <w:szCs w:val="24"/>
                <w:lang w:eastAsia="en-US"/>
              </w:rPr>
              <w:t xml:space="preserve">i sin ståndpunkt </w:t>
            </w:r>
            <w:r w:rsidRPr="00331616">
              <w:rPr>
                <w:rFonts w:eastAsiaTheme="minorHAnsi"/>
                <w:bCs/>
                <w:color w:val="000000"/>
                <w:szCs w:val="24"/>
                <w:lang w:eastAsia="en-US"/>
              </w:rPr>
              <w:t>ange att de enskilda medlemsstaterna själva ska avgöra om vidarebosättning utifrån nationella förutsättningar.</w:t>
            </w:r>
          </w:p>
          <w:p w:rsidR="002C7839" w:rsidRDefault="002C7839" w:rsidP="002C7839">
            <w:pPr>
              <w:tabs>
                <w:tab w:val="left" w:pos="1701"/>
              </w:tabs>
              <w:rPr>
                <w:rFonts w:eastAsiaTheme="minorHAnsi"/>
                <w:bCs/>
                <w:color w:val="000000"/>
                <w:szCs w:val="24"/>
                <w:lang w:eastAsia="en-US"/>
              </w:rPr>
            </w:pPr>
          </w:p>
          <w:p w:rsidR="002C7839" w:rsidRDefault="002C7839" w:rsidP="002C7839">
            <w:pPr>
              <w:tabs>
                <w:tab w:val="left" w:pos="1701"/>
              </w:tabs>
              <w:rPr>
                <w:rFonts w:eastAsiaTheme="minorHAnsi"/>
                <w:bCs/>
                <w:color w:val="000000"/>
                <w:szCs w:val="24"/>
                <w:lang w:eastAsia="en-US"/>
              </w:rPr>
            </w:pPr>
            <w:r>
              <w:rPr>
                <w:rFonts w:eastAsiaTheme="minorHAnsi"/>
                <w:bCs/>
                <w:color w:val="000000"/>
                <w:szCs w:val="24"/>
                <w:lang w:eastAsia="en-US"/>
              </w:rPr>
              <w:t>V-ledamoten anmälde följande avvikande mening:</w:t>
            </w:r>
          </w:p>
          <w:p w:rsidR="002C7839" w:rsidRPr="00331616" w:rsidRDefault="002C7839" w:rsidP="002C7839">
            <w:pPr>
              <w:tabs>
                <w:tab w:val="left" w:pos="1701"/>
              </w:tabs>
              <w:rPr>
                <w:rFonts w:eastAsiaTheme="minorHAnsi"/>
                <w:bCs/>
                <w:color w:val="000000"/>
                <w:szCs w:val="24"/>
                <w:lang w:eastAsia="en-US"/>
              </w:rPr>
            </w:pPr>
            <w:r>
              <w:rPr>
                <w:rFonts w:eastAsiaTheme="minorHAnsi"/>
                <w:bCs/>
                <w:color w:val="000000"/>
                <w:szCs w:val="24"/>
                <w:lang w:eastAsia="en-US"/>
              </w:rPr>
              <w:t xml:space="preserve">Till den svenska ståndpunkten bör </w:t>
            </w:r>
            <w:r w:rsidRPr="00331616">
              <w:rPr>
                <w:rFonts w:eastAsiaTheme="minorHAnsi"/>
                <w:bCs/>
                <w:color w:val="000000"/>
                <w:szCs w:val="24"/>
                <w:lang w:eastAsia="en-US"/>
              </w:rPr>
              <w:t>meningar</w:t>
            </w:r>
            <w:r>
              <w:rPr>
                <w:rFonts w:eastAsiaTheme="minorHAnsi"/>
                <w:bCs/>
                <w:color w:val="000000"/>
                <w:szCs w:val="24"/>
                <w:lang w:eastAsia="en-US"/>
              </w:rPr>
              <w:t xml:space="preserve">na </w:t>
            </w:r>
            <w:r w:rsidRPr="00331616">
              <w:rPr>
                <w:rFonts w:eastAsiaTheme="minorHAnsi"/>
                <w:bCs/>
                <w:color w:val="000000"/>
                <w:szCs w:val="24"/>
                <w:lang w:eastAsia="en-US"/>
              </w:rPr>
              <w:t>”Förmågan att ta emot asylsökande i ett mottagande som respekterar asylrätt, rättssäkerhet och värdiga mottagandeförhållanden måste förbättras genom gemensamma insatser och resurser i medlemsländer vid EU:s yttre gräns. Omfördelning från medlemsländer som inte har ett acceptabelt mottagande är nödvändig, liksom ytterligare stöd till samordning genom UNHCR i såväl medlemsländer som utanför” läggas till</w:t>
            </w:r>
            <w:r>
              <w:rPr>
                <w:rFonts w:eastAsiaTheme="minorHAnsi"/>
                <w:bCs/>
                <w:color w:val="000000"/>
                <w:szCs w:val="24"/>
                <w:lang w:eastAsia="en-US"/>
              </w:rPr>
              <w:t xml:space="preserve"> efter andra meningen i sjätte stycket.</w:t>
            </w:r>
          </w:p>
          <w:p w:rsidR="002C7839" w:rsidRDefault="002C7839" w:rsidP="002C7839">
            <w:pPr>
              <w:tabs>
                <w:tab w:val="left" w:pos="1701"/>
              </w:tabs>
              <w:rPr>
                <w:snapToGrid w:val="0"/>
              </w:rPr>
            </w:pPr>
          </w:p>
          <w:p w:rsidR="002C7839" w:rsidRDefault="002C7839" w:rsidP="002C7839">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2C7839" w:rsidRPr="007A327C" w:rsidRDefault="002C7839" w:rsidP="00F5133A">
            <w:pPr>
              <w:tabs>
                <w:tab w:val="left" w:pos="1701"/>
              </w:tabs>
              <w:rPr>
                <w:snapToGrid w:val="0"/>
              </w:rPr>
            </w:pPr>
          </w:p>
        </w:tc>
      </w:tr>
      <w:tr w:rsidR="002C7839" w:rsidRPr="007A327C" w:rsidTr="00F5133A">
        <w:tc>
          <w:tcPr>
            <w:tcW w:w="567" w:type="dxa"/>
          </w:tcPr>
          <w:p w:rsidR="002C7839" w:rsidRDefault="00465EC2">
            <w:pPr>
              <w:tabs>
                <w:tab w:val="left" w:pos="1701"/>
              </w:tabs>
              <w:rPr>
                <w:b/>
                <w:snapToGrid w:val="0"/>
              </w:rPr>
            </w:pPr>
            <w:r>
              <w:rPr>
                <w:b/>
                <w:snapToGrid w:val="0"/>
              </w:rPr>
              <w:lastRenderedPageBreak/>
              <w:t>§ 5</w:t>
            </w:r>
          </w:p>
        </w:tc>
        <w:tc>
          <w:tcPr>
            <w:tcW w:w="6946" w:type="dxa"/>
            <w:gridSpan w:val="2"/>
          </w:tcPr>
          <w:p w:rsidR="002C7839" w:rsidRDefault="002C7839" w:rsidP="00403AC6">
            <w:pPr>
              <w:tabs>
                <w:tab w:val="left" w:pos="1701"/>
              </w:tabs>
              <w:rPr>
                <w:rFonts w:eastAsiaTheme="minorHAnsi"/>
                <w:b/>
                <w:bCs/>
                <w:color w:val="000000"/>
                <w:szCs w:val="24"/>
                <w:lang w:eastAsia="en-US"/>
              </w:rPr>
            </w:pPr>
            <w:r w:rsidRPr="00900F45">
              <w:rPr>
                <w:rFonts w:eastAsiaTheme="minorHAnsi"/>
                <w:b/>
                <w:bCs/>
                <w:color w:val="000000"/>
                <w:szCs w:val="24"/>
                <w:lang w:eastAsia="en-US"/>
              </w:rPr>
              <w:t>Socialförsäkringsfrågor (SfU17)</w:t>
            </w:r>
          </w:p>
          <w:p w:rsidR="002C7839" w:rsidRDefault="002C7839" w:rsidP="00403AC6">
            <w:pPr>
              <w:tabs>
                <w:tab w:val="left" w:pos="1701"/>
              </w:tabs>
              <w:rPr>
                <w:snapToGrid w:val="0"/>
              </w:rPr>
            </w:pPr>
          </w:p>
          <w:p w:rsidR="002C7839" w:rsidRDefault="002C7839" w:rsidP="00403AC6">
            <w:pPr>
              <w:tabs>
                <w:tab w:val="left" w:pos="1701"/>
              </w:tabs>
              <w:rPr>
                <w:snapToGrid w:val="0"/>
              </w:rPr>
            </w:pPr>
            <w:r>
              <w:rPr>
                <w:snapToGrid w:val="0"/>
              </w:rPr>
              <w:t>Utskottet behandlade motioner om socialförsäkringsfrågor m.m.</w:t>
            </w:r>
          </w:p>
          <w:p w:rsidR="002C7839" w:rsidRDefault="002C7839" w:rsidP="00403AC6">
            <w:pPr>
              <w:tabs>
                <w:tab w:val="left" w:pos="1701"/>
              </w:tabs>
              <w:rPr>
                <w:snapToGrid w:val="0"/>
              </w:rPr>
            </w:pPr>
          </w:p>
          <w:p w:rsidR="002C7839" w:rsidRDefault="002C7839" w:rsidP="00403AC6">
            <w:pPr>
              <w:tabs>
                <w:tab w:val="left" w:pos="1701"/>
              </w:tabs>
              <w:rPr>
                <w:snapToGrid w:val="0"/>
              </w:rPr>
            </w:pPr>
            <w:r>
              <w:rPr>
                <w:snapToGrid w:val="0"/>
              </w:rPr>
              <w:t>Ärendet bordlades.</w:t>
            </w:r>
          </w:p>
          <w:p w:rsidR="002C7839" w:rsidRPr="002C7839" w:rsidRDefault="002C7839" w:rsidP="00403AC6">
            <w:pPr>
              <w:tabs>
                <w:tab w:val="left" w:pos="1701"/>
              </w:tabs>
              <w:rPr>
                <w:snapToGrid w:val="0"/>
              </w:rPr>
            </w:pPr>
          </w:p>
        </w:tc>
      </w:tr>
      <w:tr w:rsidR="002C7839" w:rsidRPr="007A327C" w:rsidTr="00F5133A">
        <w:tc>
          <w:tcPr>
            <w:tcW w:w="567" w:type="dxa"/>
          </w:tcPr>
          <w:p w:rsidR="002C7839" w:rsidRDefault="00465EC2">
            <w:pPr>
              <w:tabs>
                <w:tab w:val="left" w:pos="1701"/>
              </w:tabs>
              <w:rPr>
                <w:b/>
                <w:snapToGrid w:val="0"/>
              </w:rPr>
            </w:pPr>
            <w:r>
              <w:rPr>
                <w:b/>
                <w:snapToGrid w:val="0"/>
              </w:rPr>
              <w:t>§ 6</w:t>
            </w:r>
          </w:p>
        </w:tc>
        <w:tc>
          <w:tcPr>
            <w:tcW w:w="6946" w:type="dxa"/>
            <w:gridSpan w:val="2"/>
          </w:tcPr>
          <w:p w:rsidR="002C7839" w:rsidRDefault="002C7839" w:rsidP="00403AC6">
            <w:pPr>
              <w:tabs>
                <w:tab w:val="left" w:pos="1701"/>
              </w:tabs>
              <w:rPr>
                <w:rFonts w:eastAsiaTheme="minorHAnsi"/>
                <w:b/>
                <w:bCs/>
                <w:color w:val="000000"/>
                <w:szCs w:val="24"/>
                <w:lang w:eastAsia="en-US"/>
              </w:rPr>
            </w:pPr>
            <w:r w:rsidRPr="00900F45">
              <w:rPr>
                <w:rFonts w:eastAsiaTheme="minorHAnsi"/>
                <w:b/>
                <w:bCs/>
                <w:color w:val="000000"/>
                <w:szCs w:val="24"/>
                <w:lang w:eastAsia="en-US"/>
              </w:rPr>
              <w:t>Ekonomisk familjepolitik (SfU18)</w:t>
            </w:r>
          </w:p>
          <w:p w:rsidR="002C7839" w:rsidRDefault="002C7839" w:rsidP="00403AC6">
            <w:pPr>
              <w:tabs>
                <w:tab w:val="left" w:pos="1701"/>
              </w:tabs>
              <w:rPr>
                <w:rFonts w:eastAsiaTheme="minorHAnsi"/>
                <w:b/>
                <w:bCs/>
                <w:color w:val="000000"/>
                <w:szCs w:val="24"/>
                <w:lang w:eastAsia="en-US"/>
              </w:rPr>
            </w:pPr>
          </w:p>
          <w:p w:rsidR="002C7839" w:rsidRDefault="002C7839" w:rsidP="002C7839">
            <w:pPr>
              <w:tabs>
                <w:tab w:val="left" w:pos="1701"/>
              </w:tabs>
              <w:rPr>
                <w:snapToGrid w:val="0"/>
              </w:rPr>
            </w:pPr>
            <w:r>
              <w:rPr>
                <w:snapToGrid w:val="0"/>
              </w:rPr>
              <w:t>Utskottet behandlade motioner om ekonomisk familjepolitik m.m.</w:t>
            </w:r>
          </w:p>
          <w:p w:rsidR="002C7839" w:rsidRDefault="002C7839" w:rsidP="002C7839">
            <w:pPr>
              <w:tabs>
                <w:tab w:val="left" w:pos="1701"/>
              </w:tabs>
              <w:rPr>
                <w:snapToGrid w:val="0"/>
              </w:rPr>
            </w:pPr>
          </w:p>
          <w:p w:rsidR="002C7839" w:rsidRDefault="002C7839" w:rsidP="002C7839">
            <w:pPr>
              <w:tabs>
                <w:tab w:val="left" w:pos="1701"/>
              </w:tabs>
              <w:rPr>
                <w:snapToGrid w:val="0"/>
              </w:rPr>
            </w:pPr>
            <w:r>
              <w:rPr>
                <w:snapToGrid w:val="0"/>
              </w:rPr>
              <w:t>Ärendet bordlades.</w:t>
            </w:r>
          </w:p>
          <w:p w:rsidR="002C7839" w:rsidRDefault="002C7839" w:rsidP="00403AC6">
            <w:pPr>
              <w:tabs>
                <w:tab w:val="left" w:pos="1701"/>
              </w:tabs>
              <w:rPr>
                <w:b/>
                <w:snapToGrid w:val="0"/>
              </w:rPr>
            </w:pPr>
          </w:p>
        </w:tc>
      </w:tr>
      <w:tr w:rsidR="002C7839" w:rsidRPr="007A327C" w:rsidTr="00F5133A">
        <w:tc>
          <w:tcPr>
            <w:tcW w:w="567" w:type="dxa"/>
          </w:tcPr>
          <w:p w:rsidR="002C7839" w:rsidRDefault="00465EC2">
            <w:pPr>
              <w:tabs>
                <w:tab w:val="left" w:pos="1701"/>
              </w:tabs>
              <w:rPr>
                <w:b/>
                <w:snapToGrid w:val="0"/>
              </w:rPr>
            </w:pPr>
            <w:r>
              <w:rPr>
                <w:b/>
                <w:snapToGrid w:val="0"/>
              </w:rPr>
              <w:t>§ 7</w:t>
            </w:r>
          </w:p>
        </w:tc>
        <w:tc>
          <w:tcPr>
            <w:tcW w:w="6946" w:type="dxa"/>
            <w:gridSpan w:val="2"/>
          </w:tcPr>
          <w:p w:rsidR="002C7839" w:rsidRDefault="002C7839" w:rsidP="00403AC6">
            <w:pPr>
              <w:tabs>
                <w:tab w:val="left" w:pos="1701"/>
              </w:tabs>
              <w:rPr>
                <w:rFonts w:eastAsiaTheme="minorHAnsi"/>
                <w:b/>
                <w:bCs/>
                <w:color w:val="000000"/>
                <w:szCs w:val="24"/>
                <w:lang w:eastAsia="en-US"/>
              </w:rPr>
            </w:pPr>
            <w:r w:rsidRPr="00900F45">
              <w:rPr>
                <w:rFonts w:eastAsiaTheme="minorHAnsi"/>
                <w:b/>
                <w:bCs/>
                <w:color w:val="000000"/>
                <w:szCs w:val="24"/>
                <w:lang w:eastAsia="en-US"/>
              </w:rPr>
              <w:t>Pensioner (SfU19)</w:t>
            </w:r>
          </w:p>
          <w:p w:rsidR="002C7839" w:rsidRDefault="002C7839" w:rsidP="00403AC6">
            <w:pPr>
              <w:tabs>
                <w:tab w:val="left" w:pos="1701"/>
              </w:tabs>
              <w:rPr>
                <w:b/>
                <w:snapToGrid w:val="0"/>
              </w:rPr>
            </w:pPr>
          </w:p>
          <w:p w:rsidR="002C7839" w:rsidRDefault="002C7839" w:rsidP="002C7839">
            <w:pPr>
              <w:tabs>
                <w:tab w:val="left" w:pos="1701"/>
              </w:tabs>
              <w:rPr>
                <w:snapToGrid w:val="0"/>
              </w:rPr>
            </w:pPr>
            <w:r>
              <w:rPr>
                <w:snapToGrid w:val="0"/>
              </w:rPr>
              <w:t>Utskottet behandlade motioner om pensioner m.m.</w:t>
            </w:r>
          </w:p>
          <w:p w:rsidR="002C7839" w:rsidRDefault="002C7839" w:rsidP="002C7839">
            <w:pPr>
              <w:tabs>
                <w:tab w:val="left" w:pos="1701"/>
              </w:tabs>
              <w:rPr>
                <w:snapToGrid w:val="0"/>
              </w:rPr>
            </w:pPr>
          </w:p>
          <w:p w:rsidR="002C7839" w:rsidRDefault="002C7839" w:rsidP="002C7839">
            <w:pPr>
              <w:tabs>
                <w:tab w:val="left" w:pos="1701"/>
              </w:tabs>
              <w:rPr>
                <w:snapToGrid w:val="0"/>
              </w:rPr>
            </w:pPr>
            <w:r>
              <w:rPr>
                <w:snapToGrid w:val="0"/>
              </w:rPr>
              <w:t>Ärendet bordlades.</w:t>
            </w:r>
          </w:p>
          <w:p w:rsidR="002C7839" w:rsidRDefault="002C7839" w:rsidP="00403AC6">
            <w:pPr>
              <w:tabs>
                <w:tab w:val="left" w:pos="1701"/>
              </w:tabs>
              <w:rPr>
                <w:b/>
                <w:snapToGrid w:val="0"/>
              </w:rPr>
            </w:pPr>
          </w:p>
        </w:tc>
      </w:tr>
      <w:tr w:rsidR="002C7839" w:rsidRPr="007A327C" w:rsidTr="00F5133A">
        <w:tc>
          <w:tcPr>
            <w:tcW w:w="567" w:type="dxa"/>
          </w:tcPr>
          <w:p w:rsidR="002C7839" w:rsidRDefault="00465EC2">
            <w:pPr>
              <w:tabs>
                <w:tab w:val="left" w:pos="1701"/>
              </w:tabs>
              <w:rPr>
                <w:b/>
                <w:snapToGrid w:val="0"/>
              </w:rPr>
            </w:pPr>
            <w:r>
              <w:rPr>
                <w:b/>
                <w:snapToGrid w:val="0"/>
              </w:rPr>
              <w:t>§ 8</w:t>
            </w:r>
          </w:p>
        </w:tc>
        <w:tc>
          <w:tcPr>
            <w:tcW w:w="6946" w:type="dxa"/>
            <w:gridSpan w:val="2"/>
          </w:tcPr>
          <w:p w:rsidR="002C7839" w:rsidRDefault="002C7839" w:rsidP="002C7839">
            <w:pPr>
              <w:tabs>
                <w:tab w:val="left" w:pos="1701"/>
              </w:tabs>
              <w:rPr>
                <w:rFonts w:eastAsiaTheme="minorHAnsi"/>
                <w:b/>
                <w:bCs/>
                <w:color w:val="000000"/>
                <w:szCs w:val="24"/>
                <w:lang w:eastAsia="en-US"/>
              </w:rPr>
            </w:pPr>
            <w:r w:rsidRPr="002C7839">
              <w:rPr>
                <w:rFonts w:eastAsiaTheme="minorHAnsi"/>
                <w:b/>
                <w:bCs/>
                <w:color w:val="000000"/>
                <w:szCs w:val="24"/>
                <w:lang w:eastAsia="en-US"/>
              </w:rPr>
              <w:t>Fråga om förslag till utskottsinitiativ</w:t>
            </w:r>
          </w:p>
          <w:p w:rsidR="002C7839" w:rsidRDefault="002C7839" w:rsidP="002C7839">
            <w:pPr>
              <w:tabs>
                <w:tab w:val="left" w:pos="1701"/>
              </w:tabs>
              <w:rPr>
                <w:rFonts w:eastAsiaTheme="minorHAnsi"/>
                <w:b/>
                <w:bCs/>
                <w:color w:val="000000"/>
                <w:szCs w:val="24"/>
                <w:lang w:eastAsia="en-US"/>
              </w:rPr>
            </w:pPr>
          </w:p>
          <w:p w:rsidR="002C7839" w:rsidRDefault="002C7839" w:rsidP="002C7839">
            <w:pPr>
              <w:tabs>
                <w:tab w:val="left" w:pos="1701"/>
              </w:tabs>
              <w:rPr>
                <w:snapToGrid w:val="0"/>
              </w:rPr>
            </w:pPr>
            <w:r>
              <w:rPr>
                <w:rFonts w:eastAsiaTheme="minorHAnsi"/>
                <w:bCs/>
                <w:color w:val="000000"/>
                <w:szCs w:val="24"/>
                <w:lang w:eastAsia="en-US"/>
              </w:rPr>
              <w:t xml:space="preserve">Utskottet fortsatte behandlingen </w:t>
            </w:r>
            <w:r w:rsidR="00443AC0">
              <w:rPr>
                <w:rFonts w:eastAsiaTheme="minorHAnsi"/>
                <w:bCs/>
                <w:color w:val="000000"/>
                <w:szCs w:val="24"/>
                <w:lang w:eastAsia="en-US"/>
              </w:rPr>
              <w:t xml:space="preserve">av </w:t>
            </w:r>
            <w:r w:rsidRPr="00513D03">
              <w:rPr>
                <w:snapToGrid w:val="0"/>
              </w:rPr>
              <w:t xml:space="preserve">ett </w:t>
            </w:r>
            <w:r>
              <w:rPr>
                <w:snapToGrid w:val="0"/>
              </w:rPr>
              <w:t xml:space="preserve">förslag </w:t>
            </w:r>
            <w:r w:rsidR="00443AC0">
              <w:rPr>
                <w:snapToGrid w:val="0"/>
              </w:rPr>
              <w:t>till</w:t>
            </w:r>
            <w:r>
              <w:rPr>
                <w:snapToGrid w:val="0"/>
              </w:rPr>
              <w:t xml:space="preserve"> utskottsinitiativ</w:t>
            </w:r>
            <w:r w:rsidRPr="00513D03">
              <w:rPr>
                <w:snapToGrid w:val="0"/>
              </w:rPr>
              <w:t xml:space="preserve"> om att regeringen ska ge utredningen om arbetskraftsinvandring nya direktiv.</w:t>
            </w:r>
          </w:p>
          <w:p w:rsidR="002C7839" w:rsidRDefault="002C7839" w:rsidP="002C7839">
            <w:pPr>
              <w:tabs>
                <w:tab w:val="left" w:pos="1701"/>
              </w:tabs>
              <w:rPr>
                <w:snapToGrid w:val="0"/>
              </w:rPr>
            </w:pPr>
          </w:p>
          <w:p w:rsidR="002C7839" w:rsidRDefault="002C7839" w:rsidP="002C7839">
            <w:pPr>
              <w:tabs>
                <w:tab w:val="left" w:pos="1701"/>
              </w:tabs>
              <w:rPr>
                <w:snapToGrid w:val="0"/>
              </w:rPr>
            </w:pPr>
            <w:r>
              <w:rPr>
                <w:snapToGrid w:val="0"/>
              </w:rPr>
              <w:t>Utskottet beslutade att påbörja ett beredningsarbete i syfte att kunna ta ett utskottsinitiativ i frågan.</w:t>
            </w:r>
          </w:p>
          <w:p w:rsidR="002C7839" w:rsidRDefault="002C7839" w:rsidP="002C7839">
            <w:pPr>
              <w:tabs>
                <w:tab w:val="left" w:pos="1701"/>
              </w:tabs>
              <w:rPr>
                <w:snapToGrid w:val="0"/>
              </w:rPr>
            </w:pPr>
          </w:p>
          <w:p w:rsidR="002C7839" w:rsidRPr="00513D03" w:rsidRDefault="002C7839" w:rsidP="002C7839">
            <w:pPr>
              <w:tabs>
                <w:tab w:val="left" w:pos="1701"/>
              </w:tabs>
              <w:rPr>
                <w:snapToGrid w:val="0"/>
              </w:rPr>
            </w:pPr>
            <w:r>
              <w:rPr>
                <w:snapToGrid w:val="0"/>
              </w:rPr>
              <w:t>Mot detta beslut anmälde S-, C-, L- och MP-ledamöterna avvikande mening och ansåg att något sådant arbete inte skulle påbörjas.</w:t>
            </w:r>
          </w:p>
          <w:p w:rsidR="002C7839" w:rsidRPr="00900F45" w:rsidRDefault="002C7839" w:rsidP="00403AC6">
            <w:pPr>
              <w:tabs>
                <w:tab w:val="left" w:pos="1701"/>
              </w:tabs>
              <w:rPr>
                <w:rFonts w:eastAsiaTheme="minorHAnsi"/>
                <w:b/>
                <w:bCs/>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465EC2">
              <w:rPr>
                <w:b/>
                <w:snapToGrid w:val="0"/>
              </w:rPr>
              <w:t xml:space="preserve"> 9</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2C7839" w:rsidRPr="007A327C" w:rsidTr="00F5133A">
        <w:tc>
          <w:tcPr>
            <w:tcW w:w="567" w:type="dxa"/>
          </w:tcPr>
          <w:p w:rsidR="002C7839" w:rsidRDefault="00465EC2">
            <w:pPr>
              <w:tabs>
                <w:tab w:val="left" w:pos="1701"/>
              </w:tabs>
              <w:rPr>
                <w:b/>
                <w:snapToGrid w:val="0"/>
              </w:rPr>
            </w:pPr>
            <w:r>
              <w:rPr>
                <w:b/>
                <w:snapToGrid w:val="0"/>
              </w:rPr>
              <w:t>§ 10</w:t>
            </w:r>
          </w:p>
        </w:tc>
        <w:tc>
          <w:tcPr>
            <w:tcW w:w="6946" w:type="dxa"/>
            <w:gridSpan w:val="2"/>
          </w:tcPr>
          <w:p w:rsidR="002C7839" w:rsidRDefault="002C7839" w:rsidP="00403AC6">
            <w:pPr>
              <w:tabs>
                <w:tab w:val="left" w:pos="1701"/>
              </w:tabs>
              <w:rPr>
                <w:b/>
                <w:snapToGrid w:val="0"/>
              </w:rPr>
            </w:pPr>
            <w:r>
              <w:rPr>
                <w:b/>
                <w:snapToGrid w:val="0"/>
              </w:rPr>
              <w:t>Övriga frågor</w:t>
            </w:r>
          </w:p>
          <w:p w:rsidR="002C7839" w:rsidRDefault="002C7839" w:rsidP="00403AC6">
            <w:pPr>
              <w:tabs>
                <w:tab w:val="left" w:pos="1701"/>
              </w:tabs>
              <w:rPr>
                <w:b/>
                <w:snapToGrid w:val="0"/>
              </w:rPr>
            </w:pPr>
          </w:p>
          <w:p w:rsidR="002C7839" w:rsidRDefault="002C7839" w:rsidP="00403AC6">
            <w:pPr>
              <w:tabs>
                <w:tab w:val="left" w:pos="1701"/>
              </w:tabs>
              <w:rPr>
                <w:snapToGrid w:val="0"/>
              </w:rPr>
            </w:pPr>
            <w:r>
              <w:rPr>
                <w:snapToGrid w:val="0"/>
              </w:rPr>
              <w:t xml:space="preserve">Utskottet beslutade att bjuda in </w:t>
            </w:r>
            <w:r w:rsidRPr="002C7839">
              <w:rPr>
                <w:snapToGrid w:val="0"/>
              </w:rPr>
              <w:t>justitie- och migrationsminister</w:t>
            </w:r>
            <w:r>
              <w:rPr>
                <w:snapToGrid w:val="0"/>
              </w:rPr>
              <w:t xml:space="preserve"> Morgan Johansson för att informera om situationen vid EU:s yttre gräns</w:t>
            </w:r>
            <w:r w:rsidR="00443AC0">
              <w:rPr>
                <w:snapToGrid w:val="0"/>
              </w:rPr>
              <w:t>er</w:t>
            </w:r>
            <w:r>
              <w:rPr>
                <w:snapToGrid w:val="0"/>
              </w:rPr>
              <w:t>.</w:t>
            </w:r>
          </w:p>
          <w:p w:rsidR="002C7839" w:rsidRPr="002C7839" w:rsidRDefault="002C7839" w:rsidP="00403AC6">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465EC2">
              <w:rPr>
                <w:b/>
                <w:snapToGrid w:val="0"/>
              </w:rPr>
              <w:t>11</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2C7839">
              <w:rPr>
                <w:color w:val="000000"/>
                <w:szCs w:val="24"/>
              </w:rPr>
              <w:t>tors</w:t>
            </w:r>
            <w:r w:rsidRPr="00DC304A">
              <w:rPr>
                <w:color w:val="000000"/>
                <w:szCs w:val="24"/>
              </w:rPr>
              <w:t xml:space="preserve">dagen den </w:t>
            </w:r>
            <w:r w:rsidR="002C7839">
              <w:rPr>
                <w:color w:val="000000"/>
                <w:szCs w:val="24"/>
              </w:rPr>
              <w:t>12 mars 2020</w:t>
            </w:r>
            <w:r w:rsidR="00FB34D6">
              <w:rPr>
                <w:color w:val="000000"/>
                <w:szCs w:val="24"/>
              </w:rPr>
              <w:t xml:space="preserve"> kl. </w:t>
            </w:r>
            <w:r w:rsidR="00443AC0">
              <w:rPr>
                <w:color w:val="000000"/>
                <w:szCs w:val="24"/>
              </w:rPr>
              <w:t>0</w:t>
            </w:r>
            <w:bookmarkStart w:id="0" w:name="_GoBack"/>
            <w:bookmarkEnd w:id="0"/>
            <w:r w:rsidR="002C7839">
              <w:rPr>
                <w:color w:val="000000"/>
                <w:szCs w:val="24"/>
              </w:rPr>
              <w:t>8.00</w:t>
            </w:r>
            <w:r w:rsidR="00525B2F">
              <w:rPr>
                <w:color w:val="000000"/>
                <w:szCs w:val="24"/>
              </w:rPr>
              <w:t>.</w:t>
            </w:r>
            <w:r w:rsidR="002C7839">
              <w:rPr>
                <w:color w:val="000000"/>
                <w:szCs w:val="24"/>
              </w:rPr>
              <w:t xml:space="preserve"> </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2C7839">
              <w:t xml:space="preserve"> 12 mars</w:t>
            </w:r>
            <w:r w:rsidR="00081A95">
              <w:t xml:space="preserve">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br w:type="page"/>
              <w:t>SOCIALFÖRSÄKRINGS-UTSKOTTET</w:t>
            </w:r>
          </w:p>
        </w:tc>
        <w:tc>
          <w:tcPr>
            <w:tcW w:w="3686" w:type="dxa"/>
            <w:gridSpan w:val="10"/>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t>NÄRVAROFÖRTECKNING</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A827D2" w:rsidRPr="002A1A33">
              <w:rPr>
                <w:sz w:val="23"/>
                <w:szCs w:val="23"/>
              </w:rPr>
              <w:t>1</w:t>
            </w:r>
            <w:r w:rsidR="008E3706">
              <w:rPr>
                <w:sz w:val="23"/>
                <w:szCs w:val="23"/>
              </w:rPr>
              <w:t>9</w:t>
            </w:r>
            <w:r w:rsidRPr="002A1A33">
              <w:rPr>
                <w:sz w:val="23"/>
                <w:szCs w:val="23"/>
              </w:rPr>
              <w:t>/</w:t>
            </w:r>
            <w:r w:rsidR="008E3706">
              <w:rPr>
                <w:sz w:val="23"/>
                <w:szCs w:val="23"/>
              </w:rPr>
              <w:t>20</w:t>
            </w:r>
            <w:r w:rsidRPr="002A1A33">
              <w:rPr>
                <w:sz w:val="23"/>
                <w:szCs w:val="23"/>
              </w:rPr>
              <w:t>:</w:t>
            </w:r>
            <w:r w:rsidR="008D00EE">
              <w:rPr>
                <w:sz w:val="23"/>
                <w:szCs w:val="23"/>
              </w:rPr>
              <w:t>26</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8D00EE">
              <w:rPr>
                <w:sz w:val="23"/>
                <w:szCs w:val="23"/>
              </w:rPr>
              <w:t>3</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8D00EE">
              <w:rPr>
                <w:sz w:val="23"/>
                <w:szCs w:val="23"/>
              </w:rPr>
              <w:t>4</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8D00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5</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8D00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6</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8D00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7</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8–11</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443AC0" w:rsidRPr="002A1A33" w:rsidRDefault="00443AC0" w:rsidP="00443AC0">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675BB1"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443AC0" w:rsidRPr="002A1A33" w:rsidRDefault="00443AC0" w:rsidP="00443AC0">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443AC0" w:rsidRPr="002A1A33" w:rsidRDefault="00443AC0" w:rsidP="00443AC0">
            <w:pPr>
              <w:rPr>
                <w:sz w:val="23"/>
                <w:szCs w:val="23"/>
                <w:lang w:val="en-US"/>
              </w:rPr>
            </w:pPr>
            <w:r w:rsidRPr="002A1A33">
              <w:rPr>
                <w:sz w:val="23"/>
                <w:szCs w:val="23"/>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Katarina Brännström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proofErr w:type="spellStart"/>
            <w:r>
              <w:rPr>
                <w:sz w:val="23"/>
                <w:szCs w:val="23"/>
                <w:lang w:val="en-US"/>
              </w:rPr>
              <w:t>Vakant</w:t>
            </w:r>
            <w:proofErr w:type="spellEnd"/>
            <w:r>
              <w:rPr>
                <w:sz w:val="23"/>
                <w:szCs w:val="23"/>
                <w:lang w:val="en-US"/>
              </w:rPr>
              <w:t xml:space="preserve">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Nooshi Dadgostar (V)</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Elisabeth Björnsdotter Rahm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Julia Kronlid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Pr>
                <w:sz w:val="23"/>
                <w:szCs w:val="23"/>
                <w:lang w:val="en-US"/>
              </w:rPr>
              <w:t>Kadir Kasirga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Hans Eklind (KD)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sidRPr="002A1A33">
              <w:rPr>
                <w:sz w:val="23"/>
                <w:szCs w:val="23"/>
                <w:lang w:val="en-US"/>
              </w:rPr>
              <w:t>Björn Petersson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lang w:val="en-US"/>
              </w:rPr>
            </w:pPr>
            <w:r>
              <w:rPr>
                <w:sz w:val="23"/>
                <w:szCs w:val="23"/>
                <w:lang w:val="en-US"/>
              </w:rPr>
              <w:t>Bengt Eliasson (L)</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rPr>
            </w:pPr>
            <w:r w:rsidRPr="002A1A33">
              <w:rPr>
                <w:sz w:val="23"/>
                <w:szCs w:val="23"/>
              </w:rPr>
              <w:t>Jonas Andersson i Skellefteå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rPr>
            </w:pPr>
            <w:r>
              <w:rPr>
                <w:sz w:val="23"/>
                <w:szCs w:val="23"/>
              </w:rPr>
              <w:t>Mats Berglund</w:t>
            </w:r>
            <w:r w:rsidRPr="002A1A33">
              <w:rPr>
                <w:sz w:val="23"/>
                <w:szCs w:val="23"/>
              </w:rPr>
              <w:t xml:space="preserve"> (MP)</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443AC0" w:rsidRPr="002A1A33" w:rsidRDefault="00443AC0" w:rsidP="00443AC0">
            <w:pPr>
              <w:rPr>
                <w:sz w:val="23"/>
                <w:szCs w:val="23"/>
              </w:rPr>
            </w:pPr>
            <w:r w:rsidRPr="002A1A33">
              <w:rPr>
                <w:sz w:val="23"/>
                <w:szCs w:val="23"/>
              </w:rPr>
              <w:t>Arin Karapet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Emilia Töyrä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Ann-Sofie Alm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Marianne Pettersson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Fredrik Schulte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Jennie Åfeldt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Paula Holmqvist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Pr>
                <w:sz w:val="23"/>
                <w:szCs w:val="23"/>
              </w:rPr>
              <w:t>Jonny Cato (C)</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Christina Höj Larsen (V)</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Ellen Juntti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Linda Lindberg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2B5FBD">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Åsa Karlsson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Pia Steensland (KD)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Dag Larsson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Fredrik Malm (L)</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Lars Andersson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Karolina Skog (MP)</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Erik Ottoson (M)</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 xml:space="preserve">Clara </w:t>
            </w:r>
            <w:proofErr w:type="spellStart"/>
            <w:r w:rsidRPr="00A67973">
              <w:rPr>
                <w:sz w:val="23"/>
                <w:szCs w:val="23"/>
              </w:rPr>
              <w:t>Aranda</w:t>
            </w:r>
            <w:proofErr w:type="spellEnd"/>
            <w:r w:rsidRPr="00A67973">
              <w:rPr>
                <w:sz w:val="23"/>
                <w:szCs w:val="23"/>
              </w:rPr>
              <w:t xml:space="preserve"> (SD)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675BB1"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2"/>
                <w:szCs w:val="22"/>
                <w:lang w:val="en-US"/>
              </w:rPr>
            </w:pPr>
            <w:r w:rsidRPr="00A67973">
              <w:rPr>
                <w:sz w:val="22"/>
                <w:szCs w:val="22"/>
                <w:lang w:val="en-US"/>
              </w:rPr>
              <w:t xml:space="preserve">Ann-Christine From </w:t>
            </w:r>
            <w:proofErr w:type="spellStart"/>
            <w:r w:rsidRPr="00A67973">
              <w:rPr>
                <w:sz w:val="22"/>
                <w:szCs w:val="22"/>
                <w:lang w:val="en-US"/>
              </w:rPr>
              <w:t>Utterstedt</w:t>
            </w:r>
            <w:proofErr w:type="spellEnd"/>
            <w:r w:rsidRPr="00A67973">
              <w:rPr>
                <w:sz w:val="22"/>
                <w:szCs w:val="22"/>
                <w:lang w:val="en-US"/>
              </w:rPr>
              <w:t xml:space="preserve"> </w:t>
            </w:r>
            <w:r w:rsidRPr="00A67973">
              <w:rPr>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Mats Persson (L)</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Pr>
                <w:sz w:val="23"/>
                <w:szCs w:val="23"/>
              </w:rPr>
              <w:t>Barbro Westerholm (L)</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Martina Johansson (C)</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proofErr w:type="spellStart"/>
            <w:r w:rsidRPr="00A67973">
              <w:rPr>
                <w:sz w:val="23"/>
                <w:szCs w:val="23"/>
              </w:rPr>
              <w:t>Ciczie</w:t>
            </w:r>
            <w:proofErr w:type="spellEnd"/>
            <w:r w:rsidRPr="00A67973">
              <w:rPr>
                <w:sz w:val="23"/>
                <w:szCs w:val="23"/>
              </w:rPr>
              <w:t xml:space="preserve"> </w:t>
            </w:r>
            <w:proofErr w:type="spellStart"/>
            <w:r w:rsidRPr="00A67973">
              <w:rPr>
                <w:sz w:val="23"/>
                <w:szCs w:val="23"/>
              </w:rPr>
              <w:t>Weidby</w:t>
            </w:r>
            <w:proofErr w:type="spellEnd"/>
            <w:r w:rsidRPr="00A67973">
              <w:rPr>
                <w:sz w:val="23"/>
                <w:szCs w:val="23"/>
              </w:rPr>
              <w:t xml:space="preserve"> (V)</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Sofia Damm (KD)</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Rasmus Ling (MP)</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Pr>
                <w:sz w:val="23"/>
                <w:szCs w:val="23"/>
              </w:rPr>
              <w:t>Annika Hirvonen Falk (MP)</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rPr>
              <w:t>Fredrik Lundh Sammeli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rPr>
            </w:pPr>
            <w:r w:rsidRPr="00A67973">
              <w:rPr>
                <w:sz w:val="23"/>
                <w:szCs w:val="23"/>
                <w:lang w:val="en-US"/>
              </w:rPr>
              <w:t>Roza Güclü Hedin (S)</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lang w:val="en-US"/>
              </w:rPr>
            </w:pPr>
            <w:r w:rsidRPr="00A67973">
              <w:rPr>
                <w:sz w:val="23"/>
                <w:szCs w:val="23"/>
                <w:lang w:val="en-US"/>
              </w:rPr>
              <w:t>Ida Gabrielsson (V)</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2A1A33" w:rsidTr="00A827D2">
        <w:tc>
          <w:tcPr>
            <w:tcW w:w="3332" w:type="dxa"/>
            <w:tcBorders>
              <w:top w:val="single" w:sz="6" w:space="0" w:color="auto"/>
              <w:left w:val="single" w:sz="6" w:space="0" w:color="auto"/>
              <w:bottom w:val="single" w:sz="6" w:space="0" w:color="auto"/>
              <w:right w:val="single" w:sz="6" w:space="0" w:color="auto"/>
            </w:tcBorders>
          </w:tcPr>
          <w:p w:rsidR="00443AC0" w:rsidRPr="00A67973" w:rsidRDefault="00443AC0" w:rsidP="00443AC0">
            <w:pPr>
              <w:rPr>
                <w:sz w:val="23"/>
                <w:szCs w:val="23"/>
                <w:lang w:val="en-US"/>
              </w:rPr>
            </w:pPr>
            <w:r>
              <w:rPr>
                <w:sz w:val="23"/>
                <w:szCs w:val="23"/>
                <w:lang w:val="en-US"/>
              </w:rPr>
              <w:t>Johanna Jönsson (C)</w:t>
            </w: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443AC0" w:rsidRPr="002A1A33"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43AC0" w:rsidRPr="005F118E" w:rsidTr="005A37D9">
        <w:trPr>
          <w:trHeight w:hRule="exact" w:val="57"/>
        </w:trPr>
        <w:tc>
          <w:tcPr>
            <w:tcW w:w="3332" w:type="dxa"/>
            <w:tcBorders>
              <w:top w:val="nil"/>
              <w:left w:val="nil"/>
              <w:bottom w:val="nil"/>
              <w:right w:val="nil"/>
            </w:tcBorders>
          </w:tcPr>
          <w:p w:rsidR="00443AC0" w:rsidRPr="00CF22E1"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443AC0" w:rsidRPr="00CF22E1"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443AC0" w:rsidRPr="002A1A33" w:rsidTr="005A37D9">
        <w:trPr>
          <w:trHeight w:val="263"/>
        </w:trPr>
        <w:tc>
          <w:tcPr>
            <w:tcW w:w="3332" w:type="dxa"/>
            <w:tcBorders>
              <w:top w:val="nil"/>
              <w:left w:val="nil"/>
              <w:bottom w:val="nil"/>
              <w:right w:val="nil"/>
            </w:tcBorders>
            <w:hideMark/>
          </w:tcPr>
          <w:p w:rsidR="00443AC0" w:rsidRPr="004D30F5"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p>
        </w:tc>
        <w:tc>
          <w:tcPr>
            <w:tcW w:w="5098" w:type="dxa"/>
            <w:gridSpan w:val="14"/>
            <w:tcBorders>
              <w:top w:val="nil"/>
              <w:left w:val="nil"/>
              <w:bottom w:val="nil"/>
              <w:right w:val="nil"/>
            </w:tcBorders>
            <w:hideMark/>
          </w:tcPr>
          <w:p w:rsidR="00443AC0" w:rsidRPr="004D30F5"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x = ledamöter som deltagit i handläggningen</w:t>
            </w:r>
          </w:p>
        </w:tc>
      </w:tr>
      <w:tr w:rsidR="00443AC0" w:rsidRPr="002A1A33" w:rsidTr="004B2502">
        <w:trPr>
          <w:trHeight w:val="170"/>
        </w:trPr>
        <w:tc>
          <w:tcPr>
            <w:tcW w:w="3332" w:type="dxa"/>
            <w:tcBorders>
              <w:top w:val="nil"/>
              <w:left w:val="nil"/>
              <w:bottom w:val="nil"/>
              <w:right w:val="nil"/>
            </w:tcBorders>
            <w:hideMark/>
          </w:tcPr>
          <w:p w:rsidR="00443AC0" w:rsidRPr="004D30F5"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tcBorders>
              <w:top w:val="nil"/>
              <w:left w:val="nil"/>
              <w:bottom w:val="nil"/>
              <w:right w:val="nil"/>
            </w:tcBorders>
            <w:hideMark/>
          </w:tcPr>
          <w:p w:rsidR="00443AC0" w:rsidRPr="004D30F5" w:rsidRDefault="00443AC0" w:rsidP="0044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o = ledamöter som härutöver har varit närvarande</w:t>
            </w:r>
          </w:p>
        </w:tc>
      </w:tr>
    </w:tbl>
    <w:p w:rsidR="005F59C8" w:rsidRPr="00746974" w:rsidRDefault="005F59C8" w:rsidP="004B2502">
      <w:pPr>
        <w:tabs>
          <w:tab w:val="left" w:pos="1701"/>
        </w:tabs>
        <w:rPr>
          <w:sz w:val="4"/>
          <w:szCs w:val="4"/>
        </w:rPr>
      </w:pPr>
    </w:p>
    <w:sectPr w:rsidR="005F59C8" w:rsidRPr="00746974" w:rsidSect="004F1558">
      <w:pgSz w:w="11906" w:h="16838" w:code="9"/>
      <w:pgMar w:top="794"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FC06028"/>
    <w:multiLevelType w:val="multilevel"/>
    <w:tmpl w:val="5826133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691"/>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50C53"/>
    <w:rsid w:val="00251677"/>
    <w:rsid w:val="002544E0"/>
    <w:rsid w:val="00274599"/>
    <w:rsid w:val="00277F32"/>
    <w:rsid w:val="002A1A33"/>
    <w:rsid w:val="002A2FE6"/>
    <w:rsid w:val="002B4C7D"/>
    <w:rsid w:val="002B5FBD"/>
    <w:rsid w:val="002C5921"/>
    <w:rsid w:val="002C7839"/>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3AC0"/>
    <w:rsid w:val="00447BD0"/>
    <w:rsid w:val="00447EA2"/>
    <w:rsid w:val="00453974"/>
    <w:rsid w:val="004659A3"/>
    <w:rsid w:val="00465EC2"/>
    <w:rsid w:val="00484380"/>
    <w:rsid w:val="004B2502"/>
    <w:rsid w:val="004D30F5"/>
    <w:rsid w:val="004F1558"/>
    <w:rsid w:val="004F1B55"/>
    <w:rsid w:val="004F42DA"/>
    <w:rsid w:val="004F680C"/>
    <w:rsid w:val="00525B2F"/>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70187"/>
    <w:rsid w:val="006723B9"/>
    <w:rsid w:val="00675BB1"/>
    <w:rsid w:val="0068513C"/>
    <w:rsid w:val="0069442A"/>
    <w:rsid w:val="006A56E8"/>
    <w:rsid w:val="006C21FA"/>
    <w:rsid w:val="006D1030"/>
    <w:rsid w:val="006E06A4"/>
    <w:rsid w:val="006E5E91"/>
    <w:rsid w:val="006E774B"/>
    <w:rsid w:val="006F41EB"/>
    <w:rsid w:val="006F6C7A"/>
    <w:rsid w:val="007026FD"/>
    <w:rsid w:val="00703D16"/>
    <w:rsid w:val="00711F2E"/>
    <w:rsid w:val="00721DB8"/>
    <w:rsid w:val="00723C10"/>
    <w:rsid w:val="00723DD0"/>
    <w:rsid w:val="00726C3B"/>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94188"/>
    <w:rsid w:val="00894D40"/>
    <w:rsid w:val="008C2D0B"/>
    <w:rsid w:val="008D00EE"/>
    <w:rsid w:val="008D1752"/>
    <w:rsid w:val="008E3706"/>
    <w:rsid w:val="00901669"/>
    <w:rsid w:val="00912575"/>
    <w:rsid w:val="00913943"/>
    <w:rsid w:val="00916634"/>
    <w:rsid w:val="00940F4E"/>
    <w:rsid w:val="00946978"/>
    <w:rsid w:val="0096372C"/>
    <w:rsid w:val="00973D8B"/>
    <w:rsid w:val="009800E4"/>
    <w:rsid w:val="009E1625"/>
    <w:rsid w:val="00A0486E"/>
    <w:rsid w:val="00A05767"/>
    <w:rsid w:val="00A07505"/>
    <w:rsid w:val="00A119D6"/>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075D"/>
    <w:rsid w:val="00C8434B"/>
    <w:rsid w:val="00C850D4"/>
    <w:rsid w:val="00C94625"/>
    <w:rsid w:val="00C9784D"/>
    <w:rsid w:val="00CA31D0"/>
    <w:rsid w:val="00CA4971"/>
    <w:rsid w:val="00CA5BCE"/>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FA07"/>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777E-CFD1-4228-80C3-6D1BAE5F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61</TotalTime>
  <Pages>5</Pages>
  <Words>1126</Words>
  <Characters>7135</Characters>
  <Application>Microsoft Office Word</Application>
  <DocSecurity>0</DocSecurity>
  <Lines>648</Lines>
  <Paragraphs>458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Anita Hammar</cp:lastModifiedBy>
  <cp:revision>6</cp:revision>
  <cp:lastPrinted>2020-03-10T09:39:00Z</cp:lastPrinted>
  <dcterms:created xsi:type="dcterms:W3CDTF">2020-03-04T09:49:00Z</dcterms:created>
  <dcterms:modified xsi:type="dcterms:W3CDTF">2020-03-10T09:47:00Z</dcterms:modified>
</cp:coreProperties>
</file>