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0F82A-5D5B-4A83-A15C-F36B150E9273}"/>
</file>

<file path=customXml/itemProps2.xml><?xml version="1.0" encoding="utf-8"?>
<ds:datastoreItem xmlns:ds="http://schemas.openxmlformats.org/officeDocument/2006/customXml" ds:itemID="{DB49B26A-3F48-4E82-9E8A-DA648B73EA23}"/>
</file>

<file path=customXml/itemProps3.xml><?xml version="1.0" encoding="utf-8"?>
<ds:datastoreItem xmlns:ds="http://schemas.openxmlformats.org/officeDocument/2006/customXml" ds:itemID="{2AAC3855-47EB-4B8C-B6F8-1C40A7606E7E}"/>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