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E24C86">
              <w:rPr>
                <w:b/>
              </w:rPr>
              <w:t>24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E24C86">
              <w:t>02</w:t>
            </w:r>
            <w:r w:rsidR="00520D71">
              <w:t>-</w:t>
            </w:r>
            <w:r w:rsidR="00E24C86">
              <w:t>24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E24C86">
            <w:r>
              <w:t>08</w:t>
            </w:r>
            <w:r w:rsidR="00BF5F58">
              <w:t>:</w:t>
            </w:r>
            <w:r>
              <w:t>3</w:t>
            </w:r>
            <w:r w:rsidR="00B2693D">
              <w:t>0</w:t>
            </w:r>
            <w:r w:rsidR="00FA543D">
              <w:t>–</w:t>
            </w:r>
            <w:r w:rsidR="00D70DF1">
              <w:t>09:</w:t>
            </w:r>
            <w:r w:rsidR="009D3A48">
              <w:t>00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02BF6" w:rsidTr="0001177E">
        <w:tc>
          <w:tcPr>
            <w:tcW w:w="567" w:type="dxa"/>
          </w:tcPr>
          <w:p w:rsidR="00102BF6" w:rsidRPr="003B4DE8" w:rsidRDefault="00102BF6" w:rsidP="00102BF6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02BF6" w:rsidRDefault="00102BF6" w:rsidP="00102BF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4B23">
              <w:rPr>
                <w:b/>
                <w:snapToGrid w:val="0"/>
              </w:rPr>
              <w:t xml:space="preserve">EU-överläggning om </w:t>
            </w:r>
            <w:r>
              <w:rPr>
                <w:b/>
                <w:snapToGrid w:val="0"/>
              </w:rPr>
              <w:t>u</w:t>
            </w:r>
            <w:r w:rsidRPr="00B05D82">
              <w:rPr>
                <w:b/>
                <w:snapToGrid w:val="0"/>
              </w:rPr>
              <w:t>niversitetsstrategin</w:t>
            </w:r>
          </w:p>
          <w:p w:rsidR="00102BF6" w:rsidRPr="002D4B23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Pr="009F71C5">
              <w:t xml:space="preserve">Utskottet överlade med statssekreterare Samuel Engblom, biträdd av kansliråden Moa </w:t>
            </w:r>
            <w:proofErr w:type="spellStart"/>
            <w:r w:rsidRPr="009F71C5">
              <w:t>Ageberg</w:t>
            </w:r>
            <w:proofErr w:type="spellEnd"/>
            <w:r w:rsidRPr="009F71C5">
              <w:t xml:space="preserve"> och Anneli Helgesson samt departements</w:t>
            </w:r>
            <w:r w:rsidRPr="009F71C5">
              <w:softHyphen/>
              <w:t xml:space="preserve">sekreterarna Robin Moberg och Jonas </w:t>
            </w:r>
            <w:proofErr w:type="spellStart"/>
            <w:r w:rsidRPr="009F71C5">
              <w:t>Brynhildsen</w:t>
            </w:r>
            <w:proofErr w:type="spellEnd"/>
            <w:r w:rsidRPr="009F71C5">
              <w:t>, om universitetsstrategin.</w:t>
            </w:r>
          </w:p>
          <w:p w:rsidR="00102BF6" w:rsidRPr="002D4B23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</w:p>
          <w:p w:rsidR="00102BF6" w:rsidRPr="002D4B23" w:rsidRDefault="00102BF6" w:rsidP="00102BF6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Underlag för överläggningen</w:t>
            </w:r>
          </w:p>
          <w:p w:rsidR="00102BF6" w:rsidRPr="002D4B23" w:rsidRDefault="00102BF6" w:rsidP="00102BF6">
            <w:pPr>
              <w:rPr>
                <w:snapToGrid w:val="0"/>
              </w:rPr>
            </w:pPr>
            <w:r w:rsidRPr="002D4B23">
              <w:rPr>
                <w:snapToGrid w:val="0"/>
              </w:rPr>
              <w:t>Promemoria från Utbildningsdepartementet (</w:t>
            </w:r>
            <w:r w:rsidRPr="00741391">
              <w:rPr>
                <w:snapToGrid w:val="0"/>
              </w:rPr>
              <w:t>2021/</w:t>
            </w:r>
            <w:proofErr w:type="gramStart"/>
            <w:r w:rsidRPr="00741391">
              <w:rPr>
                <w:snapToGrid w:val="0"/>
              </w:rPr>
              <w:t>22:FPM</w:t>
            </w:r>
            <w:proofErr w:type="gramEnd"/>
            <w:r w:rsidRPr="00741391">
              <w:rPr>
                <w:snapToGrid w:val="0"/>
              </w:rPr>
              <w:t>63</w:t>
            </w:r>
            <w:r w:rsidRPr="002D4B23">
              <w:rPr>
                <w:snapToGrid w:val="0"/>
              </w:rPr>
              <w:t>)</w:t>
            </w:r>
          </w:p>
          <w:p w:rsidR="00102BF6" w:rsidRPr="002D4B23" w:rsidRDefault="00102BF6" w:rsidP="00102BF6">
            <w:pPr>
              <w:rPr>
                <w:snapToGrid w:val="0"/>
              </w:rPr>
            </w:pPr>
          </w:p>
          <w:p w:rsidR="00102BF6" w:rsidRPr="002D4B23" w:rsidRDefault="00102BF6" w:rsidP="00102BF6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Regeringens förslag till svensk ståndpunkt</w:t>
            </w:r>
          </w:p>
          <w:p w:rsidR="00102BF6" w:rsidRPr="00741391" w:rsidRDefault="00102BF6" w:rsidP="00102BF6">
            <w:pPr>
              <w:rPr>
                <w:snapToGrid w:val="0"/>
              </w:rPr>
            </w:pPr>
            <w:r w:rsidRPr="00741391">
              <w:rPr>
                <w:snapToGrid w:val="0"/>
              </w:rPr>
              <w:t>EU är centralt för svensk ekonomi, välfärd och kompetensförsörjning.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Sverige ska fullt ut delta i och forma EU-samarbetet på ett sätt som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värnar både svenska och europeiska intressen. Det gäller även inom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utbildningsområdet. Regeringen har en uttalad önskan om att högre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utbildning ska ha en stark internationell prägel och att mobiliteten ska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öka.</w:t>
            </w:r>
          </w:p>
          <w:p w:rsidR="00102BF6" w:rsidRPr="00741391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</w:p>
          <w:p w:rsidR="00102BF6" w:rsidRPr="00741391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  <w:r w:rsidRPr="00741391">
              <w:rPr>
                <w:snapToGrid w:val="0"/>
              </w:rPr>
              <w:t>Regeringen har noterat att kommissionen har presenterat flera initiativ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inom utbildningsområdet under den senaste tiden. Initiativ som väcker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frågor om EU:s respektive medlemsstaternas befogenhet på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utbildningsområdet. Regeringen vill understryka att den nationella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 xml:space="preserve">befogenheten på utbildningsområdet ska respekteras och att de föreslagna initiativen inte får vara kostnadsdrivande. </w:t>
            </w:r>
          </w:p>
          <w:p w:rsidR="00102BF6" w:rsidRPr="00741391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</w:p>
          <w:p w:rsidR="00102BF6" w:rsidRPr="00741391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  <w:r w:rsidRPr="00741391">
              <w:rPr>
                <w:snapToGrid w:val="0"/>
              </w:rPr>
              <w:t>Kommissionens har som ambition att upprätta det europeiska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utbildningsområdet till 2025 och Europauniversitet förväntas fortsatt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att vara en viktig komponent i det arbetet. Regeringen välkomnar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kommissionens satsning på Europauniversitet och ser det som en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intressant del i att på sikt upprätta det europeiska utbildningsområdet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och länka det till det europeiska forskningsområdet (ERA). Just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kopplingen mellan utbildning och forskning är en aspekt som kan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utvecklas i förslaget till rådsrekommendation.</w:t>
            </w:r>
          </w:p>
          <w:p w:rsidR="00102BF6" w:rsidRPr="00741391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</w:p>
          <w:p w:rsidR="00102BF6" w:rsidRPr="00741391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  <w:r w:rsidRPr="00741391">
              <w:rPr>
                <w:snapToGrid w:val="0"/>
              </w:rPr>
              <w:t>En annan fråga som regeringen ser som prioriterad är relationen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mellan det europeiska utbildningsområdet och det europeiska området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för högre utbildning, en fråga som kommissionen måste ta i beaktning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vid utformandet av rådsrekommendationen. Regeringens position är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att Bolognaprocessen, som bygger på frivillighet och förtroende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lastRenderedPageBreak/>
              <w:t>mellan olika länders utbildningssystem, är framgångsrik och ska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värnas. Även förhållandet mellan det europeiska forskningsområdet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och det europeiska utbildningsområdet behöver utvärderas.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Regeringen är också tveksam till om det finns behov av att utveckla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ett ramverk för extern kvalitetssäkring i och med att det redan finns ett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inom ramen för Bolognaprocessen.</w:t>
            </w:r>
          </w:p>
          <w:p w:rsidR="00102BF6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</w:p>
          <w:p w:rsidR="00102BF6" w:rsidRPr="00741391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  <w:r w:rsidRPr="00741391">
              <w:rPr>
                <w:snapToGrid w:val="0"/>
              </w:rPr>
              <w:t>Regeringen anser att behovet av ett observatorium för insamling av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data om högre utbildning på europeisk nivå behöver tydliggöras.</w:t>
            </w:r>
          </w:p>
          <w:p w:rsidR="00102BF6" w:rsidRPr="00741391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</w:p>
          <w:p w:rsidR="00102BF6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  <w:r w:rsidRPr="00741391">
              <w:rPr>
                <w:snapToGrid w:val="0"/>
              </w:rPr>
              <w:t>Regeringen är tveksam till förslagen om juridisk form och europeisk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examen. Det finns behov av förtydliganden från kommissionen om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vad initiativen skulle innebära för medlemsstaterna och universitet och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högskolor. Det är också viktigt att förslagen utformas som frivilliga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möjligheter för medlemsstaterna, så att de inte inkräktar på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medlemsstaternas befogenhet på utbildningsområdet.</w:t>
            </w:r>
          </w:p>
          <w:p w:rsidR="00102BF6" w:rsidRPr="002D4B23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</w:p>
          <w:p w:rsidR="00102BF6" w:rsidRPr="002D4B23" w:rsidRDefault="00102BF6" w:rsidP="00102BF6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2D4B23">
              <w:rPr>
                <w:i/>
                <w:snapToGrid w:val="0"/>
              </w:rPr>
              <w:t>Utskottet</w:t>
            </w:r>
          </w:p>
          <w:p w:rsidR="00102BF6" w:rsidRDefault="00102BF6" w:rsidP="00102BF6">
            <w:r w:rsidRPr="00F11C3E">
              <w:t>Ordföranden konstaterade att det fanns stöd för regeringens ståndpunkt.</w:t>
            </w:r>
            <w:r w:rsidRPr="007F03AF">
              <w:t xml:space="preserve"> </w:t>
            </w:r>
          </w:p>
          <w:p w:rsidR="00102BF6" w:rsidRDefault="00102BF6" w:rsidP="00102BF6"/>
          <w:p w:rsidR="00102BF6" w:rsidRDefault="00102BF6" w:rsidP="00102BF6">
            <w:r>
              <w:t>Ledamöterna från Moderaterna, Sverigedemokraterna och Kristdemo</w:t>
            </w:r>
            <w:r>
              <w:softHyphen/>
              <w:t>kraterna lämnade en avvikande ståndpunkt om att regeringens ståndpunkt bör omformuleras enligt följande.</w:t>
            </w:r>
          </w:p>
          <w:p w:rsidR="00102BF6" w:rsidRDefault="00102BF6" w:rsidP="00102BF6"/>
          <w:p w:rsidR="00102BF6" w:rsidRDefault="00102BF6" w:rsidP="00102BF6">
            <w:r>
              <w:t xml:space="preserve">Den sista meningen i fjärde stycket bör formuleras som följer. </w:t>
            </w:r>
          </w:p>
          <w:p w:rsidR="00102BF6" w:rsidRDefault="00102BF6" w:rsidP="00102BF6">
            <w:pPr>
              <w:rPr>
                <w:snapToGrid w:val="0"/>
              </w:rPr>
            </w:pPr>
            <w:r w:rsidRPr="00024344">
              <w:rPr>
                <w:snapToGrid w:val="0"/>
              </w:rPr>
              <w:t>Regeringen anser inte att det finns behov</w:t>
            </w:r>
            <w:r w:rsidRPr="00741391">
              <w:rPr>
                <w:snapToGrid w:val="0"/>
              </w:rPr>
              <w:t xml:space="preserve"> av att utveckla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ett ramverk för extern kvalitetssäkring i och med att det redan finns ett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inom ramen för Bolognaprocessen.</w:t>
            </w:r>
          </w:p>
          <w:p w:rsidR="00102BF6" w:rsidRDefault="00102BF6" w:rsidP="00102BF6"/>
          <w:p w:rsidR="00102BF6" w:rsidRDefault="00102BF6" w:rsidP="00102BF6">
            <w:r>
              <w:t xml:space="preserve">De två första meningarna i det sista stycket bör formuleras som följer. Regeringen ställer sig mycket skeptisk till förslagen om </w:t>
            </w:r>
            <w:r w:rsidRPr="00741391">
              <w:rPr>
                <w:snapToGrid w:val="0"/>
              </w:rPr>
              <w:t>juridisk form och europeisk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examen</w:t>
            </w:r>
            <w:r>
              <w:rPr>
                <w:snapToGrid w:val="0"/>
              </w:rPr>
              <w:t xml:space="preserve">. I ett första skede behöver kommissionen förtydliga vad </w:t>
            </w:r>
            <w:r w:rsidRPr="00741391">
              <w:rPr>
                <w:snapToGrid w:val="0"/>
              </w:rPr>
              <w:t>initiativen skulle innebära för medlemsstaterna och universitet och</w:t>
            </w:r>
            <w:r>
              <w:rPr>
                <w:snapToGrid w:val="0"/>
              </w:rPr>
              <w:t xml:space="preserve"> </w:t>
            </w:r>
            <w:r w:rsidRPr="00741391">
              <w:rPr>
                <w:snapToGrid w:val="0"/>
              </w:rPr>
              <w:t>högskolor</w:t>
            </w:r>
            <w:r>
              <w:rPr>
                <w:snapToGrid w:val="0"/>
              </w:rPr>
              <w:t xml:space="preserve">. </w:t>
            </w:r>
          </w:p>
          <w:p w:rsidR="00102BF6" w:rsidRPr="00102F48" w:rsidRDefault="00102BF6" w:rsidP="00102BF6">
            <w:pPr>
              <w:rPr>
                <w:snapToGrid w:val="0"/>
                <w:highlight w:val="yellow"/>
              </w:rPr>
            </w:pPr>
          </w:p>
          <w:p w:rsidR="00102BF6" w:rsidRPr="00230C9F" w:rsidRDefault="00102BF6" w:rsidP="00102BF6">
            <w:r w:rsidRPr="00C92DB6">
              <w:t>Denna paragraf förklarades omedelbart justerad.</w:t>
            </w:r>
            <w:r w:rsidRPr="00230C9F">
              <w:t xml:space="preserve"> </w:t>
            </w:r>
          </w:p>
          <w:p w:rsidR="00102BF6" w:rsidRPr="00230C9F" w:rsidRDefault="00102BF6" w:rsidP="00102BF6">
            <w:pPr>
              <w:pStyle w:val="Default"/>
              <w:rPr>
                <w:snapToGrid w:val="0"/>
              </w:rPr>
            </w:pPr>
          </w:p>
        </w:tc>
      </w:tr>
      <w:tr w:rsidR="00102BF6" w:rsidTr="0001177E">
        <w:tc>
          <w:tcPr>
            <w:tcW w:w="567" w:type="dxa"/>
          </w:tcPr>
          <w:p w:rsidR="00102BF6" w:rsidRPr="003B4DE8" w:rsidRDefault="00102BF6" w:rsidP="00102BF6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02BF6" w:rsidRDefault="00102BF6" w:rsidP="00102BF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02BF6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</w:p>
          <w:p w:rsidR="00102BF6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2021/22:23.</w:t>
            </w:r>
          </w:p>
          <w:p w:rsidR="00102BF6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02BF6" w:rsidTr="0001177E">
        <w:tc>
          <w:tcPr>
            <w:tcW w:w="567" w:type="dxa"/>
          </w:tcPr>
          <w:p w:rsidR="00102BF6" w:rsidRPr="003B4DE8" w:rsidRDefault="00102BF6" w:rsidP="00102BF6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02BF6" w:rsidRDefault="00102BF6" w:rsidP="00102BF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102BF6" w:rsidRDefault="00102BF6" w:rsidP="00102BF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02BF6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EU-dokument anmäldes enligt bilaga 2.</w:t>
            </w:r>
          </w:p>
          <w:p w:rsidR="00102BF6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02BF6" w:rsidTr="0001177E">
        <w:tc>
          <w:tcPr>
            <w:tcW w:w="567" w:type="dxa"/>
          </w:tcPr>
          <w:p w:rsidR="00102BF6" w:rsidRPr="003B4DE8" w:rsidRDefault="00102BF6" w:rsidP="00102BF6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02BF6" w:rsidRDefault="00102BF6" w:rsidP="00102BF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Övergripande skolfrågor (UbU14)</w:t>
            </w:r>
          </w:p>
          <w:p w:rsidR="00102BF6" w:rsidRDefault="00102BF6" w:rsidP="00102BF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02BF6" w:rsidRPr="00D70DF1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  <w:r w:rsidRPr="00D70DF1">
              <w:rPr>
                <w:snapToGrid w:val="0"/>
              </w:rPr>
              <w:t>Utskottet fortsatte behandlingen av motioner.</w:t>
            </w:r>
          </w:p>
          <w:p w:rsidR="00102BF6" w:rsidRPr="00D70DF1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</w:p>
          <w:p w:rsidR="00102BF6" w:rsidRPr="00D70DF1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  <w:r w:rsidRPr="00D70DF1">
              <w:rPr>
                <w:snapToGrid w:val="0"/>
              </w:rPr>
              <w:t>Ärendet bordlades.</w:t>
            </w:r>
          </w:p>
          <w:p w:rsidR="00102BF6" w:rsidRPr="00CD461C" w:rsidRDefault="00102BF6" w:rsidP="00102BF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02BF6" w:rsidTr="0001177E">
        <w:tc>
          <w:tcPr>
            <w:tcW w:w="567" w:type="dxa"/>
          </w:tcPr>
          <w:p w:rsidR="00102BF6" w:rsidRPr="003B4DE8" w:rsidRDefault="00102BF6" w:rsidP="00102BF6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02BF6" w:rsidRDefault="00102BF6" w:rsidP="00102BF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Lärare och elever (UbU16)</w:t>
            </w:r>
          </w:p>
          <w:p w:rsidR="00102BF6" w:rsidRDefault="00102BF6" w:rsidP="00102BF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02BF6" w:rsidRPr="00D70DF1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  <w:r w:rsidRPr="00D70DF1">
              <w:rPr>
                <w:snapToGrid w:val="0"/>
              </w:rPr>
              <w:t>Utskottet fortsatte behandlingen av motioner.</w:t>
            </w:r>
          </w:p>
          <w:p w:rsidR="00102BF6" w:rsidRPr="00D70DF1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</w:p>
          <w:p w:rsidR="00102BF6" w:rsidRPr="00D70DF1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  <w:r w:rsidRPr="00D70DF1">
              <w:rPr>
                <w:snapToGrid w:val="0"/>
              </w:rPr>
              <w:t>Ärendet bordlades.</w:t>
            </w:r>
          </w:p>
          <w:p w:rsidR="00102BF6" w:rsidRPr="00CD461C" w:rsidRDefault="00102BF6" w:rsidP="00102BF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02BF6" w:rsidTr="0001177E">
        <w:tc>
          <w:tcPr>
            <w:tcW w:w="567" w:type="dxa"/>
          </w:tcPr>
          <w:p w:rsidR="00102BF6" w:rsidRPr="00656420" w:rsidRDefault="00102BF6" w:rsidP="00102BF6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02BF6" w:rsidRDefault="00102BF6" w:rsidP="00102BF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102BF6" w:rsidRDefault="00102BF6" w:rsidP="00102BF6">
            <w:pPr>
              <w:tabs>
                <w:tab w:val="left" w:pos="1701"/>
              </w:tabs>
              <w:rPr>
                <w:szCs w:val="24"/>
              </w:rPr>
            </w:pPr>
          </w:p>
          <w:p w:rsidR="00102BF6" w:rsidRDefault="00102BF6" w:rsidP="00102BF6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torsdagen den 3 mars 2022 kl. 10.00.</w:t>
            </w:r>
          </w:p>
          <w:p w:rsidR="00102BF6" w:rsidRDefault="00102BF6" w:rsidP="00102BF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02BF6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102BF6" w:rsidRDefault="00102BF6" w:rsidP="00102BF6">
            <w:pPr>
              <w:tabs>
                <w:tab w:val="left" w:pos="1701"/>
              </w:tabs>
              <w:rPr>
                <w:b/>
              </w:rPr>
            </w:pPr>
          </w:p>
          <w:p w:rsidR="00102BF6" w:rsidRDefault="00102BF6" w:rsidP="00102BF6">
            <w:pPr>
              <w:tabs>
                <w:tab w:val="left" w:pos="1701"/>
              </w:tabs>
            </w:pPr>
            <w:r>
              <w:t>Vid protokollet</w:t>
            </w:r>
          </w:p>
          <w:p w:rsidR="00102BF6" w:rsidRDefault="00102BF6" w:rsidP="00102BF6">
            <w:pPr>
              <w:tabs>
                <w:tab w:val="left" w:pos="1701"/>
              </w:tabs>
            </w:pPr>
          </w:p>
          <w:p w:rsidR="00102BF6" w:rsidRDefault="00102BF6" w:rsidP="00102BF6">
            <w:pPr>
              <w:tabs>
                <w:tab w:val="left" w:pos="1701"/>
              </w:tabs>
            </w:pPr>
          </w:p>
          <w:p w:rsidR="00102BF6" w:rsidRDefault="00102BF6" w:rsidP="00102BF6">
            <w:pPr>
              <w:tabs>
                <w:tab w:val="left" w:pos="1701"/>
              </w:tabs>
            </w:pPr>
            <w:r>
              <w:t>Karolin</w:t>
            </w:r>
            <w:r w:rsidR="00A72916">
              <w:t>a</w:t>
            </w:r>
            <w:r>
              <w:t xml:space="preserve"> Gustafson</w:t>
            </w:r>
          </w:p>
          <w:p w:rsidR="00102BF6" w:rsidRDefault="00102BF6" w:rsidP="00102BF6">
            <w:pPr>
              <w:tabs>
                <w:tab w:val="left" w:pos="1701"/>
              </w:tabs>
            </w:pPr>
          </w:p>
          <w:p w:rsidR="00102BF6" w:rsidRDefault="00102BF6" w:rsidP="00102BF6">
            <w:pPr>
              <w:tabs>
                <w:tab w:val="left" w:pos="1701"/>
              </w:tabs>
            </w:pPr>
          </w:p>
          <w:p w:rsidR="00102BF6" w:rsidRDefault="00102BF6" w:rsidP="00102BF6">
            <w:pPr>
              <w:tabs>
                <w:tab w:val="left" w:pos="1701"/>
              </w:tabs>
            </w:pPr>
            <w:r w:rsidRPr="00C56172">
              <w:t xml:space="preserve">Justeras </w:t>
            </w:r>
            <w:r>
              <w:t>tors</w:t>
            </w:r>
            <w:r w:rsidRPr="00C56172">
              <w:t xml:space="preserve">dagen </w:t>
            </w:r>
            <w:r>
              <w:t>den 3 mars 2022</w:t>
            </w:r>
          </w:p>
          <w:p w:rsidR="00102BF6" w:rsidRDefault="00102BF6" w:rsidP="00102BF6">
            <w:pPr>
              <w:tabs>
                <w:tab w:val="left" w:pos="1701"/>
              </w:tabs>
            </w:pPr>
          </w:p>
          <w:p w:rsidR="00102BF6" w:rsidRDefault="00102BF6" w:rsidP="00102BF6">
            <w:pPr>
              <w:tabs>
                <w:tab w:val="left" w:pos="1701"/>
              </w:tabs>
            </w:pPr>
          </w:p>
          <w:p w:rsidR="00102BF6" w:rsidRDefault="00102BF6" w:rsidP="00102BF6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102BF6" w:rsidRDefault="00102BF6" w:rsidP="00102BF6">
            <w:pPr>
              <w:tabs>
                <w:tab w:val="left" w:pos="1701"/>
              </w:tabs>
              <w:rPr>
                <w:b/>
              </w:rPr>
            </w:pPr>
          </w:p>
          <w:p w:rsidR="00102BF6" w:rsidRDefault="00102BF6" w:rsidP="00102BF6">
            <w:pPr>
              <w:tabs>
                <w:tab w:val="left" w:pos="1701"/>
              </w:tabs>
              <w:rPr>
                <w:b/>
              </w:rPr>
            </w:pPr>
          </w:p>
          <w:p w:rsidR="00102BF6" w:rsidRDefault="00102BF6" w:rsidP="00102BF6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977"/>
        <w:gridCol w:w="425"/>
        <w:gridCol w:w="45"/>
        <w:gridCol w:w="356"/>
        <w:gridCol w:w="356"/>
        <w:gridCol w:w="356"/>
        <w:gridCol w:w="356"/>
        <w:gridCol w:w="356"/>
        <w:gridCol w:w="356"/>
        <w:gridCol w:w="356"/>
        <w:gridCol w:w="86"/>
        <w:gridCol w:w="270"/>
        <w:gridCol w:w="356"/>
        <w:gridCol w:w="356"/>
        <w:gridCol w:w="356"/>
        <w:gridCol w:w="356"/>
        <w:gridCol w:w="356"/>
        <w:gridCol w:w="356"/>
      </w:tblGrid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  <w:r w:rsidRPr="00310016">
              <w:t>NÄRVAROFÖRTECKNING</w:t>
            </w: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310016" w:rsidRPr="00AC5D16" w:rsidRDefault="00310016" w:rsidP="00310016">
            <w:pPr>
              <w:tabs>
                <w:tab w:val="left" w:pos="1276"/>
              </w:tabs>
            </w:pPr>
            <w:r w:rsidRPr="00AC5D16">
              <w:t>till protokoll</w:t>
            </w:r>
          </w:p>
          <w:p w:rsidR="00310016" w:rsidRP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 w:rsidRPr="00AC5D16">
              <w:t>2021/22:2</w:t>
            </w:r>
            <w:r w:rsidR="00D70DF1">
              <w:t>4</w:t>
            </w:r>
          </w:p>
        </w:tc>
      </w:tr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10016" w:rsidTr="00310016"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proofErr w:type="gramStart"/>
            <w:r w:rsidR="00D70DF1">
              <w:rPr>
                <w:sz w:val="22"/>
              </w:rPr>
              <w:t>1-</w:t>
            </w:r>
            <w:r w:rsidR="00B502BA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D70DF1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B502BA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D70DF1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B502BA">
              <w:rPr>
                <w:sz w:val="22"/>
              </w:rPr>
              <w:t>4</w:t>
            </w:r>
            <w:r>
              <w:rPr>
                <w:sz w:val="22"/>
              </w:rPr>
              <w:t>-6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6110B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RPr="0000117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3D41A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00117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00117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00117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00117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00117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00117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00117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00117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00117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00117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00117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EC27A5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3D41A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3D41A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3D41A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3D41A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3D41A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3D41A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3D41A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3D41A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3D41A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3D41A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3D41A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3D41A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3D41A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B502BA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B502BA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B502BA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70DF1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3D41A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70DF1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0C461C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9E1FCA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70DF1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0C461C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70DF1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0C461C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402D5D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0C461C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0C461C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0C461C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0C461C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Pontus Andersson </w:t>
            </w:r>
            <w:r w:rsidRPr="000C461C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3D41A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3D41A2" w:rsidRDefault="00D70DF1" w:rsidP="00D70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3D41A2" w:rsidRDefault="00D70DF1" w:rsidP="00D70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3D41A2" w:rsidRDefault="00D70DF1" w:rsidP="00D70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Pr="003D41A2" w:rsidRDefault="00D70DF1" w:rsidP="00D70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0DF1" w:rsidTr="00310016"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:rsidR="00D70DF1" w:rsidRPr="003D41A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D70DF1" w:rsidTr="00310016"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:rsidR="00D70DF1" w:rsidRPr="003D41A2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D70DF1" w:rsidRDefault="00D70DF1" w:rsidP="00D70D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D5042C">
      <w:bookmarkStart w:id="0" w:name="_GoBack"/>
      <w:bookmarkEnd w:id="0"/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2E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02BF6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F1D2E"/>
    <w:rsid w:val="00501D18"/>
    <w:rsid w:val="005054C4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3A48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28EC"/>
    <w:rsid w:val="00A47DB2"/>
    <w:rsid w:val="00A65178"/>
    <w:rsid w:val="00A66B33"/>
    <w:rsid w:val="00A72916"/>
    <w:rsid w:val="00A84772"/>
    <w:rsid w:val="00A956F9"/>
    <w:rsid w:val="00AB2E46"/>
    <w:rsid w:val="00AB3B80"/>
    <w:rsid w:val="00AB5776"/>
    <w:rsid w:val="00AC5D16"/>
    <w:rsid w:val="00AD44A0"/>
    <w:rsid w:val="00AF4D2B"/>
    <w:rsid w:val="00AF62C3"/>
    <w:rsid w:val="00B1265F"/>
    <w:rsid w:val="00B2693D"/>
    <w:rsid w:val="00B36F2A"/>
    <w:rsid w:val="00B40576"/>
    <w:rsid w:val="00B432F2"/>
    <w:rsid w:val="00B502BA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07099"/>
    <w:rsid w:val="00C1169B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5042C"/>
    <w:rsid w:val="00D63878"/>
    <w:rsid w:val="00D65276"/>
    <w:rsid w:val="00D67D14"/>
    <w:rsid w:val="00D70DF1"/>
    <w:rsid w:val="00D73858"/>
    <w:rsid w:val="00D817DA"/>
    <w:rsid w:val="00D81F84"/>
    <w:rsid w:val="00D85D67"/>
    <w:rsid w:val="00DA2684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4C86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D8372-FE27-4544-A2D0-64D7C71A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customStyle="1" w:styleId="Default">
    <w:name w:val="Default"/>
    <w:rsid w:val="00102B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A7291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A72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53</TotalTime>
  <Pages>5</Pages>
  <Words>831</Words>
  <Characters>5606</Characters>
  <Application>Microsoft Office Word</Application>
  <DocSecurity>0</DocSecurity>
  <Lines>46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10</cp:revision>
  <cp:lastPrinted>2022-03-01T13:49:00Z</cp:lastPrinted>
  <dcterms:created xsi:type="dcterms:W3CDTF">2022-02-22T08:15:00Z</dcterms:created>
  <dcterms:modified xsi:type="dcterms:W3CDTF">2022-03-15T13:33:00Z</dcterms:modified>
</cp:coreProperties>
</file>