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4177F-ED39-4D9D-9882-423FDEB9F253}"/>
</file>

<file path=customXml/itemProps2.xml><?xml version="1.0" encoding="utf-8"?>
<ds:datastoreItem xmlns:ds="http://schemas.openxmlformats.org/officeDocument/2006/customXml" ds:itemID="{C7131C9A-B680-42DF-AF3B-C267C79CB7EF}"/>
</file>

<file path=customXml/itemProps3.xml><?xml version="1.0" encoding="utf-8"?>
<ds:datastoreItem xmlns:ds="http://schemas.openxmlformats.org/officeDocument/2006/customXml" ds:itemID="{03C948F1-8B4C-4399-87C3-B903EFF3907D}"/>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