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321" w:rsidRPr="009744E5" w:rsidRDefault="004C5321">
      <w:pPr>
        <w:pStyle w:val="Hemstlrubrik"/>
      </w:pPr>
      <w:r w:rsidRPr="009744E5">
        <w:t>Förslag till riksdagsbeslut</w:t>
      </w:r>
    </w:p>
    <w:p w:rsidR="004C5321" w:rsidRPr="009744E5" w:rsidRDefault="004C5321">
      <w:pPr>
        <w:pStyle w:val="Hemstlatt"/>
        <w:ind w:left="0"/>
      </w:pPr>
      <w:r w:rsidRPr="009744E5">
        <w:t>Riksdagen tillkännager för regeringen som sin mening vad som anförs i motionen om behovet av en framtida satsning på riksväg 70.</w:t>
      </w:r>
    </w:p>
    <w:p w:rsidR="004C5321" w:rsidRPr="009744E5" w:rsidRDefault="004C5321">
      <w:pPr>
        <w:pStyle w:val="Rubrik1"/>
      </w:pPr>
      <w:r w:rsidRPr="009744E5">
        <w:t>Motivering</w:t>
      </w:r>
    </w:p>
    <w:p w:rsidR="004C5321" w:rsidRPr="009744E5" w:rsidRDefault="004C5321">
      <w:pPr>
        <w:autoSpaceDE w:val="0"/>
        <w:autoSpaceDN w:val="0"/>
        <w:adjustRightInd w:val="0"/>
        <w:rPr>
          <w:color w:val="000000"/>
        </w:rPr>
      </w:pPr>
      <w:r w:rsidRPr="009744E5">
        <w:rPr>
          <w:color w:val="000000"/>
        </w:rPr>
        <w:t xml:space="preserve">Riksväg 70 är den väg som börjar i Enköping och slutar vid norska gränsen vid Idre. På den norska sidan av gränsen byter vägen nummer till 218. Inom Sverige passerar vägen via Sala, Avesta, Hedemora, Säter, Borlänge, Rättvik, Mora och Älvdalen. Den är cirka </w:t>
      </w:r>
      <w:smartTag w:uri="urn:schemas-microsoft-com:office:smarttags" w:element="metricconverter">
        <w:smartTagPr>
          <w:attr w:name="ProductID" w:val="430 kilometer"/>
        </w:smartTagPr>
        <w:r w:rsidRPr="009744E5">
          <w:rPr>
            <w:color w:val="000000"/>
          </w:rPr>
          <w:t>430 kilometer</w:t>
        </w:r>
      </w:smartTag>
      <w:r w:rsidRPr="009744E5">
        <w:rPr>
          <w:color w:val="000000"/>
        </w:rPr>
        <w:t xml:space="preserve"> lång och är en huvudpulsåder för dalfolkets transporte</w:t>
      </w:r>
      <w:r w:rsidRPr="009744E5">
        <w:rPr>
          <w:color w:val="000000"/>
          <w:spacing w:val="-2"/>
        </w:rPr>
        <w:t>r på väg till och från Stockholmsområdet. Två Euro</w:t>
      </w:r>
      <w:r w:rsidRPr="009744E5">
        <w:rPr>
          <w:color w:val="000000"/>
        </w:rPr>
        <w:t>p</w:t>
      </w:r>
      <w:r w:rsidRPr="009744E5">
        <w:rPr>
          <w:color w:val="000000"/>
        </w:rPr>
        <w:t>a</w:t>
      </w:r>
      <w:r w:rsidRPr="009744E5">
        <w:rPr>
          <w:color w:val="000000"/>
        </w:rPr>
        <w:t>vägar, sju riksvägar och fyra länsvägar ansluter till riksväg 70 och bidrar därför till trafiktillströmning på vägen.</w:t>
      </w:r>
    </w:p>
    <w:p w:rsidR="004C5321" w:rsidRPr="009744E5" w:rsidRDefault="004C5321">
      <w:pPr>
        <w:pStyle w:val="Normaltindrag"/>
      </w:pPr>
      <w:r w:rsidRPr="009744E5">
        <w:t>Trafikmängderna efter riksväg 70 är stora och ökande. De omfattar trafik för näringsliv, turism och privatresande. Vägstandarden motsvarar inte de krav som den ökande trafikmängden ställer. De sämsta delarna standardmä</w:t>
      </w:r>
      <w:r w:rsidRPr="009744E5">
        <w:t>s</w:t>
      </w:r>
      <w:r w:rsidRPr="009744E5">
        <w:t>sigt finns i Västmanland, norr om Borlänge och närmast söder om Särna.</w:t>
      </w:r>
    </w:p>
    <w:p w:rsidR="004C5321" w:rsidRPr="009744E5" w:rsidRDefault="004C5321">
      <w:pPr>
        <w:pStyle w:val="Normaltindrag"/>
      </w:pPr>
      <w:r w:rsidRPr="009744E5">
        <w:t>Så här ser trafikmängderna ut per dygn år 2006 (andelen tung trafik inom parentes):</w:t>
      </w:r>
    </w:p>
    <w:tbl>
      <w:tblPr>
        <w:tblStyle w:val="Tabellrutnt"/>
        <w:tblW w:w="6025" w:type="dxa"/>
        <w:tblInd w:w="5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1134"/>
        <w:gridCol w:w="1063"/>
        <w:gridCol w:w="2552"/>
      </w:tblGrid>
      <w:tr w:rsidR="00000000" w:rsidRPr="009744E5">
        <w:tc>
          <w:tcPr>
            <w:tcW w:w="1276" w:type="dxa"/>
            <w:tcMar>
              <w:left w:w="57" w:type="dxa"/>
              <w:right w:w="57" w:type="dxa"/>
            </w:tcMar>
          </w:tcPr>
          <w:p w:rsidR="004C5321" w:rsidRPr="009744E5" w:rsidRDefault="004C5321">
            <w:pPr>
              <w:pStyle w:val="Normaltindrag"/>
              <w:spacing w:before="60"/>
              <w:ind w:firstLine="0"/>
              <w:rPr>
                <w:sz w:val="16"/>
                <w:szCs w:val="16"/>
              </w:rPr>
            </w:pPr>
            <w:r w:rsidRPr="009744E5">
              <w:rPr>
                <w:sz w:val="16"/>
                <w:szCs w:val="16"/>
              </w:rPr>
              <w:t>Enköping–Sala</w:t>
            </w:r>
          </w:p>
        </w:tc>
        <w:tc>
          <w:tcPr>
            <w:tcW w:w="1134" w:type="dxa"/>
            <w:tcMar>
              <w:left w:w="57" w:type="dxa"/>
              <w:right w:w="57" w:type="dxa"/>
            </w:tcMar>
          </w:tcPr>
          <w:p w:rsidR="004C5321" w:rsidRPr="009744E5" w:rsidRDefault="004C5321">
            <w:pPr>
              <w:pStyle w:val="Normaltindrag"/>
              <w:spacing w:before="60"/>
              <w:ind w:firstLine="0"/>
              <w:jc w:val="left"/>
              <w:rPr>
                <w:sz w:val="16"/>
                <w:szCs w:val="16"/>
              </w:rPr>
            </w:pPr>
            <w:r w:rsidRPr="009744E5">
              <w:rPr>
                <w:sz w:val="16"/>
                <w:szCs w:val="16"/>
              </w:rPr>
              <w:t>5 000–8 000</w:t>
            </w:r>
          </w:p>
        </w:tc>
        <w:tc>
          <w:tcPr>
            <w:tcW w:w="1063" w:type="dxa"/>
            <w:tcMar>
              <w:left w:w="57" w:type="dxa"/>
              <w:right w:w="57" w:type="dxa"/>
            </w:tcMar>
          </w:tcPr>
          <w:p w:rsidR="004C5321" w:rsidRPr="009744E5" w:rsidRDefault="004C5321">
            <w:pPr>
              <w:pStyle w:val="Normaltindrag"/>
              <w:spacing w:before="60"/>
              <w:ind w:firstLine="0"/>
              <w:jc w:val="left"/>
              <w:rPr>
                <w:sz w:val="16"/>
                <w:szCs w:val="16"/>
              </w:rPr>
            </w:pPr>
            <w:r w:rsidRPr="009744E5">
              <w:rPr>
                <w:sz w:val="16"/>
                <w:szCs w:val="16"/>
              </w:rPr>
              <w:t>(500–900)</w:t>
            </w:r>
          </w:p>
        </w:tc>
        <w:tc>
          <w:tcPr>
            <w:tcW w:w="2552" w:type="dxa"/>
            <w:tcMar>
              <w:left w:w="57" w:type="dxa"/>
              <w:right w:w="57" w:type="dxa"/>
            </w:tcMar>
          </w:tcPr>
          <w:p w:rsidR="004C5321" w:rsidRPr="009744E5" w:rsidRDefault="004C5321">
            <w:pPr>
              <w:pStyle w:val="Normaltindrag"/>
              <w:spacing w:before="60"/>
              <w:ind w:left="14" w:firstLine="0"/>
              <w:rPr>
                <w:sz w:val="16"/>
                <w:szCs w:val="16"/>
              </w:rPr>
            </w:pPr>
            <w:r w:rsidRPr="009744E5">
              <w:rPr>
                <w:sz w:val="16"/>
                <w:szCs w:val="16"/>
              </w:rPr>
              <w:t xml:space="preserve">Närmast Enköping 12 000 (900) </w:t>
            </w:r>
          </w:p>
          <w:p w:rsidR="004C5321" w:rsidRPr="009744E5" w:rsidRDefault="004C5321">
            <w:pPr>
              <w:pStyle w:val="Normaltindrag"/>
              <w:ind w:left="14" w:firstLine="0"/>
              <w:jc w:val="left"/>
              <w:rPr>
                <w:sz w:val="16"/>
                <w:szCs w:val="16"/>
              </w:rPr>
            </w:pPr>
            <w:r w:rsidRPr="009744E5">
              <w:rPr>
                <w:sz w:val="16"/>
                <w:szCs w:val="16"/>
              </w:rPr>
              <w:t>Närmast Sala 10 000 (900)</w:t>
            </w:r>
          </w:p>
        </w:tc>
      </w:tr>
      <w:tr w:rsidR="00000000" w:rsidRPr="009744E5">
        <w:tc>
          <w:tcPr>
            <w:tcW w:w="1276" w:type="dxa"/>
            <w:tcMar>
              <w:left w:w="57" w:type="dxa"/>
              <w:right w:w="57" w:type="dxa"/>
            </w:tcMar>
          </w:tcPr>
          <w:p w:rsidR="004C5321" w:rsidRPr="009744E5" w:rsidRDefault="004C5321">
            <w:pPr>
              <w:pStyle w:val="Normaltindrag"/>
              <w:ind w:firstLine="0"/>
              <w:rPr>
                <w:sz w:val="16"/>
                <w:szCs w:val="16"/>
              </w:rPr>
            </w:pPr>
            <w:r w:rsidRPr="009744E5">
              <w:rPr>
                <w:sz w:val="16"/>
                <w:szCs w:val="16"/>
              </w:rPr>
              <w:t>Sala–Avesta</w:t>
            </w:r>
          </w:p>
        </w:tc>
        <w:tc>
          <w:tcPr>
            <w:tcW w:w="1134"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6 000–8 000</w:t>
            </w:r>
          </w:p>
        </w:tc>
        <w:tc>
          <w:tcPr>
            <w:tcW w:w="1063"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(800–900)</w:t>
            </w:r>
          </w:p>
        </w:tc>
        <w:tc>
          <w:tcPr>
            <w:tcW w:w="2552" w:type="dxa"/>
            <w:tcMar>
              <w:left w:w="57" w:type="dxa"/>
              <w:right w:w="57" w:type="dxa"/>
            </w:tcMar>
          </w:tcPr>
          <w:p w:rsidR="004C5321" w:rsidRPr="009744E5" w:rsidRDefault="004C5321">
            <w:pPr>
              <w:pStyle w:val="Normaltindrag"/>
              <w:ind w:left="14" w:firstLine="0"/>
              <w:jc w:val="left"/>
              <w:rPr>
                <w:sz w:val="16"/>
                <w:szCs w:val="16"/>
              </w:rPr>
            </w:pPr>
            <w:r w:rsidRPr="009744E5">
              <w:rPr>
                <w:sz w:val="16"/>
                <w:szCs w:val="16"/>
              </w:rPr>
              <w:t>Förbi Avesta  9 000 (1 100)</w:t>
            </w:r>
          </w:p>
        </w:tc>
      </w:tr>
      <w:tr w:rsidR="00000000" w:rsidRPr="009744E5">
        <w:tc>
          <w:tcPr>
            <w:tcW w:w="1276" w:type="dxa"/>
            <w:tcMar>
              <w:left w:w="57" w:type="dxa"/>
              <w:right w:w="57" w:type="dxa"/>
            </w:tcMar>
          </w:tcPr>
          <w:p w:rsidR="004C5321" w:rsidRPr="009744E5" w:rsidRDefault="004C5321">
            <w:pPr>
              <w:pStyle w:val="Normaltindrag"/>
              <w:ind w:firstLine="0"/>
              <w:rPr>
                <w:sz w:val="16"/>
                <w:szCs w:val="16"/>
              </w:rPr>
            </w:pPr>
            <w:r w:rsidRPr="009744E5">
              <w:rPr>
                <w:sz w:val="16"/>
                <w:szCs w:val="16"/>
              </w:rPr>
              <w:t>Avesta–Borlänge</w:t>
            </w:r>
          </w:p>
        </w:tc>
        <w:tc>
          <w:tcPr>
            <w:tcW w:w="1134"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7 000–10 000</w:t>
            </w:r>
          </w:p>
        </w:tc>
        <w:tc>
          <w:tcPr>
            <w:tcW w:w="1063"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(800–1 100)</w:t>
            </w:r>
          </w:p>
        </w:tc>
        <w:tc>
          <w:tcPr>
            <w:tcW w:w="2552" w:type="dxa"/>
            <w:tcMar>
              <w:left w:w="57" w:type="dxa"/>
              <w:right w:w="57" w:type="dxa"/>
            </w:tcMar>
          </w:tcPr>
          <w:p w:rsidR="004C5321" w:rsidRPr="009744E5" w:rsidRDefault="004C5321">
            <w:pPr>
              <w:pStyle w:val="Normaltindrag"/>
              <w:ind w:left="14" w:firstLine="0"/>
              <w:jc w:val="left"/>
              <w:rPr>
                <w:sz w:val="16"/>
                <w:szCs w:val="16"/>
              </w:rPr>
            </w:pPr>
            <w:r w:rsidRPr="009744E5">
              <w:rPr>
                <w:sz w:val="16"/>
                <w:szCs w:val="16"/>
              </w:rPr>
              <w:t>Genom Borlänge 16 000 (1 100)</w:t>
            </w:r>
          </w:p>
        </w:tc>
      </w:tr>
      <w:tr w:rsidR="00000000" w:rsidRPr="009744E5">
        <w:tc>
          <w:tcPr>
            <w:tcW w:w="1276" w:type="dxa"/>
            <w:tcMar>
              <w:left w:w="57" w:type="dxa"/>
              <w:right w:w="57" w:type="dxa"/>
            </w:tcMar>
          </w:tcPr>
          <w:p w:rsidR="004C5321" w:rsidRPr="009744E5" w:rsidRDefault="004C5321">
            <w:pPr>
              <w:pStyle w:val="Normaltindrag"/>
              <w:ind w:firstLine="0"/>
              <w:rPr>
                <w:sz w:val="16"/>
                <w:szCs w:val="16"/>
              </w:rPr>
            </w:pPr>
            <w:r w:rsidRPr="009744E5">
              <w:rPr>
                <w:sz w:val="16"/>
                <w:szCs w:val="16"/>
              </w:rPr>
              <w:t>Borlänge–Mora</w:t>
            </w:r>
          </w:p>
        </w:tc>
        <w:tc>
          <w:tcPr>
            <w:tcW w:w="1134"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5 000–10 000</w:t>
            </w:r>
          </w:p>
        </w:tc>
        <w:tc>
          <w:tcPr>
            <w:tcW w:w="1063"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(500–1 000)</w:t>
            </w:r>
          </w:p>
        </w:tc>
        <w:tc>
          <w:tcPr>
            <w:tcW w:w="2552" w:type="dxa"/>
            <w:tcMar>
              <w:left w:w="57" w:type="dxa"/>
              <w:right w:w="57" w:type="dxa"/>
            </w:tcMar>
          </w:tcPr>
          <w:p w:rsidR="004C5321" w:rsidRPr="009744E5" w:rsidRDefault="004C5321">
            <w:pPr>
              <w:pStyle w:val="Normaltindrag"/>
              <w:ind w:left="14" w:firstLine="0"/>
              <w:jc w:val="left"/>
              <w:rPr>
                <w:sz w:val="16"/>
                <w:szCs w:val="16"/>
              </w:rPr>
            </w:pPr>
            <w:r w:rsidRPr="009744E5">
              <w:rPr>
                <w:sz w:val="16"/>
                <w:szCs w:val="16"/>
              </w:rPr>
              <w:t>Genom Mora 7 000 (600)</w:t>
            </w:r>
          </w:p>
        </w:tc>
      </w:tr>
      <w:tr w:rsidR="00000000" w:rsidRPr="009744E5">
        <w:tc>
          <w:tcPr>
            <w:tcW w:w="1276" w:type="dxa"/>
            <w:tcMar>
              <w:left w:w="57" w:type="dxa"/>
              <w:right w:w="57" w:type="dxa"/>
            </w:tcMar>
          </w:tcPr>
          <w:p w:rsidR="004C5321" w:rsidRPr="009744E5" w:rsidRDefault="004C5321">
            <w:pPr>
              <w:pStyle w:val="Normaltindrag"/>
              <w:ind w:firstLine="0"/>
              <w:rPr>
                <w:sz w:val="16"/>
                <w:szCs w:val="16"/>
              </w:rPr>
            </w:pPr>
            <w:r w:rsidRPr="009744E5">
              <w:rPr>
                <w:sz w:val="16"/>
                <w:szCs w:val="16"/>
              </w:rPr>
              <w:t>Mora–Älvdalen</w:t>
            </w:r>
          </w:p>
        </w:tc>
        <w:tc>
          <w:tcPr>
            <w:tcW w:w="1134"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2 000–4 000</w:t>
            </w:r>
          </w:p>
        </w:tc>
        <w:tc>
          <w:tcPr>
            <w:tcW w:w="1063"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(200–300)</w:t>
            </w:r>
          </w:p>
        </w:tc>
        <w:tc>
          <w:tcPr>
            <w:tcW w:w="2552" w:type="dxa"/>
            <w:tcMar>
              <w:left w:w="57" w:type="dxa"/>
              <w:right w:w="57" w:type="dxa"/>
            </w:tcMar>
          </w:tcPr>
          <w:p w:rsidR="004C5321" w:rsidRPr="009744E5" w:rsidRDefault="004C5321">
            <w:pPr>
              <w:pStyle w:val="Normaltindrag"/>
              <w:ind w:left="14" w:firstLine="0"/>
              <w:jc w:val="left"/>
              <w:rPr>
                <w:sz w:val="16"/>
                <w:szCs w:val="16"/>
              </w:rPr>
            </w:pPr>
            <w:r w:rsidRPr="009744E5">
              <w:rPr>
                <w:sz w:val="16"/>
                <w:szCs w:val="16"/>
              </w:rPr>
              <w:t>Genom Älvdalen  6 000 (200)</w:t>
            </w:r>
          </w:p>
        </w:tc>
      </w:tr>
      <w:tr w:rsidR="00000000" w:rsidRPr="009744E5">
        <w:tc>
          <w:tcPr>
            <w:tcW w:w="1276" w:type="dxa"/>
            <w:tcMar>
              <w:left w:w="57" w:type="dxa"/>
              <w:right w:w="57" w:type="dxa"/>
            </w:tcMar>
          </w:tcPr>
          <w:p w:rsidR="004C5321" w:rsidRPr="009744E5" w:rsidRDefault="004C5321">
            <w:pPr>
              <w:pStyle w:val="Normaltindrag"/>
              <w:ind w:firstLine="0"/>
              <w:rPr>
                <w:sz w:val="16"/>
                <w:szCs w:val="16"/>
              </w:rPr>
            </w:pPr>
            <w:r w:rsidRPr="009744E5">
              <w:rPr>
                <w:sz w:val="16"/>
                <w:szCs w:val="16"/>
              </w:rPr>
              <w:t>Älvdalen–Idre</w:t>
            </w:r>
          </w:p>
        </w:tc>
        <w:tc>
          <w:tcPr>
            <w:tcW w:w="1134"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700–1 600</w:t>
            </w:r>
          </w:p>
        </w:tc>
        <w:tc>
          <w:tcPr>
            <w:tcW w:w="1063" w:type="dxa"/>
            <w:tcMar>
              <w:left w:w="57" w:type="dxa"/>
              <w:right w:w="57" w:type="dxa"/>
            </w:tcMar>
          </w:tcPr>
          <w:p w:rsidR="004C5321" w:rsidRPr="009744E5" w:rsidRDefault="004C5321">
            <w:pPr>
              <w:pStyle w:val="Normaltindrag"/>
              <w:ind w:firstLine="0"/>
              <w:jc w:val="left"/>
              <w:rPr>
                <w:sz w:val="16"/>
                <w:szCs w:val="16"/>
              </w:rPr>
            </w:pPr>
            <w:r w:rsidRPr="009744E5">
              <w:rPr>
                <w:sz w:val="16"/>
                <w:szCs w:val="16"/>
              </w:rPr>
              <w:t>(80–120)</w:t>
            </w:r>
          </w:p>
        </w:tc>
        <w:tc>
          <w:tcPr>
            <w:tcW w:w="2552" w:type="dxa"/>
            <w:tcMar>
              <w:left w:w="57" w:type="dxa"/>
              <w:right w:w="57" w:type="dxa"/>
            </w:tcMar>
          </w:tcPr>
          <w:p w:rsidR="004C5321" w:rsidRPr="009744E5" w:rsidRDefault="004C5321">
            <w:pPr>
              <w:pStyle w:val="Normaltindrag"/>
              <w:ind w:firstLine="0"/>
              <w:jc w:val="left"/>
              <w:rPr>
                <w:sz w:val="16"/>
                <w:szCs w:val="16"/>
              </w:rPr>
            </w:pPr>
          </w:p>
        </w:tc>
      </w:tr>
    </w:tbl>
    <w:p w:rsidR="004C5321" w:rsidRPr="009744E5" w:rsidRDefault="004C5321">
      <w:pPr>
        <w:autoSpaceDE w:val="0"/>
        <w:autoSpaceDN w:val="0"/>
        <w:adjustRightInd w:val="0"/>
        <w:rPr>
          <w:color w:val="000000"/>
        </w:rPr>
      </w:pPr>
      <w:r w:rsidRPr="009744E5">
        <w:rPr>
          <w:color w:val="000000"/>
        </w:rPr>
        <w:t>Ett viktigt förbättringsarbete som nu pågår efter riksväg 70 är den nya förb</w:t>
      </w:r>
      <w:r w:rsidRPr="009744E5">
        <w:rPr>
          <w:color w:val="000000"/>
        </w:rPr>
        <w:t>i</w:t>
      </w:r>
      <w:r w:rsidRPr="009744E5">
        <w:rPr>
          <w:color w:val="000000"/>
        </w:rPr>
        <w:t>farten vid Sala. Det har möjliggjorts genom förskottering av pengar till Vä</w:t>
      </w:r>
      <w:r w:rsidRPr="009744E5">
        <w:rPr>
          <w:color w:val="000000"/>
        </w:rPr>
        <w:t>g</w:t>
      </w:r>
      <w:r w:rsidRPr="009744E5">
        <w:rPr>
          <w:color w:val="000000"/>
        </w:rPr>
        <w:t xml:space="preserve">verket av flera kommuner efter riksväg 70. Men exempel på dåliga vägavsnitt </w:t>
      </w:r>
      <w:r w:rsidRPr="009744E5">
        <w:rPr>
          <w:color w:val="000000"/>
        </w:rPr>
        <w:lastRenderedPageBreak/>
        <w:t>som därefter återstår att åtgärda är Broddbo–Brovallen och Kumla kyrkby–Fjärdhundra. Noterbart är också att den breda vägen mellan Fjärdhundra och Enköping saknar mitträcke.</w:t>
      </w:r>
    </w:p>
    <w:p w:rsidR="004C5321" w:rsidRPr="009744E5" w:rsidRDefault="004C5321">
      <w:pPr>
        <w:pStyle w:val="Normaltindrag"/>
      </w:pPr>
      <w:r w:rsidRPr="009744E5">
        <w:t>Brovallen–Hedemora–Säter bör i framtiden vara s.k. två-plus-ett-väg. Bo</w:t>
      </w:r>
      <w:r w:rsidRPr="009744E5">
        <w:t>r</w:t>
      </w:r>
      <w:r w:rsidRPr="009744E5">
        <w:t>länge–Djurås bör bli föremål för investeringar av bl.a. typen mötesseparering. Djurås–Leksand–Rättvik bör ges normalt mitträcke. I norra delen av Dalarna bör delen närmast Särna prioriteras från investeringssynpunkt.</w:t>
      </w:r>
    </w:p>
    <w:p w:rsidR="004C5321" w:rsidRPr="009744E5" w:rsidRDefault="004C5321">
      <w:pPr>
        <w:pStyle w:val="Normaltindrag"/>
      </w:pPr>
      <w:r w:rsidRPr="009744E5">
        <w:t>Mot bakgrund av riksväg 70:s betydelse för såväl person- som godstran</w:t>
      </w:r>
      <w:r w:rsidRPr="009744E5">
        <w:t>s</w:t>
      </w:r>
      <w:r w:rsidRPr="009744E5">
        <w:t>porter måste denna väg vara prioriterad i Vägverkets planering. Den har en avgörande betydelse för Dalarnas utvecklingskraft.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4E5">
        <w:trPr>
          <w:cantSplit/>
        </w:trPr>
        <w:tc>
          <w:tcPr>
            <w:tcW w:w="3046" w:type="dxa"/>
          </w:tcPr>
          <w:p w:rsidR="004C5321" w:rsidRPr="009744E5" w:rsidRDefault="004C5321">
            <w:pPr>
              <w:pStyle w:val="UnderskriftDatum"/>
              <w:spacing w:before="240"/>
            </w:pPr>
            <w:r w:rsidRPr="009744E5">
              <w:t>Stockholm den 3 oktober 2007</w:t>
            </w:r>
          </w:p>
        </w:tc>
        <w:tc>
          <w:tcPr>
            <w:tcW w:w="3047" w:type="dxa"/>
          </w:tcPr>
          <w:p w:rsidR="004C5321" w:rsidRPr="009744E5" w:rsidRDefault="004C5321">
            <w:pPr>
              <w:pStyle w:val="Underskrifter"/>
              <w:spacing w:before="240"/>
            </w:pPr>
          </w:p>
        </w:tc>
      </w:tr>
      <w:tr w:rsidR="00000000" w:rsidRPr="009744E5">
        <w:trPr>
          <w:cantSplit/>
        </w:trPr>
        <w:tc>
          <w:tcPr>
            <w:tcW w:w="3046" w:type="dxa"/>
          </w:tcPr>
          <w:p w:rsidR="004C5321" w:rsidRPr="009744E5" w:rsidRDefault="004C5321">
            <w:pPr>
              <w:pStyle w:val="Underskrifter"/>
            </w:pPr>
            <w:r w:rsidRPr="009744E5">
              <w:t>Peter Hultqvist (s)</w:t>
            </w:r>
          </w:p>
        </w:tc>
        <w:tc>
          <w:tcPr>
            <w:tcW w:w="3046" w:type="dxa"/>
          </w:tcPr>
          <w:p w:rsidR="004C5321" w:rsidRPr="009744E5" w:rsidRDefault="004C5321">
            <w:pPr>
              <w:pStyle w:val="Underskrifter"/>
            </w:pPr>
            <w:r w:rsidRPr="009744E5">
              <w:t>Kurt Kvarnström (s)</w:t>
            </w:r>
          </w:p>
        </w:tc>
      </w:tr>
    </w:tbl>
    <w:p w:rsidR="004C5321" w:rsidRPr="009744E5" w:rsidRDefault="004C5321">
      <w:pPr>
        <w:pStyle w:val="Normaltindrag"/>
      </w:pPr>
    </w:p>
    <w:sectPr w:rsidR="004C5321" w:rsidRPr="009744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321" w:rsidRPr="009744E5" w:rsidRDefault="004C5321">
      <w:r w:rsidRPr="009744E5">
        <w:separator/>
      </w:r>
    </w:p>
  </w:endnote>
  <w:endnote w:type="continuationSeparator" w:id="0">
    <w:p w:rsidR="004C5321" w:rsidRPr="009744E5" w:rsidRDefault="004C5321">
      <w:r w:rsidRPr="00974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9744E5">
    <w:pPr>
      <w:pStyle w:val="Sidfot"/>
    </w:pPr>
    <w:r w:rsidRPr="009744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100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21" w:rsidRDefault="004C53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321" w:rsidRDefault="004C53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9744E5">
    <w:pPr>
      <w:pStyle w:val="Sidfot"/>
    </w:pPr>
    <w:r w:rsidRPr="009744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710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21" w:rsidRDefault="004C5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321" w:rsidRDefault="004C5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9744E5">
    <w:pPr>
      <w:pStyle w:val="Sidfot"/>
    </w:pPr>
    <w:r w:rsidRPr="009744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066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21" w:rsidRDefault="004C5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321" w:rsidRDefault="004C5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321" w:rsidRPr="009744E5" w:rsidRDefault="004C5321">
      <w:r w:rsidRPr="009744E5">
        <w:separator/>
      </w:r>
    </w:p>
  </w:footnote>
  <w:footnote w:type="continuationSeparator" w:id="0">
    <w:p w:rsidR="004C5321" w:rsidRPr="009744E5" w:rsidRDefault="004C5321">
      <w:r w:rsidRPr="009744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9744E5">
    <w:pPr>
      <w:pStyle w:val="Sidhuvud"/>
    </w:pPr>
    <w:r w:rsidRPr="009744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806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21" w:rsidRDefault="004C53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321" w:rsidRDefault="004C53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9744E5">
    <w:pPr>
      <w:pStyle w:val="Sidhuvud"/>
    </w:pPr>
    <w:r w:rsidRPr="009744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691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21" w:rsidRDefault="004C53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321" w:rsidRDefault="004C53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321" w:rsidRPr="009744E5" w:rsidRDefault="004C5321">
    <w:pPr>
      <w:pStyle w:val="FSHNormal"/>
      <w:tabs>
        <w:tab w:val="right" w:pos="5840"/>
      </w:tabs>
    </w:pPr>
    <w:r w:rsidRPr="009744E5">
      <w:br/>
    </w:r>
    <w:r w:rsidRPr="009744E5">
      <w:fldChar w:fldCharType="begin" w:fldLock="1"/>
    </w:r>
    <w:r w:rsidRPr="009744E5">
      <w:instrText xml:space="preserve"> DOCPROPERTY</w:instrText>
    </w:r>
    <w:r w:rsidRPr="009744E5">
      <w:rPr>
        <w:sz w:val="18"/>
      </w:rPr>
      <w:instrText xml:space="preserve"> "YearUser" *\charformat </w:instrText>
    </w:r>
    <w:r w:rsidRPr="009744E5">
      <w:fldChar w:fldCharType="separate"/>
    </w:r>
    <w:r w:rsidRPr="009744E5">
      <w:t>2007/08</w:t>
    </w:r>
    <w:r w:rsidRPr="009744E5">
      <w:fldChar w:fldCharType="end"/>
    </w:r>
    <w:r w:rsidRPr="009744E5">
      <w:t xml:space="preserve"> </w:t>
    </w:r>
    <w:r w:rsidRPr="009744E5">
      <w:tab/>
      <w:t xml:space="preserve">mnr: </w:t>
    </w:r>
    <w:r w:rsidRPr="009744E5">
      <w:fldChar w:fldCharType="begin" w:fldLock="1"/>
    </w:r>
    <w:r w:rsidRPr="009744E5">
      <w:instrText xml:space="preserve"> DOCPROPERTY</w:instrText>
    </w:r>
    <w:r w:rsidRPr="009744E5">
      <w:rPr>
        <w:sz w:val="18"/>
      </w:rPr>
      <w:instrText xml:space="preserve"> "Motionsnummer" *\charformat </w:instrText>
    </w:r>
    <w:r w:rsidRPr="009744E5">
      <w:fldChar w:fldCharType="separate"/>
    </w:r>
    <w:r w:rsidRPr="009744E5">
      <w:t>T430</w:t>
    </w:r>
    <w:r w:rsidRPr="009744E5">
      <w:fldChar w:fldCharType="end"/>
    </w:r>
    <w:r w:rsidRPr="009744E5">
      <w:br/>
    </w:r>
    <w:r w:rsidRPr="009744E5">
      <w:fldChar w:fldCharType="begin" w:fldLock="1"/>
    </w:r>
    <w:r w:rsidRPr="009744E5">
      <w:instrText xml:space="preserve"> DOCPROPERTY</w:instrText>
    </w:r>
    <w:r w:rsidRPr="009744E5">
      <w:rPr>
        <w:sz w:val="18"/>
      </w:rPr>
      <w:instrText xml:space="preserve"> "Samling" *\charformat </w:instrText>
    </w:r>
    <w:r w:rsidRPr="009744E5">
      <w:fldChar w:fldCharType="end"/>
    </w:r>
    <w:r w:rsidRPr="009744E5">
      <w:tab/>
      <w:t xml:space="preserve">pnr: </w:t>
    </w:r>
    <w:r w:rsidRPr="009744E5">
      <w:fldChar w:fldCharType="begin" w:fldLock="1"/>
    </w:r>
    <w:r w:rsidRPr="009744E5">
      <w:instrText xml:space="preserve"> DOCPROPERTY</w:instrText>
    </w:r>
    <w:r w:rsidRPr="009744E5">
      <w:rPr>
        <w:sz w:val="18"/>
      </w:rPr>
      <w:instrText xml:space="preserve"> "Partinummer" *\charformat </w:instrText>
    </w:r>
    <w:r w:rsidRPr="009744E5">
      <w:fldChar w:fldCharType="separate"/>
    </w:r>
    <w:r w:rsidRPr="009744E5">
      <w:t>s45249</w:t>
    </w:r>
    <w:r w:rsidRPr="009744E5">
      <w:fldChar w:fldCharType="end"/>
    </w:r>
  </w:p>
  <w:p w:rsidR="004C5321" w:rsidRPr="009744E5" w:rsidRDefault="004C5321">
    <w:pPr>
      <w:pStyle w:val="FSHRub1"/>
    </w:pPr>
    <w:r w:rsidRPr="009744E5">
      <w:t>Motion till riksdagen</w:t>
    </w:r>
    <w:r w:rsidRPr="009744E5">
      <w:br/>
    </w:r>
    <w:r w:rsidRPr="009744E5">
      <w:fldChar w:fldCharType="begin" w:fldLock="1"/>
    </w:r>
    <w:r w:rsidRPr="009744E5">
      <w:instrText xml:space="preserve"> DOCPROPERTY "YearUser" *\charformat </w:instrText>
    </w:r>
    <w:r w:rsidRPr="009744E5">
      <w:fldChar w:fldCharType="separate"/>
    </w:r>
    <w:r w:rsidRPr="009744E5">
      <w:t>2007/08</w:t>
    </w:r>
    <w:r w:rsidRPr="009744E5">
      <w:fldChar w:fldCharType="end"/>
    </w:r>
    <w:r w:rsidRPr="009744E5">
      <w:t>:</w:t>
    </w:r>
    <w:r w:rsidRPr="009744E5">
      <w:fldChar w:fldCharType="begin" w:fldLock="1"/>
    </w:r>
    <w:r w:rsidRPr="009744E5">
      <w:instrText xml:space="preserve"> DOCPROPERTY "Motionsnummer" *\charformat </w:instrText>
    </w:r>
    <w:r w:rsidRPr="009744E5">
      <w:fldChar w:fldCharType="separate"/>
    </w:r>
    <w:r w:rsidRPr="009744E5">
      <w:t>T430</w:t>
    </w:r>
    <w:r w:rsidRPr="009744E5">
      <w:fldChar w:fldCharType="end"/>
    </w:r>
  </w:p>
  <w:p w:rsidR="004C5321" w:rsidRPr="009744E5" w:rsidRDefault="004C5321">
    <w:pPr>
      <w:pStyle w:val="FSHNormalS5"/>
    </w:pPr>
    <w:r w:rsidRPr="009744E5">
      <w:fldChar w:fldCharType="begin" w:fldLock="1"/>
    </w:r>
    <w:r w:rsidRPr="009744E5">
      <w:instrText xml:space="preserve"> DOCPROPERTY "MotionarText" *\charformat </w:instrText>
    </w:r>
    <w:r w:rsidRPr="009744E5">
      <w:fldChar w:fldCharType="separate"/>
    </w:r>
    <w:r w:rsidRPr="009744E5">
      <w:t>av Peter Hultqvist och Kurt Kvarnström (s)</w:t>
    </w:r>
    <w:r w:rsidRPr="009744E5">
      <w:fldChar w:fldCharType="end"/>
    </w:r>
    <w:r w:rsidRPr="009744E5">
      <w:br/>
    </w:r>
    <w:r w:rsidRPr="009744E5">
      <w:fldChar w:fldCharType="begin" w:fldLock="1"/>
    </w:r>
    <w:r w:rsidRPr="009744E5">
      <w:instrText xml:space="preserve"> DOCPROPERTY "SvarFrasKort" *\charformat </w:instrText>
    </w:r>
    <w:r w:rsidRPr="009744E5">
      <w:fldChar w:fldCharType="end"/>
    </w:r>
  </w:p>
  <w:p w:rsidR="004C5321" w:rsidRPr="009744E5" w:rsidRDefault="004C5321">
    <w:pPr>
      <w:pStyle w:val="FSHTitel"/>
    </w:pPr>
    <w:r w:rsidRPr="009744E5">
      <w:fldChar w:fldCharType="begin" w:fldLock="1"/>
    </w:r>
    <w:r w:rsidRPr="009744E5">
      <w:instrText xml:space="preserve"> DOCPROPERTY</w:instrText>
    </w:r>
    <w:r w:rsidRPr="009744E5">
      <w:rPr>
        <w:sz w:val="18"/>
      </w:rPr>
      <w:instrText xml:space="preserve"> "RubrikSvar" *\charformat </w:instrText>
    </w:r>
    <w:r w:rsidRPr="009744E5">
      <w:fldChar w:fldCharType="separate"/>
    </w:r>
    <w:r w:rsidRPr="009744E5">
      <w:t>Riksväg 70 Enköping–Idre</w:t>
    </w:r>
    <w:r w:rsidRPr="009744E5">
      <w:fldChar w:fldCharType="end"/>
    </w:r>
  </w:p>
  <w:p w:rsidR="004C5321" w:rsidRPr="009744E5" w:rsidRDefault="004C5321">
    <w:pPr>
      <w:pStyle w:val="Normal00"/>
    </w:pPr>
  </w:p>
  <w:p w:rsidR="004C5321" w:rsidRPr="009744E5" w:rsidRDefault="004C53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8851603">
    <w:abstractNumId w:val="8"/>
  </w:num>
  <w:num w:numId="2" w16cid:durableId="390078873">
    <w:abstractNumId w:val="9"/>
  </w:num>
  <w:num w:numId="3" w16cid:durableId="645356716">
    <w:abstractNumId w:val="8"/>
  </w:num>
  <w:num w:numId="4" w16cid:durableId="2088184967">
    <w:abstractNumId w:val="9"/>
  </w:num>
  <w:num w:numId="5" w16cid:durableId="1994747460">
    <w:abstractNumId w:val="13"/>
  </w:num>
  <w:num w:numId="6" w16cid:durableId="11226993">
    <w:abstractNumId w:val="10"/>
  </w:num>
  <w:num w:numId="7" w16cid:durableId="1553156163">
    <w:abstractNumId w:val="11"/>
  </w:num>
  <w:num w:numId="8" w16cid:durableId="1837303563">
    <w:abstractNumId w:val="12"/>
  </w:num>
  <w:num w:numId="9" w16cid:durableId="1778213542">
    <w:abstractNumId w:val="8"/>
  </w:num>
  <w:num w:numId="10" w16cid:durableId="1200169234">
    <w:abstractNumId w:val="3"/>
  </w:num>
  <w:num w:numId="11" w16cid:durableId="1844200747">
    <w:abstractNumId w:val="2"/>
  </w:num>
  <w:num w:numId="12" w16cid:durableId="1252930946">
    <w:abstractNumId w:val="1"/>
  </w:num>
  <w:num w:numId="13" w16cid:durableId="2120055696">
    <w:abstractNumId w:val="0"/>
  </w:num>
  <w:num w:numId="14" w16cid:durableId="163781803">
    <w:abstractNumId w:val="9"/>
  </w:num>
  <w:num w:numId="15" w16cid:durableId="313993516">
    <w:abstractNumId w:val="7"/>
  </w:num>
  <w:num w:numId="16" w16cid:durableId="727844643">
    <w:abstractNumId w:val="6"/>
  </w:num>
  <w:num w:numId="17" w16cid:durableId="62072812">
    <w:abstractNumId w:val="5"/>
  </w:num>
  <w:num w:numId="18" w16cid:durableId="1252396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4E1491-2C0D-41A6-AC47-0DF260FE780A},{09A98EE4-04BA-4B7B-8EDC-B2375F16CE1F}"/>
  </w:docVars>
  <w:rsids>
    <w:rsidRoot w:val="000116F8"/>
    <w:rsid w:val="000116F8"/>
    <w:rsid w:val="004C5321"/>
    <w:rsid w:val="00974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6EDDA6-D595-4AB9-85B7-FA7B3A94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2017</Characters>
  <Application>Microsoft Office Word</Application>
  <DocSecurity>4</DocSecurity>
  <Lines>59</Lines>
  <Paragraphs>41</Paragraphs>
  <ScaleCrop>false</ScaleCrop>
  <HeadingPairs>
    <vt:vector size="2" baseType="variant">
      <vt:variant>
        <vt:lpstr>Rubrik</vt:lpstr>
      </vt:variant>
      <vt:variant>
        <vt:i4>1</vt:i4>
      </vt:variant>
    </vt:vector>
  </HeadingPairs>
  <TitlesOfParts>
    <vt:vector size="1" baseType="lpstr">
      <vt:lpstr>s45249</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s45249</dc:title>
  <dc:subject>s45249</dc:subject>
  <dc:creator>Riksdagen</dc:creator>
  <cp:keywords>Riksdagen</cp:keywords>
  <dc:description>TKG-ktrl, MSMQ4mb, PersReg-Distribution mm</dc:description>
  <cp:lastModifiedBy>Lars Brink</cp:lastModifiedBy>
  <cp:revision>2</cp:revision>
  <cp:lastPrinted>2007-12-13T07:50:00Z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Riksväg 70 Enköping–Idre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70 Enköping–Idre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20072008000000000115000452490069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20072008000000000115000452490069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{1ACD0F5B-06A9-4082-B5C3-EB1F0B89D5E2}</vt:lpwstr>
  </property>
  <property fmtid="{D5CDD505-2E9C-101B-9397-08002B2CF9AE}" pid="53" name="Överföringar">
    <vt:i4>0</vt:i4>
  </property>
  <property fmtid="{D5CDD505-2E9C-101B-9397-08002B2CF9AE}" pid="54" name="Checksum">
    <vt:lpwstr>*1019258667513*</vt:lpwstr>
  </property>
  <property fmtid="{D5CDD505-2E9C-101B-9397-08002B2CF9AE}" pid="55" name="skuggnummer">
    <vt:lpwstr>2149</vt:lpwstr>
  </property>
  <property fmtid="{D5CDD505-2E9C-101B-9397-08002B2CF9AE}" pid="56" name="urixVersion">
    <vt:lpwstr>3.2.0.8</vt:lpwstr>
  </property>
  <property fmtid="{D5CDD505-2E9C-101B-9397-08002B2CF9AE}" pid="57" name="urixOrigin">
    <vt:lpwstr>071213 08:50:21.558</vt:lpwstr>
  </property>
  <property fmtid="{D5CDD505-2E9C-101B-9397-08002B2CF9AE}" pid="58" name="urixGuid">
    <vt:lpwstr>{EBF81425-E6AF-4ED6-A7FD-8FD3CB45471C}</vt:lpwstr>
  </property>
</Properties>
</file>