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647" w:rsidRPr="00FA0B35" w:rsidRDefault="00AF3647">
      <w:pPr>
        <w:pStyle w:val="Frslagsrubrik"/>
      </w:pPr>
      <w:r w:rsidRPr="00FA0B35">
        <w:t>Förslag till riksdagsbeslut</w:t>
      </w:r>
    </w:p>
    <w:p w:rsidR="00AF3647" w:rsidRPr="00FA0B35" w:rsidRDefault="00AF3647">
      <w:pPr>
        <w:pStyle w:val="Hemstlatt"/>
      </w:pPr>
      <w:r w:rsidRPr="00FA0B35">
        <w:t>Riksdagen tillkännager för regeringen som sin mening vad som anförs i motionen om regleringar av personsk</w:t>
      </w:r>
      <w:r w:rsidRPr="00FA0B35">
        <w:t>a</w:t>
      </w:r>
      <w:r w:rsidRPr="00FA0B35">
        <w:t>dor.</w:t>
      </w:r>
    </w:p>
    <w:p w:rsidR="00AF3647" w:rsidRPr="00FA0B35" w:rsidRDefault="00AF3647">
      <w:pPr>
        <w:pStyle w:val="Rubrik1"/>
      </w:pPr>
      <w:r w:rsidRPr="00FA0B35">
        <w:t>Motivering</w:t>
      </w:r>
    </w:p>
    <w:p w:rsidR="00AF3647" w:rsidRPr="00FA0B35" w:rsidRDefault="00AF3647">
      <w:r w:rsidRPr="00FA0B35">
        <w:t>Vi har kunnat se att tingsrätten avslagit att traktamentsersättning ska ha me</w:t>
      </w:r>
      <w:r w:rsidRPr="00FA0B35">
        <w:t>d</w:t>
      </w:r>
      <w:r w:rsidRPr="00FA0B35">
        <w:t>räknats i inkomstförlusten, med hänvisning till en dom i Högsta domstolen (NJA 1985 s. 843) angående inkomstförlust av traktamentsersättning.</w:t>
      </w:r>
    </w:p>
    <w:p w:rsidR="00AF3647" w:rsidRPr="00FA0B35" w:rsidRDefault="00AF3647">
      <w:pPr>
        <w:pStyle w:val="Normaltindrag"/>
      </w:pPr>
      <w:r w:rsidRPr="00FA0B35">
        <w:t>1991 kom skatteverket med nya regler beträffande traktamenten och andra kostnadsersättningar.</w:t>
      </w:r>
    </w:p>
    <w:p w:rsidR="00AF3647" w:rsidRPr="00FA0B35" w:rsidRDefault="00AF3647">
      <w:pPr>
        <w:pStyle w:val="Normaltindrag"/>
      </w:pPr>
      <w:r w:rsidRPr="00FA0B35">
        <w:t>Det följande går att läsa i SKV 354: Traktamente som överstiger schablo</w:t>
      </w:r>
      <w:r w:rsidRPr="00FA0B35">
        <w:t>n</w:t>
      </w:r>
      <w:r w:rsidRPr="00FA0B35">
        <w:t>belopp. Om den skattskyldige får dagtraktamente som överstiger de sch</w:t>
      </w:r>
      <w:r w:rsidRPr="00FA0B35">
        <w:t>a</w:t>
      </w:r>
      <w:r w:rsidRPr="00FA0B35">
        <w:t>blonbelopp (200 respektive 100 kr) som ska dras av eller nattraktamente som överstiger 100 kr ska den överskjutande delen behandlas som lön. Detta inn</w:t>
      </w:r>
      <w:r w:rsidRPr="00FA0B35">
        <w:t>e</w:t>
      </w:r>
      <w:r w:rsidRPr="00FA0B35">
        <w:t>bär att arbetsgivaren ska göra skatteavdrag och betala arbetsgivaravgifter på den överskjutande delen samt redovisa denna som lön på kontrolluppgiften.</w:t>
      </w:r>
    </w:p>
    <w:p w:rsidR="00AF3647" w:rsidRPr="00FA0B35" w:rsidRDefault="00AF3647">
      <w:pPr>
        <w:pStyle w:val="Normaltindrag"/>
      </w:pPr>
      <w:r w:rsidRPr="00FA0B35">
        <w:t>Byggnads har redogjort att den skattepliktiga delen av traktamentet är, och har varit sedan 1991, 840 kr per vecka som ska räknas in i ink</w:t>
      </w:r>
      <w:r w:rsidRPr="00FA0B35">
        <w:t>omstförlusten.</w:t>
      </w:r>
    </w:p>
    <w:p w:rsidR="00AF3647" w:rsidRPr="00FA0B35" w:rsidRDefault="00AF3647">
      <w:pPr>
        <w:pStyle w:val="Normaltindrag"/>
      </w:pPr>
      <w:r w:rsidRPr="00FA0B35">
        <w:t>Vid förändringar hos Skatteverket måste man väl ändå anse att domen i HD från 1985 anses förverkad.</w:t>
      </w:r>
    </w:p>
    <w:p w:rsidR="00AF3647" w:rsidRPr="00FA0B35" w:rsidRDefault="00AF3647">
      <w:pPr>
        <w:pStyle w:val="Normaltindrag"/>
      </w:pPr>
      <w:r w:rsidRPr="00FA0B35">
        <w:t>1988 bemyndigade regeringen chefen för Justitiedepartementet, dåvarande statsrådet Laila Freivalds, att tillkalla en kommitté för att se över reglerna om ersättning för ideell skada i samband med personskada m.m.</w:t>
      </w:r>
    </w:p>
    <w:p w:rsidR="00AF3647" w:rsidRPr="00FA0B35" w:rsidRDefault="00AF3647">
      <w:pPr>
        <w:pStyle w:val="Normaltindrag"/>
      </w:pPr>
      <w:r w:rsidRPr="00FA0B35">
        <w:t>I SOU 1995:33 går det följande att läsa:</w:t>
      </w:r>
    </w:p>
    <w:p w:rsidR="00AF3647" w:rsidRPr="00FA0B35" w:rsidRDefault="00AF3647">
      <w:pPr>
        <w:pageBreakBefore/>
        <w:spacing w:before="0"/>
      </w:pPr>
      <w:r w:rsidRPr="00FA0B35">
        <w:lastRenderedPageBreak/>
        <w:t>3.2.3 Inkomstförlust</w:t>
      </w:r>
    </w:p>
    <w:p w:rsidR="00AF3647" w:rsidRPr="00FA0B35" w:rsidRDefault="00AF3647">
      <w:pPr>
        <w:spacing w:before="0"/>
      </w:pPr>
      <w:r w:rsidRPr="00FA0B35">
        <w:t>3.2.3.1 Allmänt</w:t>
      </w:r>
    </w:p>
    <w:p w:rsidR="00AF3647" w:rsidRPr="00FA0B35" w:rsidRDefault="00AF3647">
      <w:pPr>
        <w:spacing w:before="60"/>
      </w:pPr>
      <w:r w:rsidRPr="00FA0B35">
        <w:t>Skadestånd för inkomstförlust avser – förutom bortfall av lön – förlust av tillägg av olika slag som ingår i arbetsgivarens ersättning för arbetsprestati</w:t>
      </w:r>
      <w:r w:rsidRPr="00FA0B35">
        <w:t>o</w:t>
      </w:r>
      <w:r w:rsidRPr="00FA0B35">
        <w:t>ner (övertidstillägg, risktillägg e.d. samt traktamente eller liknande förmåner till den del de kan betraktas som lönetillskott).</w:t>
      </w:r>
    </w:p>
    <w:p w:rsidR="00AF3647" w:rsidRPr="00FA0B35" w:rsidRDefault="00AF3647">
      <w:pPr>
        <w:pStyle w:val="Normaltindrag"/>
      </w:pPr>
      <w:r w:rsidRPr="00FA0B35">
        <w:t>Skadestånd kan i vissa fall utgå även för förluster som inte är att anse som inkomstbortfall i egentlig mening. Exempelvis kan förlust av semester eller av kvalifikationstid för semester beaktas genom att skadeståndet för själva inkomstförlusten ökas.</w:t>
      </w:r>
    </w:p>
    <w:p w:rsidR="00AF3647" w:rsidRPr="00FA0B35" w:rsidRDefault="00AF3647">
      <w:pPr>
        <w:pStyle w:val="Normaltindrag"/>
      </w:pPr>
      <w:r w:rsidRPr="00FA0B35">
        <w:t>När Försäkringskassan gör en beräkning av livränta beaktar man skatt</w:t>
      </w:r>
      <w:r w:rsidRPr="00FA0B35">
        <w:t>e</w:t>
      </w:r>
      <w:r w:rsidRPr="00FA0B35">
        <w:t>pliktiga förmåner, som t.ex. traktamenten, enligt socialförsäkringsbalken.</w:t>
      </w:r>
    </w:p>
    <w:p w:rsidR="00AF3647" w:rsidRPr="00FA0B35" w:rsidRDefault="00AF3647">
      <w:pPr>
        <w:pStyle w:val="Normaltindrag"/>
      </w:pPr>
      <w:r w:rsidRPr="00FA0B35">
        <w:t>Vi finner det mycket märkligt att försäkringsbolagen inte ska ersätta de skadelidande för skattepliktiga förmåner. Dessutom anser vi att det görs skil</w:t>
      </w:r>
      <w:r w:rsidRPr="00FA0B35">
        <w:t>l</w:t>
      </w:r>
      <w:r w:rsidRPr="00FA0B35">
        <w:t>nad på folk då det enligt en dom i HD (NJA 2008 s. 1177) ska beaktas att man som anställd vid EU-kommissionen ska betala 6,5 % i skatt och en ”vanlig” arbetare inte ska få räkna med skattepliktiga förmåner, som t.ex. traktame</w:t>
      </w:r>
      <w:r w:rsidRPr="00FA0B35">
        <w:t>n</w:t>
      </w:r>
      <w:r w:rsidRPr="00FA0B35">
        <w:t>ten, enligt försäkringsbolagen och Trafikskadenämnden.</w:t>
      </w:r>
    </w:p>
    <w:p w:rsidR="00AF3647" w:rsidRPr="00FA0B35" w:rsidRDefault="00AF3647">
      <w:pPr>
        <w:pStyle w:val="Normaltindrag"/>
      </w:pPr>
      <w:r w:rsidRPr="00FA0B35">
        <w:t>Här måste man fråga sig om varför inte Skatteverkets regler, socialförsä</w:t>
      </w:r>
      <w:r w:rsidRPr="00FA0B35">
        <w:t>k</w:t>
      </w:r>
      <w:r w:rsidRPr="00FA0B35">
        <w:t>ringsbalken och statens egen utredning överensstämmer med skadeståndsl</w:t>
      </w:r>
      <w:r w:rsidRPr="00FA0B35">
        <w:t>a</w:t>
      </w:r>
      <w:r w:rsidRPr="00FA0B35">
        <w:t>gen. För oss är detta obegripligt.</w:t>
      </w:r>
    </w:p>
    <w:p w:rsidR="00AF3647" w:rsidRPr="00FA0B35" w:rsidRDefault="00AF3647">
      <w:pPr>
        <w:pStyle w:val="Normaltindrag"/>
      </w:pPr>
      <w:r w:rsidRPr="00FA0B35">
        <w:t>Det kan i och för sig vara en tolkningsfråga i fråga om skadeståndslagen, men som rättssäkerheten ser ut idag efter de förändringar som skett behövs förtydliganden.</w:t>
      </w:r>
    </w:p>
    <w:p w:rsidR="00AF3647" w:rsidRPr="00FA0B35" w:rsidRDefault="00AF3647">
      <w:pPr>
        <w:pStyle w:val="Normaltindrag"/>
      </w:pPr>
      <w:r w:rsidRPr="00FA0B35">
        <w:t>Vi föreslår att det görs en översyn av de frågor som berörs i motionen.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A0B35">
        <w:trPr>
          <w:cantSplit/>
        </w:trPr>
        <w:tc>
          <w:tcPr>
            <w:tcW w:w="3046" w:type="dxa"/>
          </w:tcPr>
          <w:p w:rsidR="00AF3647" w:rsidRPr="00FA0B35" w:rsidRDefault="00AF3647">
            <w:pPr>
              <w:pStyle w:val="UnderskriftDatum"/>
              <w:spacing w:before="240"/>
            </w:pPr>
            <w:r w:rsidRPr="00FA0B35">
              <w:t>Stockholm den 5 oktober 2011</w:t>
            </w:r>
          </w:p>
        </w:tc>
        <w:tc>
          <w:tcPr>
            <w:tcW w:w="3047" w:type="dxa"/>
          </w:tcPr>
          <w:p w:rsidR="00AF3647" w:rsidRPr="00FA0B35" w:rsidRDefault="00AF3647">
            <w:pPr>
              <w:pStyle w:val="Underskrifter"/>
              <w:spacing w:before="240"/>
            </w:pPr>
          </w:p>
        </w:tc>
      </w:tr>
      <w:tr w:rsidR="00000000" w:rsidRPr="00FA0B35">
        <w:trPr>
          <w:cantSplit/>
        </w:trPr>
        <w:tc>
          <w:tcPr>
            <w:tcW w:w="3046" w:type="dxa"/>
          </w:tcPr>
          <w:p w:rsidR="00AF3647" w:rsidRPr="00FA0B35" w:rsidRDefault="00AF3647">
            <w:pPr>
              <w:pStyle w:val="Underskrifter"/>
            </w:pPr>
            <w:r w:rsidRPr="00FA0B35">
              <w:t>Kurt Kvarnström (S)</w:t>
            </w:r>
          </w:p>
        </w:tc>
        <w:tc>
          <w:tcPr>
            <w:tcW w:w="3046" w:type="dxa"/>
          </w:tcPr>
          <w:p w:rsidR="00AF3647" w:rsidRPr="00FA0B35" w:rsidRDefault="00AF3647">
            <w:pPr>
              <w:pStyle w:val="Underskrifter"/>
            </w:pPr>
            <w:r w:rsidRPr="00FA0B35">
              <w:t>Peter Hultqvist (S)</w:t>
            </w:r>
          </w:p>
        </w:tc>
      </w:tr>
    </w:tbl>
    <w:p w:rsidR="00AF3647" w:rsidRPr="00FA0B35" w:rsidRDefault="00AF3647">
      <w:pPr>
        <w:pStyle w:val="Normaltindrag"/>
      </w:pPr>
    </w:p>
    <w:sectPr w:rsidR="00AF3647" w:rsidRPr="00FA0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647" w:rsidRPr="00FA0B35" w:rsidRDefault="00AF3647">
      <w:r w:rsidRPr="00FA0B35">
        <w:separator/>
      </w:r>
    </w:p>
  </w:endnote>
  <w:endnote w:type="continuationSeparator" w:id="0">
    <w:p w:rsidR="00AF3647" w:rsidRPr="00FA0B35" w:rsidRDefault="00AF3647">
      <w:r w:rsidRPr="00FA0B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647" w:rsidRPr="00FA0B35" w:rsidRDefault="00FA0B35">
    <w:pPr>
      <w:pStyle w:val="Sidfot"/>
    </w:pPr>
    <w:r w:rsidRPr="00FA0B3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16002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647" w:rsidRDefault="00AF364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3647" w:rsidRDefault="00AF364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647" w:rsidRPr="00FA0B35" w:rsidRDefault="00FA0B35">
    <w:pPr>
      <w:pStyle w:val="Sidfot"/>
    </w:pPr>
    <w:r w:rsidRPr="00FA0B3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87929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647" w:rsidRDefault="00AF36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647" w:rsidRDefault="00AF36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647" w:rsidRPr="00FA0B35" w:rsidRDefault="00FA0B35">
    <w:pPr>
      <w:pStyle w:val="Sidfot"/>
    </w:pPr>
    <w:r w:rsidRPr="00FA0B3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74622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647" w:rsidRDefault="00AF364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3647" w:rsidRDefault="00AF364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647" w:rsidRPr="00FA0B35" w:rsidRDefault="00AF3647">
      <w:r w:rsidRPr="00FA0B35">
        <w:separator/>
      </w:r>
    </w:p>
  </w:footnote>
  <w:footnote w:type="continuationSeparator" w:id="0">
    <w:p w:rsidR="00AF3647" w:rsidRPr="00FA0B35" w:rsidRDefault="00AF3647">
      <w:r w:rsidRPr="00FA0B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647" w:rsidRPr="00FA0B35" w:rsidRDefault="00FA0B35">
    <w:pPr>
      <w:pStyle w:val="Sidhuvud"/>
    </w:pPr>
    <w:r w:rsidRPr="00FA0B3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68489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647" w:rsidRDefault="00AF364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3647" w:rsidRDefault="00AF364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647" w:rsidRPr="00FA0B35" w:rsidRDefault="00FA0B35">
    <w:pPr>
      <w:pStyle w:val="Sidhuvud"/>
    </w:pPr>
    <w:r w:rsidRPr="00FA0B3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05791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647" w:rsidRDefault="00AF364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3647" w:rsidRDefault="00AF364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647" w:rsidRPr="00FA0B35" w:rsidRDefault="00AF3647">
    <w:pPr>
      <w:pStyle w:val="FSHNormal"/>
      <w:tabs>
        <w:tab w:val="right" w:pos="5840"/>
      </w:tabs>
    </w:pPr>
    <w:r w:rsidRPr="00FA0B35">
      <w:br/>
    </w:r>
    <w:r w:rsidRPr="00FA0B35">
      <w:fldChar w:fldCharType="begin" w:fldLock="1"/>
    </w:r>
    <w:r w:rsidRPr="00FA0B35">
      <w:instrText xml:space="preserve"> DOCPROPERTY</w:instrText>
    </w:r>
    <w:r w:rsidRPr="00FA0B35">
      <w:rPr>
        <w:sz w:val="18"/>
      </w:rPr>
      <w:instrText xml:space="preserve"> "YearUser" *\charformat </w:instrText>
    </w:r>
    <w:r w:rsidRPr="00FA0B35">
      <w:fldChar w:fldCharType="separate"/>
    </w:r>
    <w:r w:rsidRPr="00FA0B35">
      <w:t>2011/12</w:t>
    </w:r>
    <w:r w:rsidRPr="00FA0B35">
      <w:fldChar w:fldCharType="end"/>
    </w:r>
    <w:r w:rsidRPr="00FA0B35">
      <w:t xml:space="preserve"> </w:t>
    </w:r>
    <w:r w:rsidRPr="00FA0B35">
      <w:tab/>
      <w:t xml:space="preserve">mnr: </w:t>
    </w:r>
    <w:r w:rsidRPr="00FA0B35">
      <w:fldChar w:fldCharType="begin" w:fldLock="1"/>
    </w:r>
    <w:r w:rsidRPr="00FA0B35">
      <w:instrText xml:space="preserve"> DOCPROPERTY</w:instrText>
    </w:r>
    <w:r w:rsidRPr="00FA0B35">
      <w:rPr>
        <w:sz w:val="18"/>
      </w:rPr>
      <w:instrText xml:space="preserve"> "Motionsnummer" *\charformat </w:instrText>
    </w:r>
    <w:r w:rsidRPr="00FA0B35">
      <w:fldChar w:fldCharType="separate"/>
    </w:r>
    <w:r w:rsidRPr="00FA0B35">
      <w:t>C376</w:t>
    </w:r>
    <w:r w:rsidRPr="00FA0B35">
      <w:fldChar w:fldCharType="end"/>
    </w:r>
    <w:r w:rsidRPr="00FA0B35">
      <w:br/>
    </w:r>
    <w:r w:rsidRPr="00FA0B35">
      <w:fldChar w:fldCharType="begin" w:fldLock="1"/>
    </w:r>
    <w:r w:rsidRPr="00FA0B35">
      <w:instrText xml:space="preserve"> DOCPROPERTY</w:instrText>
    </w:r>
    <w:r w:rsidRPr="00FA0B35">
      <w:rPr>
        <w:sz w:val="18"/>
      </w:rPr>
      <w:instrText xml:space="preserve"> "Samling" *\charformat </w:instrText>
    </w:r>
    <w:r w:rsidRPr="00FA0B35">
      <w:fldChar w:fldCharType="end"/>
    </w:r>
    <w:r w:rsidRPr="00FA0B35">
      <w:tab/>
      <w:t xml:space="preserve">pnr: </w:t>
    </w:r>
    <w:r w:rsidRPr="00FA0B35">
      <w:fldChar w:fldCharType="begin" w:fldLock="1"/>
    </w:r>
    <w:r w:rsidRPr="00FA0B35">
      <w:instrText xml:space="preserve"> DOCPROPERTY</w:instrText>
    </w:r>
    <w:r w:rsidRPr="00FA0B35">
      <w:rPr>
        <w:sz w:val="18"/>
      </w:rPr>
      <w:instrText xml:space="preserve"> "Partinummer" *\charformat </w:instrText>
    </w:r>
    <w:r w:rsidRPr="00FA0B35">
      <w:fldChar w:fldCharType="separate"/>
    </w:r>
    <w:r w:rsidRPr="00FA0B35">
      <w:t>S36022</w:t>
    </w:r>
    <w:r w:rsidRPr="00FA0B35">
      <w:fldChar w:fldCharType="end"/>
    </w:r>
  </w:p>
  <w:p w:rsidR="00AF3647" w:rsidRPr="00FA0B35" w:rsidRDefault="00AF3647">
    <w:pPr>
      <w:pStyle w:val="FSHRub1"/>
    </w:pPr>
    <w:r w:rsidRPr="00FA0B35">
      <w:t>Motion till riksdagen</w:t>
    </w:r>
    <w:r w:rsidRPr="00FA0B35">
      <w:br/>
    </w:r>
    <w:r w:rsidRPr="00FA0B35">
      <w:fldChar w:fldCharType="begin" w:fldLock="1"/>
    </w:r>
    <w:r w:rsidRPr="00FA0B35">
      <w:instrText xml:space="preserve"> DOCPROPERTY "YearUser" *\charformat </w:instrText>
    </w:r>
    <w:r w:rsidRPr="00FA0B35">
      <w:fldChar w:fldCharType="separate"/>
    </w:r>
    <w:r w:rsidRPr="00FA0B35">
      <w:t>2011/12</w:t>
    </w:r>
    <w:r w:rsidRPr="00FA0B35">
      <w:fldChar w:fldCharType="end"/>
    </w:r>
    <w:r w:rsidRPr="00FA0B35">
      <w:t>:</w:t>
    </w:r>
    <w:r w:rsidRPr="00FA0B35">
      <w:fldChar w:fldCharType="begin" w:fldLock="1"/>
    </w:r>
    <w:r w:rsidRPr="00FA0B35">
      <w:instrText xml:space="preserve"> DOCPROPERTY "Motionsnummer" *\charformat </w:instrText>
    </w:r>
    <w:r w:rsidRPr="00FA0B35">
      <w:fldChar w:fldCharType="separate"/>
    </w:r>
    <w:r w:rsidRPr="00FA0B35">
      <w:t>C376</w:t>
    </w:r>
    <w:r w:rsidRPr="00FA0B35">
      <w:fldChar w:fldCharType="end"/>
    </w:r>
  </w:p>
  <w:p w:rsidR="00AF3647" w:rsidRPr="00FA0B35" w:rsidRDefault="00AF3647">
    <w:pPr>
      <w:pStyle w:val="FSHNormalS5"/>
    </w:pPr>
    <w:r w:rsidRPr="00FA0B35">
      <w:fldChar w:fldCharType="begin" w:fldLock="1"/>
    </w:r>
    <w:r w:rsidRPr="00FA0B35">
      <w:instrText xml:space="preserve"> DOCPROPERTY "MotionarText" *\charformat </w:instrText>
    </w:r>
    <w:r w:rsidRPr="00FA0B35">
      <w:fldChar w:fldCharType="separate"/>
    </w:r>
    <w:r w:rsidRPr="00FA0B35">
      <w:t>av Kurt Kvarnström och Peter Hultqvist (S)</w:t>
    </w:r>
    <w:r w:rsidRPr="00FA0B35">
      <w:fldChar w:fldCharType="end"/>
    </w:r>
    <w:r w:rsidRPr="00FA0B35">
      <w:br/>
    </w:r>
    <w:r w:rsidRPr="00FA0B35">
      <w:fldChar w:fldCharType="begin" w:fldLock="1"/>
    </w:r>
    <w:r w:rsidRPr="00FA0B35">
      <w:instrText xml:space="preserve"> DOCPROPERTY "SvarFrasKort" *\charformat </w:instrText>
    </w:r>
    <w:r w:rsidRPr="00FA0B35">
      <w:fldChar w:fldCharType="end"/>
    </w:r>
  </w:p>
  <w:p w:rsidR="00AF3647" w:rsidRPr="00FA0B35" w:rsidRDefault="00AF3647">
    <w:pPr>
      <w:pStyle w:val="FSHTitel"/>
    </w:pPr>
    <w:r w:rsidRPr="00FA0B35">
      <w:fldChar w:fldCharType="begin" w:fldLock="1"/>
    </w:r>
    <w:r w:rsidRPr="00FA0B35">
      <w:instrText xml:space="preserve"> DOCPROPERTY</w:instrText>
    </w:r>
    <w:r w:rsidRPr="00FA0B35">
      <w:rPr>
        <w:sz w:val="18"/>
      </w:rPr>
      <w:instrText xml:space="preserve"> "RubrikSvar" *\charformat </w:instrText>
    </w:r>
    <w:r w:rsidRPr="00FA0B35">
      <w:fldChar w:fldCharType="separate"/>
    </w:r>
    <w:r w:rsidRPr="00FA0B35">
      <w:t>Beräkning av inkomstförlust i personskaderegleringar</w:t>
    </w:r>
    <w:r w:rsidRPr="00FA0B35">
      <w:fldChar w:fldCharType="end"/>
    </w:r>
  </w:p>
  <w:p w:rsidR="00AF3647" w:rsidRPr="00FA0B35" w:rsidRDefault="00AF3647">
    <w:pPr>
      <w:pStyle w:val="Normal00"/>
    </w:pPr>
  </w:p>
  <w:p w:rsidR="00AF3647" w:rsidRPr="00FA0B35" w:rsidRDefault="00AF364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23818582">
    <w:abstractNumId w:val="3"/>
  </w:num>
  <w:num w:numId="2" w16cid:durableId="1754355256">
    <w:abstractNumId w:val="2"/>
  </w:num>
  <w:num w:numId="3" w16cid:durableId="1605378922">
    <w:abstractNumId w:val="1"/>
  </w:num>
  <w:num w:numId="4" w16cid:durableId="1069116164">
    <w:abstractNumId w:val="0"/>
  </w:num>
  <w:num w:numId="5" w16cid:durableId="980116212">
    <w:abstractNumId w:val="7"/>
  </w:num>
  <w:num w:numId="6" w16cid:durableId="49152697">
    <w:abstractNumId w:val="6"/>
  </w:num>
  <w:num w:numId="7" w16cid:durableId="345254886">
    <w:abstractNumId w:val="5"/>
  </w:num>
  <w:num w:numId="8" w16cid:durableId="1166096207">
    <w:abstractNumId w:val="4"/>
  </w:num>
  <w:num w:numId="9" w16cid:durableId="426192288">
    <w:abstractNumId w:val="8"/>
  </w:num>
  <w:num w:numId="10" w16cid:durableId="343483102">
    <w:abstractNumId w:val="9"/>
  </w:num>
  <w:num w:numId="11" w16cid:durableId="1647784162">
    <w:abstractNumId w:val="10"/>
  </w:num>
  <w:num w:numId="12" w16cid:durableId="377125588">
    <w:abstractNumId w:val="13"/>
  </w:num>
  <w:num w:numId="13" w16cid:durableId="2042585680">
    <w:abstractNumId w:val="15"/>
  </w:num>
  <w:num w:numId="14" w16cid:durableId="1603222077">
    <w:abstractNumId w:val="16"/>
  </w:num>
  <w:num w:numId="15" w16cid:durableId="1879202492">
    <w:abstractNumId w:val="11"/>
  </w:num>
  <w:num w:numId="16" w16cid:durableId="598441370">
    <w:abstractNumId w:val="18"/>
  </w:num>
  <w:num w:numId="17" w16cid:durableId="1474251602">
    <w:abstractNumId w:val="17"/>
  </w:num>
  <w:num w:numId="18" w16cid:durableId="1236090987">
    <w:abstractNumId w:val="14"/>
  </w:num>
  <w:num w:numId="19" w16cid:durableId="2878563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1"/>
    <w:docVar w:name="PersonGUIDs" w:val="{1FAB1011-E67A-4183-95E5-15A14406083A},{78FEBFCD-395F-4A99-8914-12F6FADF0550}"/>
  </w:docVars>
  <w:rsids>
    <w:rsidRoot w:val="004C504F"/>
    <w:rsid w:val="004C504F"/>
    <w:rsid w:val="00AF3647"/>
    <w:rsid w:val="00FA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FA1254-F52C-4DB5-A283-6C2A069C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2615</Characters>
  <Application>Microsoft Office Word</Application>
  <DocSecurity>4</DocSecurity>
  <Lines>52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S36022</vt:lpstr>
    </vt:vector>
  </TitlesOfParts>
  <Company>Riksdagen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S36022</dc:title>
  <dc:subject>S36022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2012-01-09T12:29:00Z</cp:lastPrinted>
  <dcterms:created xsi:type="dcterms:W3CDTF">2025-12-17T18:35:00Z</dcterms:created>
  <dcterms:modified xsi:type="dcterms:W3CDTF">2025-12-17T18:35:00Z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mot2000_533_2011-09-21</vt:lpwstr>
  </property>
  <property fmtid="{D5CDD505-2E9C-101B-9397-08002B2CF9AE}" pid="3" name="version">
    <vt:lpwstr>mot2000_533_2011-09-21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Beräkning av inkomstförlust i personskaderegleringar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Beräkning av inkomstförlust i personskaderegleringar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Peter Hultqvist (S)</vt:lpwstr>
  </property>
  <property fmtid="{D5CDD505-2E9C-101B-9397-08002B2CF9AE}" pid="26" name="MotionarLista">
    <vt:lpwstr>Kvarnström, Kurt (S)\Hultqvist,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Peter Hultqvist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20112012000000000083000360220069</vt:lpwstr>
  </property>
  <property fmtid="{D5CDD505-2E9C-101B-9397-08002B2CF9AE}" pid="47" name="datum">
    <vt:lpwstr>111005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20112012000000000083000360220069</vt:lpwstr>
  </property>
  <property fmtid="{D5CDD505-2E9C-101B-9397-08002B2CF9AE}" pid="50" name="nummer">
    <vt:lpwstr>376</vt:lpwstr>
  </property>
  <property fmtid="{D5CDD505-2E9C-101B-9397-08002B2CF9AE}" pid="51" name="utskottsbeteckning">
    <vt:lpwstr>C</vt:lpwstr>
  </property>
  <property fmtid="{D5CDD505-2E9C-101B-9397-08002B2CF9AE}" pid="52" name="GlobalUID">
    <vt:lpwstr>{56E42206-9573-4AC3-A03C-994CE67481F7}</vt:lpwstr>
  </property>
  <property fmtid="{D5CDD505-2E9C-101B-9397-08002B2CF9AE}" pid="53" name="Överföringar">
    <vt:i4>0</vt:i4>
  </property>
  <property fmtid="{D5CDD505-2E9C-101B-9397-08002B2CF9AE}" pid="54" name="Checksum">
    <vt:lpwstr>*0020351867602*</vt:lpwstr>
  </property>
  <property fmtid="{D5CDD505-2E9C-101B-9397-08002B2CF9AE}" pid="55" name="skuggnummer">
    <vt:lpwstr>2476</vt:lpwstr>
  </property>
  <property fmtid="{D5CDD505-2E9C-101B-9397-08002B2CF9AE}" pid="56" name="urixVersion">
    <vt:lpwstr>4.5.0.25</vt:lpwstr>
  </property>
  <property fmtid="{D5CDD505-2E9C-101B-9397-08002B2CF9AE}" pid="57" name="urixOrigin">
    <vt:lpwstr>120109 15:03:05.964</vt:lpwstr>
  </property>
  <property fmtid="{D5CDD505-2E9C-101B-9397-08002B2CF9AE}" pid="58" name="urixGuid">
    <vt:lpwstr>{51B17412-4441-4558-B091-3399BAE34264}</vt:lpwstr>
  </property>
</Properties>
</file>