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11B0BF" w14:textId="77777777">
      <w:pPr>
        <w:pStyle w:val="Normalutanindragellerluft"/>
      </w:pPr>
      <w:bookmarkStart w:name="_Toc106800475" w:id="0"/>
      <w:bookmarkStart w:name="_Toc106801300" w:id="1"/>
    </w:p>
    <w:p w:rsidRPr="009B062B" w:rsidR="00AF30DD" w:rsidP="00070DB5" w:rsidRDefault="000334DE"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alias w:val="Yrkande 1"/>
        <w:tag w:val="bae8cd6b-ee0a-442e-89d8-f82a11bee404"/>
        <w:id w:val="1143924324"/>
        <w:lock w:val="sdtLocked"/>
      </w:sdtPr>
      <w:sdtEndPr/>
      <w:sdtContent>
        <w:p w:rsidR="00B919EF" w:rsidRDefault="000334DE" w14:paraId="1A31156C"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399f78b6-369f-474e-b471-f57a3838ae52"/>
        <w:id w:val="-2018145840"/>
        <w:lock w:val="sdtLocked"/>
      </w:sdtPr>
      <w:sdtEndPr/>
      <w:sdtContent>
        <w:p w:rsidR="00B919EF" w:rsidRDefault="000334DE" w14:paraId="71B4E5A6"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2939200b-b50a-4960-abb0-43a5b7baaf54"/>
        <w:id w:val="2093121859"/>
        <w:lock w:val="sdtLocked"/>
      </w:sdtPr>
      <w:sdtEndPr/>
      <w:sdtContent>
        <w:p w:rsidR="00B919EF" w:rsidRDefault="000334DE" w14:paraId="1E4E56B8"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4"/>
        <w:tag w:val="5aade15c-5de5-4ded-8f7c-11e020b75145"/>
        <w:id w:val="262337620"/>
        <w:lock w:val="sdtLocked"/>
      </w:sdtPr>
      <w:sdtEndPr/>
      <w:sdtContent>
        <w:p w:rsidR="00B919EF" w:rsidRDefault="000334DE" w14:paraId="1FE0A2C4" w14:textId="77777777">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alias w:val="Yrkande 5"/>
        <w:tag w:val="e011844e-719a-40b9-900e-3c094d7bc55e"/>
        <w:id w:val="-1892019964"/>
        <w:lock w:val="sdtLocked"/>
      </w:sdtPr>
      <w:sdtEndPr/>
      <w:sdtContent>
        <w:p w:rsidR="00B919EF" w:rsidRDefault="000334DE" w14:paraId="560637F6" w14:textId="77777777">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alias w:val="Yrkande 6"/>
        <w:tag w:val="c1d3537a-2488-4ec5-a4cc-ae855e6e502e"/>
        <w:id w:val="1081874487"/>
        <w:lock w:val="sdtLocked"/>
      </w:sdtPr>
      <w:sdtEndPr/>
      <w:sdtContent>
        <w:p w:rsidR="00B919EF" w:rsidRDefault="000334DE" w14:paraId="0D5C127E" w14:textId="77777777">
          <w:pPr>
            <w:pStyle w:val="Frslagstext"/>
          </w:pPr>
          <w:r>
            <w:t>Riksdagen ställer sig bakom det som anförs i motionen om att det bör införas ett nytt brott, ”sexuell utpressning av barn”, i brottsbalkens 6 kap. och tillkännager detta för regeringen.</w:t>
          </w:r>
        </w:p>
      </w:sdtContent>
    </w:sdt>
    <w:sdt>
      <w:sdtPr>
        <w:alias w:val="Yrkande 7"/>
        <w:tag w:val="452aee47-e190-4409-948f-23dce6d70fa8"/>
        <w:id w:val="-1015382382"/>
        <w:lock w:val="sdtLocked"/>
      </w:sdtPr>
      <w:sdtEndPr/>
      <w:sdtContent>
        <w:p w:rsidR="00B919EF" w:rsidRDefault="000334DE" w14:paraId="27CF9616" w14:textId="77777777">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alias w:val="Yrkande 8"/>
        <w:tag w:val="2ae8f3f5-167b-4a08-88f7-85607708d808"/>
        <w:id w:val="-1211115633"/>
        <w:lock w:val="sdtLocked"/>
      </w:sdtPr>
      <w:sdtEndPr/>
      <w:sdtContent>
        <w:p w:rsidR="00B919EF" w:rsidRDefault="000334DE" w14:paraId="7D3B02D0" w14:textId="77777777">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alias w:val="Yrkande 9"/>
        <w:tag w:val="a0b9caa2-4433-42de-84bc-c77f64830c87"/>
        <w:id w:val="-1611576068"/>
        <w:lock w:val="sdtLocked"/>
      </w:sdtPr>
      <w:sdtEndPr/>
      <w:sdtContent>
        <w:p w:rsidR="00B919EF" w:rsidRDefault="000334DE" w14:paraId="70A0480E" w14:textId="77777777">
          <w:pPr>
            <w:pStyle w:val="Frslagstext"/>
          </w:pPr>
          <w:r>
            <w:t>Riksdagen ställer sig bakom det som anförs i motionen om att brottet utnyttjande av barn för köp av sexuell handling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127783EE324ADC9B5F6CD388C0280A"/>
        </w:placeholder>
        <w:text/>
      </w:sdtPr>
      <w:sdtEndPr/>
      <w:sdtContent>
        <w:p w:rsidRPr="009B062B" w:rsidR="006D79C9" w:rsidP="00333E95" w:rsidRDefault="006D79C9" w14:paraId="4A2931AA" w14:textId="77777777">
          <w:pPr>
            <w:pStyle w:val="Rubrik1"/>
          </w:pPr>
          <w:r>
            <w:t>Motivering</w:t>
          </w:r>
        </w:p>
      </w:sdtContent>
    </w:sdt>
    <w:bookmarkEnd w:displacedByCustomXml="prev" w:id="3"/>
    <w:bookmarkEnd w:displacedByCustomXml="prev" w:id="4"/>
    <w:p w:rsidRPr="009C2289" w:rsidR="009C2289" w:rsidP="009C2289" w:rsidRDefault="009C2289" w14:paraId="51C4A479" w14:textId="192168AA">
      <w:pPr>
        <w:pStyle w:val="Rubrik1"/>
      </w:pPr>
      <w:r w:rsidRPr="009C2289">
        <w:t>Avskaffande av pubertetsutvecklingsrekvisitet i barnpornografibrottet</w:t>
      </w:r>
    </w:p>
    <w:p w:rsidR="009C2289" w:rsidP="009C2289" w:rsidRDefault="009C2289" w14:paraId="7FE690D7" w14:textId="77777777">
      <w:pPr>
        <w:pStyle w:val="Normalutanindragellerluft"/>
      </w:pPr>
      <w:r>
        <w:t xml:space="preserve">Pubertetsutvecklingsrekvisitet i barnpornografibrottet bryter mot Sveriges internationella åtaganden och leder till ett bristande skydd för äldre barn och sämre förutsättningar att utreda och beivra brottsligheten. </w:t>
      </w:r>
    </w:p>
    <w:p w:rsidR="009C2289" w:rsidP="009C2289" w:rsidRDefault="009C2289" w14:paraId="4B4F94F8" w14:textId="044BE7F4">
      <w:pPr>
        <w:pStyle w:val="Normalutanindragellerluft"/>
      </w:pPr>
      <w:r>
        <w:t>I barnpornografibrottet (16</w:t>
      </w:r>
      <w:r w:rsidR="00FB0854">
        <w:t> </w:t>
      </w:r>
      <w:r>
        <w:t>kap. 10</w:t>
      </w:r>
      <w:r w:rsidR="00FB0854">
        <w:t> </w:t>
      </w:r>
      <w:r>
        <w:t>a</w:t>
      </w:r>
      <w:r w:rsidR="00FB0854">
        <w:t> </w:t>
      </w:r>
      <w:r>
        <w:t>§ brottsbalken) definieras ett barn som en person under 18 år eller en person vars pubertetsutveckling inte är avslutad. Är pubertetsutvecklingen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en fullt pubertetsutvecklad 14-åring omfattas därmed inte av barnpornografibrottet, även om de som sprider den vet om att det rör sig om ett barn under 18 år. Vad gärningsmannen visste eller borde ha förstått om barnets ålder spelar bara roll när det kommer till </w:t>
      </w:r>
      <w:r>
        <w:lastRenderedPageBreak/>
        <w:t>skildring, inte någon av de andra formerna av barnpornografibrott (16</w:t>
      </w:r>
      <w:r w:rsidR="00FB0854">
        <w:t> </w:t>
      </w:r>
      <w:r>
        <w:t>kap. 10</w:t>
      </w:r>
      <w:r w:rsidR="00FB0854">
        <w:t> </w:t>
      </w:r>
      <w:r>
        <w:t>a</w:t>
      </w:r>
      <w:r w:rsidR="00FB0854">
        <w:t> </w:t>
      </w:r>
      <w:r>
        <w:t>§ 4</w:t>
      </w:r>
      <w:r w:rsidR="00FB0854">
        <w:t> </w:t>
      </w:r>
      <w:r>
        <w:t>stycket brottsbalken).</w:t>
      </w:r>
    </w:p>
    <w:p w:rsidR="009C2289" w:rsidP="009C2289" w:rsidRDefault="009C2289" w14:paraId="4712DA84" w14:textId="77777777">
      <w:pPr>
        <w:pStyle w:val="Normalutanindragellerluft"/>
      </w:pPr>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w:rsidR="009C2289" w:rsidP="009C2289" w:rsidRDefault="009C2289" w14:paraId="3955CD6D" w14:textId="2D06C46E">
      <w:pPr>
        <w:pStyle w:val="Normalutanindragellerluft"/>
      </w:pPr>
      <w:r>
        <w:t>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hotline.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xml:space="preserve">. Sverige sticker dessutom ut i EU med att ha ett pubertetsutvecklingsrekvisit i barnpornografibrottet. Med tanke på brottets gränsöverskridande natur vore det önskvärt att lagstiftningen i EU är samstämmig. </w:t>
      </w:r>
    </w:p>
    <w:p w:rsidR="009C2289" w:rsidP="009C2289" w:rsidRDefault="009C2289" w14:paraId="2BB68F6A" w14:textId="73693822">
      <w:pPr>
        <w:pStyle w:val="Normalutanindragellerluft"/>
      </w:pPr>
      <w:r>
        <w:t>I motiven (prop. 1997/98:43 s.</w:t>
      </w:r>
      <w:r w:rsidR="00FB0854">
        <w:t> </w:t>
      </w:r>
      <w:r>
        <w:t>87–89) till införandet av definitionen i 16</w:t>
      </w:r>
      <w:r w:rsidR="00FB0854">
        <w:t> </w:t>
      </w:r>
      <w:r>
        <w:t>kap. 10</w:t>
      </w:r>
      <w:r w:rsidR="00FB0854">
        <w:t> </w:t>
      </w:r>
      <w:r>
        <w:t>a</w:t>
      </w:r>
      <w:r w:rsidR="00FB0854">
        <w:t> </w:t>
      </w:r>
      <w:r>
        <w:t xml:space="preserve">§ brottsbalken vägs skälen för och emot att i stället ha en definition i enlighet med barnkonventionen mot varandra. Det är tydligt att argumenten baseras på en omvärldsanalys som inte längre är giltig. Produktion och distribution av övergreppsmaterial sker på andra sätt och i en helt annan omfattning i dag än åren före millennieskiftet. Ett argument som regeringen överväger är att det skulle kunna hända att någon kommer över en pornografisk bild föreställande ett </w:t>
      </w:r>
      <w:proofErr w:type="spellStart"/>
      <w:r>
        <w:t>pubertetsutvecklat</w:t>
      </w:r>
      <w:proofErr w:type="spellEnd"/>
      <w:r>
        <w:t xml:space="preserve"> barn som vederbörande känner. Regeringen ställer sig då frågande till om befattning med en sådan bild ens är straffvärd då befattning med pornografiska bilder inte är kriminaliserat. I dag ser det juridiska landskapet annorlunda ut då spridning </w:t>
      </w:r>
      <w:r w:rsidR="00FB0854">
        <w:t>av</w:t>
      </w:r>
      <w:r>
        <w:t xml:space="preserve"> bilder som föreställer även vuxna människors helt eller delvis nakna kroppar är kriminaliserad (olaga integritetsintrång). Det är i dag också betydligt vanligare att någon befattar sig med en bild som föreställer ett </w:t>
      </w:r>
      <w:proofErr w:type="spellStart"/>
      <w:r>
        <w:t>pubertetsutvecklat</w:t>
      </w:r>
      <w:proofErr w:type="spellEnd"/>
      <w:r>
        <w:t xml:space="preserve"> barn som vederbörande känner, vilket i sig är ett argument för en definition som är i överensstämmelse med barnkonventionen, dvs. att barnpornografibrottet omfattar alla barn. </w:t>
      </w:r>
    </w:p>
    <w:p w:rsidR="009C2289" w:rsidP="009C2289" w:rsidRDefault="009C2289" w14:paraId="15A88D8F" w14:textId="6AED060D">
      <w:pPr>
        <w:pStyle w:val="Normalutanindragellerluft"/>
      </w:pPr>
      <w:r>
        <w:t>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w:t>
      </w:r>
      <w:r w:rsidR="00FB0854">
        <w:t> </w:t>
      </w:r>
      <w:r>
        <w:t>kap. 10</w:t>
      </w:r>
      <w:r w:rsidR="00FB0854">
        <w:t> </w:t>
      </w:r>
      <w:r>
        <w:t>a</w:t>
      </w:r>
      <w:r w:rsidR="00FB0854">
        <w:t> </w:t>
      </w:r>
      <w:r>
        <w:t xml:space="preserve">§ 2–5 när det gäller ett </w:t>
      </w:r>
      <w:proofErr w:type="spellStart"/>
      <w:r>
        <w:t>pubertetsutvecklat</w:t>
      </w:r>
      <w:proofErr w:type="spellEnd"/>
      <w:r>
        <w:t xml:space="preserve">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w:t>
      </w:r>
      <w:proofErr w:type="spellStart"/>
      <w:r>
        <w:t>exposekonton</w:t>
      </w:r>
      <w:proofErr w:type="spellEnd"/>
      <w:r>
        <w:t xml:space="preserve"> kunna omfattas av regleringen. </w:t>
      </w:r>
      <w:proofErr w:type="spellStart"/>
      <w:r>
        <w:t>Exposekonton</w:t>
      </w:r>
      <w:proofErr w:type="spellEnd"/>
      <w:r>
        <w:t xml:space="preserve">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uppfattningen att pubertetsutvecklingskravet helt ska avskaffas skulle denna ändring åtminstone vara ett steg i rätt riktning. </w:t>
      </w:r>
    </w:p>
    <w:p w:rsidRPr="009C2289" w:rsidR="009C2289" w:rsidP="009C2289" w:rsidRDefault="009C2289" w14:paraId="7E4B5554" w14:textId="77777777">
      <w:pPr>
        <w:pStyle w:val="Rubrik1"/>
      </w:pPr>
      <w:r w:rsidRPr="009C2289">
        <w:t xml:space="preserve">Införande av strikt ansvar vad gäller barnets ålder när det kommer till sexualbrott mot barn </w:t>
      </w:r>
    </w:p>
    <w:p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barnets ålder. Det går att döma förövaren för brott i alla fall. Europadomstolen har kommit fram till att det inte bryter mot rätten till en rättvis rättegång. </w:t>
      </w:r>
    </w:p>
    <w:p w:rsidR="009C2289" w:rsidP="009C2289" w:rsidRDefault="009C2289" w14:paraId="6E5FE50A" w14:textId="1273DCE3">
      <w:pPr>
        <w:pStyle w:val="Normalutanindragellerluft"/>
      </w:pPr>
      <w:r>
        <w:t>I alltför många fall har barnets pubertetsutveckling varit avgörande för domstolens bedömning om förövaren har förstått att det var ett barn eller inte. Detta strider mot artikel</w:t>
      </w:r>
      <w:r w:rsidR="00FB0854">
        <w:t> </w:t>
      </w:r>
      <w:r>
        <w:t xml:space="preserve">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w:rsidR="009C2289" w:rsidP="009C2289" w:rsidRDefault="009C2289" w14:paraId="6FE299AE" w14:textId="4085629A">
      <w:pPr>
        <w:pStyle w:val="Normalutanindragellerluft"/>
      </w:pPr>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w:rsidR="009C2289" w:rsidP="009C2289" w:rsidRDefault="009C2289" w14:paraId="632E9B86" w14:textId="00B702AC">
      <w:pPr>
        <w:pStyle w:val="Normalutanindragellerluft"/>
      </w:pPr>
      <w:r>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 artikel 6.1 (rätten till en rättvis rättegång) och 6.2 (oskuldspresumtionen)</w:t>
      </w:r>
      <w:r w:rsidR="00B246AA">
        <w:rPr>
          <w:rStyle w:val="Fotnotsreferens"/>
        </w:rPr>
        <w:footnoteReference w:id="3"/>
      </w:r>
      <w:r>
        <w:t xml:space="preserve">. Storbritannien och Nederländerna har lagstiftning som innebär strikt ansvar när det kommer till sexualbrott mot barn. Av paragraf 5.1 Sexual </w:t>
      </w:r>
      <w:proofErr w:type="spellStart"/>
      <w:r>
        <w:t>Offences</w:t>
      </w:r>
      <w:proofErr w:type="spellEnd"/>
      <w:r>
        <w:t xml:space="preserve"> </w:t>
      </w:r>
      <w:proofErr w:type="spellStart"/>
      <w:r>
        <w:t>Act</w:t>
      </w:r>
      <w:proofErr w:type="spellEnd"/>
      <w:r>
        <w:t xml:space="preserve"> 2003 framgår till exempel att en person gör sig skyldig till </w:t>
      </w:r>
      <w:proofErr w:type="spellStart"/>
      <w:r>
        <w:t>rape</w:t>
      </w:r>
      <w:proofErr w:type="spellEnd"/>
      <w:r>
        <w:t xml:space="preserve"> of a </w:t>
      </w:r>
      <w:proofErr w:type="spellStart"/>
      <w:r>
        <w:t>child</w:t>
      </w:r>
      <w:proofErr w:type="spellEnd"/>
      <w:r>
        <w:t xml:space="preserve"> under 13 om den uppsåtligen genomför vissa sorters handlingar med en annan person och den andra personen är ett barn under 13 år. Det spelar ingen roll vad gärningspersonen visste eller borde ha förstått om barnets ålder i det fallet. I enlighet med paragraf 9.1 (sexual </w:t>
      </w:r>
      <w:proofErr w:type="spellStart"/>
      <w:r>
        <w:t>activity</w:t>
      </w:r>
      <w:proofErr w:type="spellEnd"/>
      <w:r>
        <w:t xml:space="preserve"> with a </w:t>
      </w:r>
      <w:proofErr w:type="spellStart"/>
      <w:r>
        <w:t>child</w:t>
      </w:r>
      <w:proofErr w:type="spellEnd"/>
      <w:r>
        <w:t>)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w:rsidR="009C2289" w:rsidP="009C2289"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w:rsidR="009C2289" w:rsidP="009C2289" w:rsidRDefault="009C2289" w14:paraId="3807DCB0" w14:textId="0CE1770A">
      <w:pPr>
        <w:pStyle w:val="Normalutanindragellerluft"/>
      </w:pPr>
      <w:r>
        <w:t xml:space="preserve">Vi måste uppnå en bättre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w:rsidR="009C2289" w:rsidP="009C2289" w:rsidRDefault="009C2289" w14:paraId="20AA0FFA" w14:textId="40A072C1">
      <w:pPr>
        <w:pStyle w:val="Normalutanindragellerluft"/>
      </w:pPr>
      <w:r>
        <w:t xml:space="preserve">Av de kontakter Ecpat har med barn i sin stödlinje Ditt Ecpat framgår att många barn väljer att inte polisanmäla, bland annat på grund av hot från förövaren och en känsla av att polisen inte ska tro på barnets berättelse. I dessa situationer skulle en kontaktsamordnare kunna fylla en viktig roll. När ett barn anmäler och ett 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w:rsidR="009C2289" w:rsidP="009C2289" w:rsidRDefault="009C2289" w14:paraId="37339A99" w14:textId="665F31D3">
      <w:pPr>
        <w:pStyle w:val="Normalutanindragellerluft"/>
      </w:pPr>
      <w:r>
        <w:t xml:space="preserve">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w:rsidR="009C2289" w:rsidP="009C2289" w:rsidRDefault="009C2289" w14:paraId="1E49457C" w14:textId="7422DEE0">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funktion dessa utsagor har i rättsprocessen varierar något mellan jurisdiktioner men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de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och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w:t>
      </w:r>
      <w:proofErr w:type="spellStart"/>
      <w:r>
        <w:t>brotts¬offerutsagor</w:t>
      </w:r>
      <w:proofErr w:type="spellEnd"/>
      <w:r>
        <w:t xml:space="preserve"> i den svenska brottmålsprocessen. </w:t>
      </w:r>
    </w:p>
    <w:p w:rsidRPr="00F33EFF" w:rsidR="009C2289" w:rsidP="00F33EFF" w:rsidRDefault="009C2289" w14:paraId="7BFB66C8" w14:textId="77777777">
      <w:pPr>
        <w:pStyle w:val="Rubrik1"/>
      </w:pPr>
      <w:r w:rsidRPr="00F33EFF">
        <w:t xml:space="preserve">Riktade resurser till polisen gällande internetrelaterade sexuella övergrepp mot barn </w:t>
      </w:r>
    </w:p>
    <w:p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w:rsidR="009C2289" w:rsidP="009C2289" w:rsidRDefault="009C2289" w14:paraId="66EEFBCE" w14:textId="0EE1B544">
      <w:pPr>
        <w:pStyle w:val="Normalutanindragellerluft"/>
      </w:pPr>
      <w:r>
        <w:t xml:space="preserve">I dag finns det ett nationellt it-brottscentrum på </w:t>
      </w:r>
      <w:r w:rsidR="00082237">
        <w:t xml:space="preserve">Noa </w:t>
      </w:r>
      <w:r>
        <w:t xml:space="preserve">och sju regionala it-brottscentrum, ett i varje polisregion, som har specialistkompetens inom internetrelaterade sexuella övergrepp mot barn. Dessa vittnar om ett enormt inflöde av rapporter gällande sexualbrott mot barn från den amerikanska organisationen National Center for </w:t>
      </w:r>
      <w:proofErr w:type="spellStart"/>
      <w:r>
        <w:t>Missing</w:t>
      </w:r>
      <w:proofErr w:type="spellEnd"/>
      <w:r>
        <w:t xml:space="preserve"> and </w:t>
      </w:r>
      <w:proofErr w:type="spellStart"/>
      <w:r>
        <w:t>Exploited</w:t>
      </w:r>
      <w:proofErr w:type="spellEnd"/>
      <w:r>
        <w:t xml:space="preserve"> Children (NCMEC) och det har rapporterats i media om polisens oförmåga att hinna med och prioritera dessa allvarliga brott. Riksrevisionen kunde i granskningsrapporten Internetrelaterade sexuella övergrepp mot barn – stora utmaningar för polis och åklagare (R</w:t>
      </w:r>
      <w:r w:rsidR="00082237">
        <w:t>i</w:t>
      </w:r>
      <w:r>
        <w:t xml:space="preserve">R 2021:25) belysa att polisen har problem med att hantera den stora mängden internetrelaterade sexuella övergrepp mot barn och att det behövs fler anställda med specialistkompetens inom området för att möta inflödet. Enligt barnrättsorganisationen Ecpat så är det inte ovanligt att de tips de lämnar till polisen om internetrelaterade sexuella övergrepp mot barn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w:t>
      </w:r>
      <w:proofErr w:type="spellStart"/>
      <w:r>
        <w:t>exposekonton</w:t>
      </w:r>
      <w:proofErr w:type="spellEnd"/>
      <w:r>
        <w:t xml:space="preserve"> eftersom dessa brott regelmässigt bedöms som olaga integritetsintrång och därför inte hanteras av de som är experter på internetrelaterade sexualbrott mot barn. </w:t>
      </w:r>
    </w:p>
    <w:p w:rsidR="009C2289" w:rsidP="009C2289" w:rsidRDefault="009C2289" w14:paraId="793EFF0D" w14:textId="77777777">
      <w:pPr>
        <w:pStyle w:val="Normalutanindragellerluft"/>
      </w:pPr>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w:rsidRPr="00F33EFF" w:rsidR="009C2289" w:rsidP="00F33EFF" w:rsidRDefault="009C2289" w14:paraId="00CB812D" w14:textId="77777777">
      <w:pPr>
        <w:pStyle w:val="Rubrik1"/>
      </w:pPr>
      <w:r w:rsidRPr="00F33EFF">
        <w:t xml:space="preserve">Sexuell utpressning av barn – behovet av ett nytt brott </w:t>
      </w:r>
    </w:p>
    <w:p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w:rsidR="009C2289" w:rsidP="009C2289" w:rsidRDefault="009C2289" w14:paraId="6E0568FB" w14:textId="049455C6">
      <w:pPr>
        <w:pStyle w:val="Normalutanindragellerluft"/>
      </w:pPr>
      <w:r>
        <w:t xml:space="preserve">Sexuell utpressning av barn (på engelska kallat </w:t>
      </w:r>
      <w:proofErr w:type="spellStart"/>
      <w:r>
        <w:t>sextortion</w:t>
      </w:r>
      <w:proofErr w:type="spellEnd"/>
      <w:r>
        <w:t xml:space="preserve">)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syfte är kopplingen till organiserad brottslighet tydlig, vilket FBI och National Center for </w:t>
      </w:r>
      <w:proofErr w:type="spellStart"/>
      <w:r>
        <w:t>Missing</w:t>
      </w:r>
      <w:proofErr w:type="spellEnd"/>
      <w:r>
        <w:t xml:space="preserve"> and </w:t>
      </w:r>
      <w:proofErr w:type="spellStart"/>
      <w:r>
        <w:t>Exploited</w:t>
      </w:r>
      <w:proofErr w:type="spellEnd"/>
      <w:r>
        <w:t xml:space="preserve">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w:t>
      </w:r>
      <w:r w:rsidR="00082237">
        <w:t> </w:t>
      </w:r>
      <w:r>
        <w:t>kap. som täcker alla delarna av gärningen när det kommer till sexuell utpressning av barn i ekonomiskt syfte. Eftersom barnen ofta är pubertetsutvecklade blir inte heller barnpornografibrottet i 16</w:t>
      </w:r>
      <w:r w:rsidR="00082237">
        <w:t> </w:t>
      </w:r>
      <w:r>
        <w:t>kap. brottsbalken tillämpligt. Det brott som är tillämpbart på situationen är snarare brottet utpressning (9</w:t>
      </w:r>
      <w:r w:rsidR="00082237">
        <w:t> </w:t>
      </w:r>
      <w:r>
        <w:t>kap. 4</w:t>
      </w:r>
      <w:r w:rsidR="00082237">
        <w:t> </w:t>
      </w:r>
      <w:r>
        <w:t>§ brottsbalken) men det är alltså inget sexualbrott, vilket innebär att det inte kommer att hanteras av polisens specialister. Det kan också, i de fall det påstås att pojken skickat nakenbilden till ett litet barn, röra sig om förtal (5</w:t>
      </w:r>
      <w:r w:rsidR="00082237">
        <w:t> </w:t>
      </w:r>
      <w:r>
        <w:t>kap. 1</w:t>
      </w:r>
      <w:r w:rsidR="00082237">
        <w:t> </w:t>
      </w:r>
      <w:r>
        <w:t xml:space="preserve">§ brottsbalken) men det är inte heller ett sexualbrott och är inte tillämpbart i alla former av sexuell utpressning i ekonomiskt syfte. Det är ett svek mot det barn som utsatts. </w:t>
      </w:r>
    </w:p>
    <w:p w:rsidR="009C2289" w:rsidP="009C2289" w:rsidRDefault="009C2289" w14:paraId="60996858" w14:textId="49AB45A6">
      <w:pPr>
        <w:pStyle w:val="Normalutanindragellerluft"/>
      </w:pPr>
      <w:r>
        <w:t xml:space="preserve">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w:rsidRPr="00F33EFF" w:rsidR="009C2289" w:rsidP="00F33EFF" w:rsidRDefault="009C2289" w14:paraId="7844E3A3" w14:textId="77777777">
      <w:pPr>
        <w:pStyle w:val="Rubrik1"/>
      </w:pPr>
      <w:r w:rsidRPr="00F33EFF">
        <w:t xml:space="preserve">Nedtagning av bilder och finansiering av hotline </w:t>
      </w:r>
    </w:p>
    <w:p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verksamhet ska få statlig och permanent finansiering. Det är av stor vikt att utredningens förslag behandlas skyndsamt av departementet. </w:t>
      </w:r>
    </w:p>
    <w:p w:rsidR="009C2289" w:rsidP="009C2289" w:rsidRDefault="009C2289" w14:paraId="2CAA8D61" w14:textId="58AFDAE0">
      <w:pPr>
        <w:pStyle w:val="Normalutanindragellerluft"/>
      </w:pPr>
      <w:r>
        <w:t xml:space="preserve">I SOU 2023:98 Sexuellt utnyttjande i pornografiska syften föreslås att stödet för barn att ta ned sexuellt kränkande bilder och filmer från internet permanentas och tillförsäkras en långsiktig finansiering. </w:t>
      </w:r>
    </w:p>
    <w:p w:rsidR="009C2289" w:rsidP="009C2289" w:rsidRDefault="009C2289" w14:paraId="25FE9CE7" w14:textId="7D089F6E">
      <w:pPr>
        <w:pStyle w:val="Normalutanindragellerluft"/>
      </w:pPr>
      <w:r>
        <w:t>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w:t>
      </w:r>
      <w:r w:rsidR="00082237">
        <w:t> </w:t>
      </w:r>
      <w:r>
        <w:t xml:space="preserve">14. </w:t>
      </w:r>
    </w:p>
    <w:p w:rsidR="009C2289" w:rsidP="009C2289" w:rsidRDefault="009C2289" w14:paraId="33D61B84" w14:textId="6779984E">
      <w:pPr>
        <w:pStyle w:val="Normalutanindragellerluft"/>
      </w:pPr>
      <w:r>
        <w:t xml:space="preserve">Lågtröskelverksamheter som Ecpats hotline och Ecpats stödlinje för barn, Ditt Ecpat, är därför mycket viktiga då barnet kan få snabb hjälp. Ecpats hotline behöver därför förses med en tillräcklig och permanent finansiering, vilket också skulle medföra att Sverige bättre lever upp till sina internationella åtaganden att förebygga och bekämpa sexuella övergrepp på barn. Ecpats hotline är idag den enda nationella funktionen som tar emot tips om sexuell exploatering av barn i syfte att ta ned övergreppsmaterial från internet, oavsett var eller i vilket syfte det sprids. Ecpat har drivit sin hotline sedan 2005. Arbetet sker i nära kontakt med polisens nationella operativa avdelning samt flera internationella nätverk, bland annat </w:t>
      </w:r>
      <w:proofErr w:type="spellStart"/>
      <w:r w:rsidR="00082237">
        <w:t>Inhope</w:t>
      </w:r>
      <w:proofErr w:type="spellEnd"/>
      <w:r>
        <w:t xml:space="preserve">, den globala paraplyorganisationen för </w:t>
      </w:r>
      <w:proofErr w:type="spellStart"/>
      <w:r>
        <w:t>hotlines</w:t>
      </w:r>
      <w:proofErr w:type="spellEnd"/>
      <w:r>
        <w:t xml:space="preserve"> som ser till att </w:t>
      </w:r>
      <w:proofErr w:type="spellStart"/>
      <w:r>
        <w:t>hotlines</w:t>
      </w:r>
      <w:proofErr w:type="spellEnd"/>
      <w:r>
        <w:t xml:space="preserve">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hotlineverksamheten, som föreslås i betänkande SOU 2023:98, är därför av en betydelse som inte nog kan understrykas och betänkandet måste därför behandlas skyndsamt på departementet. </w:t>
      </w:r>
    </w:p>
    <w:p w:rsidRPr="00F33EFF" w:rsidR="009C2289" w:rsidP="00F33EFF" w:rsidRDefault="009C2289" w14:paraId="37EA6960" w14:textId="77777777">
      <w:pPr>
        <w:pStyle w:val="Rubrik1"/>
      </w:pPr>
      <w:r w:rsidRPr="00F33EFF">
        <w:t xml:space="preserve">Barns möjligheter att utkräva sina rättigheter – behovet av oberoende barnombud </w:t>
      </w:r>
    </w:p>
    <w:p w:rsidR="009C2289" w:rsidP="009C2289" w:rsidRDefault="009C2289" w14:paraId="36D95A39" w14:textId="7C0FA095">
      <w:pPr>
        <w:pStyle w:val="Normalutanindragellerluft"/>
      </w:pPr>
      <w:r>
        <w:t>För att ge barn bättre möjligheter att utkräva sina rättigheter är det viktigt att de får rätt stöd i kontakt med myndigheter och beslutsfattare, inte minst de barn vars vårdnadshavare inte förmår att ge barnen den hjälpen. Oberoende barnombud med, när så behövs, specialkompetens när det kommer till vissa former av utsatthet eller behov, skulle kunna fylla en viktig roll här.</w:t>
      </w:r>
    </w:p>
    <w:p w:rsidR="009C2289" w:rsidP="009C2289" w:rsidRDefault="009C2289" w14:paraId="4B670816" w14:textId="545337F1">
      <w:pPr>
        <w:pStyle w:val="Normalutanindragellerluft"/>
      </w:pPr>
      <w:r>
        <w:t xml:space="preserve">Utredningen om barns möjligheter att utkräva sina rättigheter föreslog i sitt betänkande (SOU 2023:40) att regeringen ska fatta beslut om en förordning om statsbidrag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w:rsidRPr="00F33EFF" w:rsidR="009C2289" w:rsidP="00F33EFF" w:rsidRDefault="009C2289" w14:paraId="4AAE037E" w14:textId="77777777">
      <w:pPr>
        <w:pStyle w:val="Rubrik1"/>
      </w:pPr>
      <w:r w:rsidRPr="00F33EFF">
        <w:t xml:space="preserve">Sis-placerade barns trygghet </w:t>
      </w:r>
    </w:p>
    <w:p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w:rsidR="009C2289" w:rsidP="009C2289" w:rsidRDefault="009C2289" w14:paraId="01A99534" w14:textId="64A65328">
      <w:pPr>
        <w:pStyle w:val="Normalutanindragellerluft"/>
      </w:pPr>
      <w:r>
        <w:t>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ändamålsenligt. Många 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w:rsidR="009C2289" w:rsidP="009C2289" w:rsidRDefault="009C2289" w14:paraId="61CDACC7" w14:textId="77777777">
      <w:pPr>
        <w:pStyle w:val="Normalutanindragellerluft"/>
      </w:pPr>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w:rsidRPr="00F33EFF" w:rsidR="009C2289" w:rsidP="00F33EFF" w:rsidRDefault="009C2289" w14:paraId="2A6A33AC" w14:textId="77777777">
      <w:pPr>
        <w:pStyle w:val="Rubrik1"/>
      </w:pPr>
      <w:r w:rsidRPr="00F33EFF">
        <w:t xml:space="preserve">Betalda övergrepp mot barn – avskaffa utnyttjande av barn för köp av sexuell handling </w:t>
      </w:r>
    </w:p>
    <w:p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w:rsidR="009C2289" w:rsidP="009C2289" w:rsidRDefault="009C2289" w14:paraId="7640A8F1" w14:textId="77777777">
      <w:pPr>
        <w:pStyle w:val="Normalutanindragellerluft"/>
      </w:pPr>
      <w:r>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w:rsidR="009C2289" w:rsidP="009C2289" w:rsidRDefault="009C2289" w14:paraId="299E1CC3" w14:textId="77777777">
      <w:pPr>
        <w:pStyle w:val="Normalutanindragellerluft"/>
      </w:pPr>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w:rsidRPr="00422B9E" w:rsidR="00422B9E" w:rsidP="009C2289" w:rsidRDefault="009C2289" w14:paraId="296325FE" w14:textId="68F84FFC">
      <w:pPr>
        <w:pStyle w:val="Normalutanindragellerluft"/>
      </w:pPr>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p w:rsidR="00BB6339" w:rsidP="008E0FE2" w:rsidRDefault="00BB6339" w14:paraId="5BB555F1" w14:textId="77777777">
      <w:pPr>
        <w:pStyle w:val="Normalutanindragellerluft"/>
      </w:pPr>
    </w:p>
    <w:sdt>
      <w:sdtPr>
        <w:rPr>
          <w:i/>
          <w:noProof/>
        </w:rPr>
        <w:alias w:val="CC_Underskrifter"/>
        <w:tag w:val="CC_Underskrifter"/>
        <w:id w:val="583496634"/>
        <w:lock w:val="sdtContentLocked"/>
        <w:placeholder>
          <w:docPart w:val="203C26A78BC6457084C99080777A4143"/>
        </w:placeholder>
      </w:sdtPr>
      <w:sdtEndPr/>
      <w:sdtContent>
        <w:p w:rsidR="00070DB5" w:rsidP="00375395" w:rsidRDefault="00070DB5" w14:paraId="7C750A87" w14:textId="77777777"/>
        <w:p w:rsidR="00070DB5" w:rsidP="00375395" w:rsidRDefault="000334DE" w14:paraId="1B338AE5" w14:textId="27F7D1F0"/>
      </w:sdtContent>
    </w:sdt>
    <w:tbl>
      <w:tblPr>
        <w:tblW w:w="5000" w:type="pct"/>
        <w:tblLook w:val="04A0" w:firstRow="1" w:lastRow="0" w:firstColumn="1" w:lastColumn="0" w:noHBand="0" w:noVBand="1"/>
        <w:tblCaption w:val="underskrifter"/>
      </w:tblPr>
      <w:tblGrid>
        <w:gridCol w:w="4252"/>
        <w:gridCol w:w="4252"/>
      </w:tblGrid>
      <w:tr w:rsidR="00B919EF" w14:paraId="28423F8B" w14:textId="77777777">
        <w:trPr>
          <w:cantSplit/>
        </w:trPr>
        <w:tc>
          <w:tcPr>
            <w:tcW w:w="50" w:type="pct"/>
            <w:vAlign w:val="bottom"/>
          </w:tcPr>
          <w:p w:rsidR="00B919EF" w:rsidRDefault="000334DE" w14:paraId="64D10AEF" w14:textId="77777777">
            <w:pPr>
              <w:pStyle w:val="Underskrifter"/>
              <w:spacing w:after="0"/>
            </w:pPr>
            <w:r>
              <w:t>Niels Paarup-Petersen (C)</w:t>
            </w:r>
          </w:p>
        </w:tc>
        <w:tc>
          <w:tcPr>
            <w:tcW w:w="50" w:type="pct"/>
            <w:vAlign w:val="bottom"/>
          </w:tcPr>
          <w:p w:rsidR="00B919EF" w:rsidRDefault="000334DE" w14:paraId="429D513C" w14:textId="77777777">
            <w:pPr>
              <w:pStyle w:val="Underskrifter"/>
              <w:spacing w:after="0"/>
            </w:pPr>
            <w:r>
              <w:t>Helena Vilhelmsson (C)</w:t>
            </w:r>
          </w:p>
        </w:tc>
      </w:tr>
    </w:tbl>
    <w:p w:rsidRPr="008E0FE2" w:rsidR="004801AC" w:rsidP="00DF3554" w:rsidRDefault="004801AC" w14:paraId="0E25F531" w14:textId="236422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35E04692" w:rsidR="009C2289" w:rsidRDefault="009C2289">
      <w:pPr>
        <w:pStyle w:val="Fotnotstext"/>
      </w:pPr>
      <w:r>
        <w:rPr>
          <w:rStyle w:val="Fotnotsreferens"/>
        </w:rPr>
        <w:footnoteRef/>
      </w:r>
      <w:r>
        <w:t xml:space="preserve"> </w:t>
      </w:r>
      <w:r w:rsidRPr="009C2289">
        <w:t>SOU 2020:63 Barnkonventionen och svensk rätt s.</w:t>
      </w:r>
      <w:r w:rsidR="00FB0854">
        <w:t> </w:t>
      </w:r>
      <w:r w:rsidRPr="009C2289">
        <w:t xml:space="preserve">1345–1346. </w:t>
      </w:r>
    </w:p>
  </w:footnote>
  <w:footnote w:id="3">
    <w:p w14:paraId="07EE3D2E" w14:textId="141ECD14" w:rsidR="00B246AA" w:rsidRPr="00B246AA" w:rsidRDefault="00B246AA">
      <w:pPr>
        <w:pStyle w:val="Fotnotstext"/>
      </w:pPr>
      <w:r>
        <w:rPr>
          <w:rStyle w:val="Fotnotsreferens"/>
        </w:rPr>
        <w:footnoteRef/>
      </w:r>
      <w:r w:rsidRPr="00B246AA">
        <w:t xml:space="preserve"> Europadomstolens beslut om upptagande av mål</w:t>
      </w:r>
      <w:r w:rsidR="00FB0854">
        <w:t> </w:t>
      </w:r>
      <w:r w:rsidRPr="00B246AA">
        <w:t xml:space="preserve">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w:t>
      </w:r>
      <w:proofErr w:type="spellStart"/>
      <w:r w:rsidRPr="00F33EFF">
        <w:rPr>
          <w:lang w:val="en-US"/>
        </w:rPr>
        <w:t>Barnrättsbyrån</w:t>
      </w:r>
      <w:proofErr w:type="spellEnd"/>
      <w:r w:rsidRPr="00F33EFF">
        <w:rPr>
          <w:lang w:val="en-US"/>
        </w:rPr>
        <w:t xml:space="preserve"> och World Childhood Foundation (2023). </w:t>
      </w:r>
      <w:r w:rsidRPr="00F33EFF">
        <w:t xml:space="preserve">Vem ska tro på mig? En granskning av sexuella övergrepp på de statliga ungdomshemmen.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1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6F3A8" wp14:editId="425E1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45529" w14:textId="4B78F73F" w:rsidR="00262EA3" w:rsidRDefault="000334DE" w:rsidP="008103B5">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6F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E45529" w14:textId="4B78F73F" w:rsidR="00262EA3" w:rsidRDefault="000334DE" w:rsidP="008103B5">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14:paraId="1F7BE5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78E6" w14:textId="77777777" w:rsidR="00262EA3" w:rsidRDefault="00262EA3" w:rsidP="008563AC">
    <w:pPr>
      <w:jc w:val="right"/>
    </w:pPr>
  </w:p>
  <w:p w14:paraId="3893C3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95E2" w14:textId="77777777" w:rsidR="00262EA3" w:rsidRDefault="000334DE" w:rsidP="008563AC">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anchorId="2F91C9BF" wp14:editId="06F57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AC023" w14:textId="1C5B8DAF" w:rsidR="00262EA3" w:rsidRDefault="000334DE" w:rsidP="00A314CF">
    <w:pPr>
      <w:pStyle w:val="FSHNormal"/>
      <w:spacing w:before="40"/>
    </w:pPr>
    <w:sdt>
      <w:sdtPr>
        <w:alias w:val="CC_Noformat_Motionstyp"/>
        <w:tag w:val="CC_Noformat_Motionstyp"/>
        <w:id w:val="1162973129"/>
        <w:lock w:val="sdtContentLocked"/>
        <w15:appearance w15:val="hidden"/>
        <w:text/>
      </w:sdtPr>
      <w:sdtEndPr/>
      <w:sdtContent>
        <w:r w:rsidR="00375395">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14:paraId="19A9F208" w14:textId="77777777" w:rsidR="00262EA3" w:rsidRPr="008227B3" w:rsidRDefault="00033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6E54A" w14:textId="680D7BF8" w:rsidR="00262EA3" w:rsidRPr="008227B3" w:rsidRDefault="000334DE" w:rsidP="00B37A37">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rsidR="00375395">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rsidR="00375395">
          <w:t>:2763</w:t>
        </w:r>
      </w:sdtContent>
    </w:sdt>
  </w:p>
  <w:p w14:paraId="2E870D31" w14:textId="7E4B9FC2" w:rsidR="00262EA3" w:rsidRDefault="000334DE" w:rsidP="00E03A3D">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rsidR="00375395">
          <w:t>av Niels Paarup-Petersen och Helena Vilhelmsson (båda C)</w:t>
        </w:r>
      </w:sdtContent>
    </w:sdt>
  </w:p>
  <w:sdt>
    <w:sdtPr>
      <w:alias w:val="CC_Noformat_Rubtext"/>
      <w:tag w:val="CC_Noformat_Rubtext"/>
      <w:id w:val="-218060500"/>
      <w:lock w:val="sdtLocked"/>
      <w:placeholder>
        <w:docPart w:val="856CB1784C294F4D892B6DD373CC01EF"/>
      </w:placeholder>
      <w:text/>
    </w:sdtPr>
    <w:sdtEndPr/>
    <w:sdtContent>
      <w:p w14:paraId="0E11EB51" w14:textId="680588BC" w:rsidR="00262EA3" w:rsidRDefault="009C2289" w:rsidP="00283E0F">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14:paraId="607D4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9070638">
    <w:abstractNumId w:val="9"/>
  </w:num>
  <w:num w:numId="2" w16cid:durableId="1247305324">
    <w:abstractNumId w:val="8"/>
  </w:num>
  <w:num w:numId="3" w16cid:durableId="2130737396">
    <w:abstractNumId w:val="16"/>
  </w:num>
  <w:num w:numId="4" w16cid:durableId="210069978">
    <w:abstractNumId w:val="14"/>
  </w:num>
  <w:num w:numId="5" w16cid:durableId="1281112304">
    <w:abstractNumId w:val="17"/>
  </w:num>
  <w:num w:numId="6" w16cid:durableId="1244342650">
    <w:abstractNumId w:val="18"/>
  </w:num>
  <w:num w:numId="7" w16cid:durableId="494103103">
    <w:abstractNumId w:val="11"/>
  </w:num>
  <w:num w:numId="8" w16cid:durableId="939726751">
    <w:abstractNumId w:val="12"/>
  </w:num>
  <w:num w:numId="9" w16cid:durableId="1346060463">
    <w:abstractNumId w:val="15"/>
  </w:num>
  <w:num w:numId="10" w16cid:durableId="1053967463">
    <w:abstractNumId w:val="22"/>
  </w:num>
  <w:num w:numId="11" w16cid:durableId="891159501">
    <w:abstractNumId w:val="21"/>
  </w:num>
  <w:num w:numId="12" w16cid:durableId="1652513853">
    <w:abstractNumId w:val="21"/>
  </w:num>
  <w:num w:numId="13" w16cid:durableId="1229027424">
    <w:abstractNumId w:val="3"/>
  </w:num>
  <w:num w:numId="14" w16cid:durableId="470099358">
    <w:abstractNumId w:val="2"/>
  </w:num>
  <w:num w:numId="15" w16cid:durableId="1088115193">
    <w:abstractNumId w:val="1"/>
  </w:num>
  <w:num w:numId="16" w16cid:durableId="1487697831">
    <w:abstractNumId w:val="0"/>
  </w:num>
  <w:num w:numId="17" w16cid:durableId="250554297">
    <w:abstractNumId w:val="7"/>
  </w:num>
  <w:num w:numId="18" w16cid:durableId="607934508">
    <w:abstractNumId w:val="6"/>
  </w:num>
  <w:num w:numId="19" w16cid:durableId="272636170">
    <w:abstractNumId w:val="5"/>
  </w:num>
  <w:num w:numId="20" w16cid:durableId="1363169649">
    <w:abstractNumId w:val="4"/>
  </w:num>
  <w:num w:numId="21" w16cid:durableId="1056516044">
    <w:abstractNumId w:val="21"/>
  </w:num>
  <w:num w:numId="22" w16cid:durableId="2126582152">
    <w:abstractNumId w:val="21"/>
  </w:num>
  <w:num w:numId="23" w16cid:durableId="778525005">
    <w:abstractNumId w:val="21"/>
  </w:num>
  <w:num w:numId="24" w16cid:durableId="1152941408">
    <w:abstractNumId w:val="21"/>
  </w:num>
  <w:num w:numId="25" w16cid:durableId="215121082">
    <w:abstractNumId w:val="21"/>
  </w:num>
  <w:num w:numId="26" w16cid:durableId="499077907">
    <w:abstractNumId w:val="22"/>
  </w:num>
  <w:num w:numId="27" w16cid:durableId="201136307">
    <w:abstractNumId w:val="22"/>
  </w:num>
  <w:num w:numId="28" w16cid:durableId="703989277">
    <w:abstractNumId w:val="22"/>
  </w:num>
  <w:num w:numId="29" w16cid:durableId="1274287027">
    <w:abstractNumId w:val="22"/>
  </w:num>
  <w:num w:numId="30" w16cid:durableId="1950432232">
    <w:abstractNumId w:val="21"/>
  </w:num>
  <w:num w:numId="31" w16cid:durableId="860631003">
    <w:abstractNumId w:val="21"/>
  </w:num>
  <w:num w:numId="32" w16cid:durableId="1370106569">
    <w:abstractNumId w:val="22"/>
  </w:num>
  <w:num w:numId="33" w16cid:durableId="1137994401">
    <w:abstractNumId w:val="21"/>
  </w:num>
  <w:num w:numId="34" w16cid:durableId="183567089">
    <w:abstractNumId w:val="18"/>
  </w:num>
  <w:num w:numId="35" w16cid:durableId="673068609">
    <w:abstractNumId w:val="18"/>
    <w:lvlOverride w:ilvl="0">
      <w:startOverride w:val="1"/>
    </w:lvlOverride>
  </w:num>
  <w:num w:numId="36" w16cid:durableId="1049573072">
    <w:abstractNumId w:val="19"/>
  </w:num>
  <w:num w:numId="37" w16cid:durableId="449781229">
    <w:abstractNumId w:val="18"/>
    <w:lvlOverride w:ilvl="0">
      <w:startOverride w:val="1"/>
    </w:lvlOverride>
  </w:num>
  <w:num w:numId="38" w16cid:durableId="1002204698">
    <w:abstractNumId w:val="13"/>
  </w:num>
  <w:num w:numId="39" w16cid:durableId="1322386484">
    <w:abstractNumId w:val="10"/>
  </w:num>
  <w:num w:numId="40" w16cid:durableId="9550663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4D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3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E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5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61127783EE324ADC9B5F6CD388C0280A"/>
        <w:category>
          <w:name w:val="Allmänt"/>
          <w:gallery w:val="placeholder"/>
        </w:category>
        <w:types>
          <w:type w:val="bbPlcHdr"/>
        </w:types>
        <w:behaviors>
          <w:behavior w:val="content"/>
        </w:behaviors>
        <w:guid w:val="{3779BA6C-B01B-45BE-B244-619E7D0D5DE5}"/>
      </w:docPartPr>
      <w:docPartBody>
        <w:p w:rsidR="000F58A9" w:rsidRDefault="00542C11">
          <w:pPr>
            <w:pStyle w:val="61127783EE324ADC9B5F6CD388C0280A"/>
          </w:pPr>
          <w:r w:rsidRPr="005A0A93">
            <w:rPr>
              <w:rStyle w:val="Platshllartext"/>
            </w:rPr>
            <w:t>Motivering</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542C11">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542C11">
          <w:r w:rsidRPr="00B90806">
            <w:rPr>
              <w:rStyle w:val="Platshllartext"/>
            </w:rPr>
            <w:t>[ange din text här]</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542C11">
          <w:r w:rsidRPr="00B90806">
            <w:rPr>
              <w:rStyle w:val="Platshllartext"/>
            </w:rPr>
            <w:t>[ange din text här]</w:t>
          </w:r>
        </w:p>
      </w:docPartBody>
    </w:docPart>
    <w:docPart>
      <w:docPartPr>
        <w:name w:val="203C26A78BC6457084C99080777A4143"/>
        <w:category>
          <w:name w:val="Allmänt"/>
          <w:gallery w:val="placeholder"/>
        </w:category>
        <w:types>
          <w:type w:val="bbPlcHdr"/>
        </w:types>
        <w:behaviors>
          <w:behavior w:val="content"/>
        </w:behaviors>
        <w:guid w:val="{38F8993B-F716-455F-A887-C2CA610A0024}"/>
      </w:docPartPr>
      <w:docPartBody>
        <w:p w:rsidR="008C04FE" w:rsidRDefault="008C04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542C11"/>
    <w:rsid w:val="00903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11"/>
    <w:rPr>
      <w:color w:val="F1A983" w:themeColor="accent2" w:themeTint="99"/>
    </w:rPr>
  </w:style>
  <w:style w:type="paragraph" w:customStyle="1" w:styleId="22085B3B4E7045CC92B1ADD3DF5DD329">
    <w:name w:val="22085B3B4E7045CC92B1ADD3DF5DD329"/>
  </w:style>
  <w:style w:type="paragraph" w:customStyle="1" w:styleId="AD6D0B3C09B148DBA41B3C639F0DD06A">
    <w:name w:val="AD6D0B3C09B148DBA41B3C639F0DD06A"/>
  </w:style>
  <w:style w:type="paragraph" w:customStyle="1" w:styleId="61127783EE324ADC9B5F6CD388C0280A">
    <w:name w:val="61127783EE324ADC9B5F6CD388C0280A"/>
  </w:style>
  <w:style w:type="paragraph" w:customStyle="1" w:styleId="D45E5699066542469F471C35C812286B">
    <w:name w:val="D45E5699066542469F471C35C812286B"/>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1E791-E74F-46AF-B732-76BD80CD7AD0}"/>
</file>

<file path=customXml/itemProps2.xml><?xml version="1.0" encoding="utf-8"?>
<ds:datastoreItem xmlns:ds="http://schemas.openxmlformats.org/officeDocument/2006/customXml" ds:itemID="{7868A6EE-6C48-4542-BC85-34968D99D521}"/>
</file>

<file path=customXml/itemProps3.xml><?xml version="1.0" encoding="utf-8"?>
<ds:datastoreItem xmlns:ds="http://schemas.openxmlformats.org/officeDocument/2006/customXml" ds:itemID="{E6E3F284-5377-4B0D-9896-6ED550ED1890}"/>
</file>

<file path=docProps/app.xml><?xml version="1.0" encoding="utf-8"?>
<Properties xmlns="http://schemas.openxmlformats.org/officeDocument/2006/extended-properties" xmlns:vt="http://schemas.openxmlformats.org/officeDocument/2006/docPropsVTypes">
  <Template>Normal</Template>
  <TotalTime>95</TotalTime>
  <Pages>14</Pages>
  <Words>4962</Words>
  <Characters>27937</Characters>
  <Application>Microsoft Office Word</Application>
  <DocSecurity>0</DocSecurity>
  <Lines>423</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