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9A5" w:rsidRPr="001D6054" w:rsidRDefault="007A29A5">
      <w:pPr>
        <w:pStyle w:val="Hemstlrubrik"/>
        <w:shd w:val="clear" w:color="000000" w:fill="auto"/>
      </w:pPr>
      <w:r w:rsidRPr="001D6054">
        <w:t>Förslag till riksdagsbeslut</w:t>
      </w:r>
    </w:p>
    <w:p w:rsidR="007A29A5" w:rsidRPr="001D6054" w:rsidRDefault="007A29A5">
      <w:pPr>
        <w:pStyle w:val="Hemstlatt"/>
        <w:shd w:val="clear" w:color="000000" w:fill="auto"/>
        <w:ind w:left="0"/>
      </w:pPr>
      <w:r w:rsidRPr="001D6054">
        <w:t>Riksdagen tillkännager för regeringen som sin mening vad som anförs i motionen om att se över möjligheten att friluftslivet får del av pengar från Svenska Spels överskott.</w:t>
      </w:r>
    </w:p>
    <w:p w:rsidR="007A29A5" w:rsidRPr="001D6054" w:rsidRDefault="007A29A5">
      <w:pPr>
        <w:pStyle w:val="Rubrik1"/>
        <w:shd w:val="clear" w:color="000000" w:fill="auto"/>
      </w:pPr>
      <w:r w:rsidRPr="001D6054">
        <w:t>Motivering</w:t>
      </w:r>
    </w:p>
    <w:p w:rsidR="007A29A5" w:rsidRPr="001D6054" w:rsidRDefault="007A29A5">
      <w:pPr>
        <w:shd w:val="clear" w:color="000000" w:fill="auto"/>
      </w:pPr>
      <w:r w:rsidRPr="001D6054">
        <w:t>Sverige saknar idag en samlad politik för friluftslivet. Sakansvaret ligger sedan ett par år på Miljödepartementet efter att under flera år funnits på bl.a. Kultur- och Näringsdepartementen. På Miljödepartementet ligger även olika former av bidrag till organisationer verksamma inom frilufts- och miljöomr</w:t>
      </w:r>
      <w:r w:rsidRPr="001D6054">
        <w:t>å</w:t>
      </w:r>
      <w:r w:rsidRPr="001D6054">
        <w:t>det. Samtidigt har vikten av en fysiskt aktiv befolkning från tidiga åldrar blivit alltmer uppmärksammad under senare år. De positiva sambanden me</w:t>
      </w:r>
      <w:r w:rsidRPr="001D6054">
        <w:t>l</w:t>
      </w:r>
      <w:r w:rsidRPr="001D6054">
        <w:t>lan god folkhälsa och motion/friluftsvistelse är vederlagda. Aktiviteter i sa</w:t>
      </w:r>
      <w:r w:rsidRPr="001D6054">
        <w:t>m</w:t>
      </w:r>
      <w:r w:rsidRPr="001D6054">
        <w:t>band med friluftsliv är också en av de riktigt stora folkrörelserna i Sverige, och enbart de organisationer som samlas under paraplyorganisationen Svenskt Friluftsliv har 1,7 miljoner medlemmar.</w:t>
      </w:r>
    </w:p>
    <w:p w:rsidR="007A29A5" w:rsidRPr="001D6054" w:rsidRDefault="007A29A5">
      <w:pPr>
        <w:pStyle w:val="Normaltindrag"/>
        <w:shd w:val="clear" w:color="000000" w:fill="auto"/>
      </w:pPr>
      <w:r w:rsidRPr="001D6054">
        <w:t>Likaså har kopplingarna mellan friluftsliv i olika former och miljöpolitiska frågeställning</w:t>
      </w:r>
      <w:r w:rsidRPr="001D6054">
        <w:t>ar under senare år blivit alltmer tydliga. Inom naturvårdsomr</w:t>
      </w:r>
      <w:r w:rsidRPr="001D6054">
        <w:t>å</w:t>
      </w:r>
      <w:r w:rsidRPr="001D6054">
        <w:t>det har i allt högre utsträckning diskuterats en inriktning som går ut på att bevara genom att nyttja. Samtidigt har allemansrättens nuvarande utformning ifrågasatts av t.ex. markägare, i samband med att det fria tillträdet till naturen i olika områden och avseenden kommit att kommersialiseras.</w:t>
      </w:r>
    </w:p>
    <w:p w:rsidR="007A29A5" w:rsidRPr="001D6054" w:rsidRDefault="007A29A5">
      <w:pPr>
        <w:pStyle w:val="Normaltindrag"/>
        <w:shd w:val="clear" w:color="000000" w:fill="auto"/>
      </w:pPr>
      <w:r w:rsidRPr="001D6054">
        <w:t>Dessa och andra relevanta frågor har belysts ingående i ett antal olika u</w:t>
      </w:r>
      <w:r w:rsidRPr="001D6054">
        <w:t>t</w:t>
      </w:r>
      <w:r w:rsidRPr="001D6054">
        <w:t>redningar under senare år:</w:t>
      </w:r>
    </w:p>
    <w:p w:rsidR="007A29A5" w:rsidRPr="001D6054" w:rsidRDefault="007A29A5">
      <w:pPr>
        <w:pStyle w:val="PunktlistaBomb"/>
        <w:shd w:val="clear" w:color="000000" w:fill="auto"/>
        <w:tabs>
          <w:tab w:val="clear" w:pos="360"/>
          <w:tab w:val="num" w:pos="240"/>
        </w:tabs>
      </w:pPr>
      <w:r w:rsidRPr="001D6054">
        <w:t>Statens stöd till friluftsliv och främjandeorganisationer, Ds 1999:78.</w:t>
      </w:r>
    </w:p>
    <w:p w:rsidR="007A29A5" w:rsidRPr="001D6054" w:rsidRDefault="007A29A5">
      <w:pPr>
        <w:pStyle w:val="PunktlistaBomb"/>
        <w:shd w:val="clear" w:color="000000" w:fill="auto"/>
        <w:tabs>
          <w:tab w:val="clear" w:pos="360"/>
          <w:tab w:val="num" w:pos="240"/>
        </w:tabs>
        <w:spacing w:before="0"/>
      </w:pPr>
      <w:r w:rsidRPr="001D6054">
        <w:t>Hälsa på lika villkor – andra steget mot nationella folkhälsomål, SOU 1999:137.</w:t>
      </w:r>
    </w:p>
    <w:p w:rsidR="007A29A5" w:rsidRPr="001D6054" w:rsidRDefault="007A29A5">
      <w:pPr>
        <w:pStyle w:val="PunktlistaBomb"/>
        <w:shd w:val="clear" w:color="000000" w:fill="auto"/>
        <w:tabs>
          <w:tab w:val="clear" w:pos="360"/>
          <w:tab w:val="num" w:pos="240"/>
        </w:tabs>
        <w:spacing w:before="0"/>
      </w:pPr>
      <w:r w:rsidRPr="001D6054">
        <w:t>Idrott och motion för livet, SOU 1998:76.</w:t>
      </w:r>
    </w:p>
    <w:p w:rsidR="007A29A5" w:rsidRPr="001D6054" w:rsidRDefault="007A29A5">
      <w:pPr>
        <w:pStyle w:val="PunktlistaBomb"/>
        <w:shd w:val="clear" w:color="000000" w:fill="auto"/>
        <w:tabs>
          <w:tab w:val="clear" w:pos="360"/>
          <w:tab w:val="num" w:pos="240"/>
        </w:tabs>
        <w:spacing w:before="0"/>
      </w:pPr>
      <w:r w:rsidRPr="001D6054">
        <w:lastRenderedPageBreak/>
        <w:t>Föreningslivet på spel- och lotterimarknaden, SOU 2000:9.</w:t>
      </w:r>
    </w:p>
    <w:p w:rsidR="007A29A5" w:rsidRPr="001D6054" w:rsidRDefault="007A29A5">
      <w:pPr>
        <w:pStyle w:val="PunktlistaBomb"/>
        <w:shd w:val="clear" w:color="000000" w:fill="auto"/>
        <w:tabs>
          <w:tab w:val="clear" w:pos="360"/>
          <w:tab w:val="num" w:pos="240"/>
        </w:tabs>
      </w:pPr>
      <w:r w:rsidRPr="001D6054">
        <w:t>Myndighet för miljön – en granskning av Naturvårdsverket, SOU 2008:62.</w:t>
      </w:r>
    </w:p>
    <w:p w:rsidR="007A29A5" w:rsidRPr="001D6054" w:rsidRDefault="007A29A5">
      <w:pPr>
        <w:shd w:val="clear" w:color="000000" w:fill="auto"/>
      </w:pPr>
      <w:r w:rsidRPr="001D6054">
        <w:t>Sammantaget har frilufts- och främjandeorganisationernas bidrag till folkhä</w:t>
      </w:r>
      <w:r w:rsidRPr="001D6054">
        <w:t>l</w:t>
      </w:r>
      <w:r w:rsidRPr="001D6054">
        <w:t>sa, miljömedvetenhet m.m. alltid beskrivits i mycket positiva ordalag. Amb</w:t>
      </w:r>
      <w:r w:rsidRPr="001D6054">
        <w:t>i</w:t>
      </w:r>
      <w:r w:rsidRPr="001D6054">
        <w:t>tioner om att statens ekonomiska bidrag till dessa organisationer bör stärkas har uttalats återkommande. Under de senaste åren har det dock blivit tydligt att regeringen menar allvar med sina ambitioner att föra en samlad friluftsp</w:t>
      </w:r>
      <w:r w:rsidRPr="001D6054">
        <w:t>o</w:t>
      </w:r>
      <w:r w:rsidRPr="001D6054">
        <w:t>litik, och även öka det ekonomiska stödet till de organisationer som verkar inom detta område.</w:t>
      </w:r>
    </w:p>
    <w:p w:rsidR="007A29A5" w:rsidRPr="001D6054" w:rsidRDefault="007A29A5">
      <w:pPr>
        <w:pStyle w:val="Rubrik3"/>
        <w:shd w:val="clear" w:color="000000" w:fill="auto"/>
      </w:pPr>
      <w:r w:rsidRPr="001D6054">
        <w:t>AB Svenska Spel och dess stöd till idrott och ungdomsverksamhet</w:t>
      </w:r>
    </w:p>
    <w:p w:rsidR="007A29A5" w:rsidRPr="001D6054" w:rsidRDefault="007A29A5">
      <w:pPr>
        <w:shd w:val="clear" w:color="000000" w:fill="auto"/>
      </w:pPr>
      <w:r w:rsidRPr="001D6054">
        <w:t>Enligt riksdagsbeslut (prop 1998/99:107, bet. 1999/2000:KrU03, rskr. 1999/ 2000:52) skall överskottet från värdeautomatspelet Jack Vegas till 80 % til</w:t>
      </w:r>
      <w:r w:rsidRPr="001D6054">
        <w:t>l</w:t>
      </w:r>
      <w:r w:rsidRPr="001D6054">
        <w:t>falla idrottsrörelsens lokala barn- och ungdomsverksamhet och till 20 % til</w:t>
      </w:r>
      <w:r w:rsidRPr="001D6054">
        <w:t>l</w:t>
      </w:r>
      <w:r w:rsidRPr="001D6054">
        <w:t>falla barn- och ungdomsorganisationernas lokala verksamhet. Överskottet från värdeautomatspelet Miss Vegas skall tillfalla idrottsrörelsen. Utbetalning skall göras till Riksidrottsförbundet och Ungdomsstyrelsen för vidare förde</w:t>
      </w:r>
      <w:r w:rsidRPr="001D6054">
        <w:t>l</w:t>
      </w:r>
      <w:r w:rsidRPr="001D6054">
        <w:t>ning.</w:t>
      </w:r>
    </w:p>
    <w:p w:rsidR="007A29A5" w:rsidRPr="001D6054" w:rsidRDefault="007A29A5">
      <w:pPr>
        <w:pStyle w:val="Normaltindrag"/>
        <w:shd w:val="clear" w:color="000000" w:fill="auto"/>
        <w:spacing w:after="120"/>
      </w:pPr>
      <w:r w:rsidRPr="001D6054">
        <w:t>Enligt förslag till vinstdisposition i årsredovisningen för 2007, så bör vinsten enligt styrelsen och verkställande direktören disponeras enligt följa</w:t>
      </w:r>
      <w:r w:rsidRPr="001D6054">
        <w:t>n</w:t>
      </w:r>
      <w:r w:rsidRPr="001D6054">
        <w:t>de: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1"/>
        <w:gridCol w:w="1982"/>
        <w:gridCol w:w="1990"/>
      </w:tblGrid>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Till Riksidrottsförbu</w:t>
            </w:r>
            <w:r w:rsidRPr="001D6054">
              <w:rPr>
                <w:sz w:val="16"/>
                <w:szCs w:val="16"/>
              </w:rPr>
              <w:t>n</w:t>
            </w:r>
            <w:r w:rsidRPr="001D6054">
              <w:rPr>
                <w:sz w:val="16"/>
                <w:szCs w:val="16"/>
              </w:rPr>
              <w:t>det</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560 000 000</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Prop. 2007/08:17</w:t>
            </w:r>
          </w:p>
        </w:tc>
      </w:tr>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Till Riksidrottsförbu</w:t>
            </w:r>
            <w:r w:rsidRPr="001D6054">
              <w:rPr>
                <w:sz w:val="16"/>
                <w:szCs w:val="16"/>
              </w:rPr>
              <w:t>n</w:t>
            </w:r>
            <w:r w:rsidRPr="001D6054">
              <w:rPr>
                <w:sz w:val="16"/>
                <w:szCs w:val="16"/>
              </w:rPr>
              <w:t>det</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834 490 000</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Prop. 2003/04:2</w:t>
            </w:r>
          </w:p>
        </w:tc>
      </w:tr>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Till Ungdomsstyrelsen</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195 744 000</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Prop. 2003/04:2</w:t>
            </w:r>
          </w:p>
        </w:tc>
      </w:tr>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Till kulturändamål</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311 000</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Prop. 2007/08:17</w:t>
            </w:r>
          </w:p>
        </w:tc>
      </w:tr>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Till staten</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3 656 924 000</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Prop. 2003/04:2</w:t>
            </w:r>
          </w:p>
        </w:tc>
      </w:tr>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Balanseras i ny räkning</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67 635</w:t>
            </w:r>
          </w:p>
        </w:tc>
        <w:tc>
          <w:tcPr>
            <w:tcW w:w="2031" w:type="dxa"/>
          </w:tcPr>
          <w:p w:rsidR="007A29A5" w:rsidRPr="001D6054" w:rsidRDefault="007A29A5">
            <w:pPr>
              <w:pStyle w:val="Normaltindrag"/>
              <w:shd w:val="clear" w:color="000000" w:fill="auto"/>
              <w:spacing w:before="60" w:line="200" w:lineRule="exact"/>
              <w:ind w:firstLine="0"/>
              <w:rPr>
                <w:sz w:val="16"/>
                <w:szCs w:val="16"/>
              </w:rPr>
            </w:pPr>
          </w:p>
        </w:tc>
      </w:tr>
      <w:tr w:rsidR="00000000" w:rsidRPr="001D6054">
        <w:tc>
          <w:tcPr>
            <w:tcW w:w="2031" w:type="dxa"/>
          </w:tcPr>
          <w:p w:rsidR="007A29A5" w:rsidRPr="001D6054" w:rsidRDefault="007A29A5">
            <w:pPr>
              <w:pStyle w:val="Normaltindrag"/>
              <w:shd w:val="clear" w:color="000000" w:fill="auto"/>
              <w:spacing w:before="60" w:line="200" w:lineRule="exact"/>
              <w:ind w:firstLine="0"/>
              <w:rPr>
                <w:sz w:val="16"/>
                <w:szCs w:val="16"/>
              </w:rPr>
            </w:pPr>
            <w:r w:rsidRPr="001D6054">
              <w:rPr>
                <w:sz w:val="16"/>
                <w:szCs w:val="16"/>
              </w:rPr>
              <w:t>Summa</w:t>
            </w:r>
          </w:p>
        </w:tc>
        <w:tc>
          <w:tcPr>
            <w:tcW w:w="2031" w:type="dxa"/>
          </w:tcPr>
          <w:p w:rsidR="007A29A5" w:rsidRPr="001D6054" w:rsidRDefault="007A29A5">
            <w:pPr>
              <w:pStyle w:val="Normaltindrag"/>
              <w:shd w:val="clear" w:color="000000" w:fill="auto"/>
              <w:spacing w:before="60" w:line="200" w:lineRule="exact"/>
              <w:ind w:firstLine="0"/>
              <w:jc w:val="right"/>
              <w:rPr>
                <w:sz w:val="16"/>
                <w:szCs w:val="16"/>
              </w:rPr>
            </w:pPr>
            <w:r w:rsidRPr="001D6054">
              <w:rPr>
                <w:sz w:val="16"/>
                <w:szCs w:val="16"/>
              </w:rPr>
              <w:t>5 247 536 635</w:t>
            </w:r>
          </w:p>
        </w:tc>
        <w:tc>
          <w:tcPr>
            <w:tcW w:w="2031" w:type="dxa"/>
          </w:tcPr>
          <w:p w:rsidR="007A29A5" w:rsidRPr="001D6054" w:rsidRDefault="007A29A5">
            <w:pPr>
              <w:pStyle w:val="Normaltindrag"/>
              <w:shd w:val="clear" w:color="000000" w:fill="auto"/>
              <w:spacing w:before="60" w:line="200" w:lineRule="exact"/>
              <w:ind w:firstLine="0"/>
              <w:rPr>
                <w:sz w:val="16"/>
                <w:szCs w:val="16"/>
              </w:rPr>
            </w:pPr>
          </w:p>
        </w:tc>
      </w:tr>
    </w:tbl>
    <w:p w:rsidR="007A29A5" w:rsidRPr="001D6054" w:rsidRDefault="007A29A5">
      <w:pPr>
        <w:shd w:val="clear" w:color="000000" w:fill="auto"/>
      </w:pPr>
      <w:r w:rsidRPr="001D6054">
        <w:t>Sammanlagt utdelade AB Svenska Spel således närmare 1,4 miljarder kronor till RF och närmare 200 miljoner till Ungdomsstyrelsen i enlighet med rik</w:t>
      </w:r>
      <w:r w:rsidRPr="001D6054">
        <w:t>s</w:t>
      </w:r>
      <w:r w:rsidRPr="001D6054">
        <w:t>dagens beslut.</w:t>
      </w:r>
    </w:p>
    <w:p w:rsidR="007A29A5" w:rsidRPr="001D6054" w:rsidRDefault="007A29A5">
      <w:pPr>
        <w:pStyle w:val="Rubrik3"/>
        <w:shd w:val="clear" w:color="000000" w:fill="auto"/>
      </w:pPr>
      <w:r w:rsidRPr="001D6054">
        <w:t>Utredning om målgrupper för ”utdelning” från Svenska Spel</w:t>
      </w:r>
    </w:p>
    <w:p w:rsidR="007A29A5" w:rsidRPr="001D6054" w:rsidRDefault="007A29A5">
      <w:pPr>
        <w:shd w:val="clear" w:color="000000" w:fill="auto"/>
      </w:pPr>
      <w:r w:rsidRPr="001D6054">
        <w:t>I utredningen Föreningslivet på spel- och lotterimarknaden (SOU 2000:9) föreslår utredaren Bengt K-Å Johansson att målgrupperna för ”utdelning” från Svenska Spel bör breddas. Mera konkret föreslår utredaren att en viss del av överskottet från värdeautomaterna och kasinoverksamheten tillförs folkr</w:t>
      </w:r>
      <w:r w:rsidRPr="001D6054">
        <w:t>ö</w:t>
      </w:r>
      <w:r w:rsidRPr="001D6054">
        <w:t>relserna, samt att frilufts- och främjandeorganisationerna skall få del av detta överskott.</w:t>
      </w:r>
    </w:p>
    <w:p w:rsidR="007A29A5" w:rsidRPr="001D6054" w:rsidRDefault="007A29A5">
      <w:pPr>
        <w:pStyle w:val="Rubrik3"/>
        <w:shd w:val="clear" w:color="000000" w:fill="auto"/>
      </w:pPr>
      <w:r w:rsidRPr="001D6054">
        <w:t>Sammanfattning</w:t>
      </w:r>
    </w:p>
    <w:p w:rsidR="007A29A5" w:rsidRPr="001D6054" w:rsidRDefault="007A29A5">
      <w:pPr>
        <w:shd w:val="clear" w:color="000000" w:fill="auto"/>
      </w:pPr>
      <w:r w:rsidRPr="001D6054">
        <w:t>För att kunna utveckla sitt arbete och bl.a. bidra till ökad fysisk aktivitet u</w:t>
      </w:r>
      <w:r w:rsidRPr="001D6054">
        <w:t>t</w:t>
      </w:r>
      <w:r w:rsidRPr="001D6054">
        <w:t>omhus behöver friluftsrörelsen ett ökat statligt stöd utöver de ideella insatser som idag håller friluftslivet vid liv. Precis som idrotten gör friluftslivet stor samhällsnytta. Sedan 2003 har idrottsrörelsen haft möjlighet att utveckla sin verksamhet med hjälp av Handslaget och Idrottslyftet. Det är nu dags för ett friluftslyft av överskottet från AB Svenska Spel till lämplig instans (Natu</w:t>
      </w:r>
      <w:r w:rsidRPr="001D6054">
        <w:t>r</w:t>
      </w:r>
      <w:r w:rsidRPr="001D6054">
        <w:t>vårdsverket eller Svenskt Friluftsliv) för finansiering av regeringens nya, samlade friluftspolitik. Medlen bör komma</w:t>
      </w:r>
      <w:r w:rsidRPr="001D6054">
        <w:t xml:space="preserve"> friluftsorganisationernas barn- och ungdomsverksamhet till godo, på motsvarande sätt som gäller den del av överskottet från AB Svenska Spel som för närvarande går till RF/Ungdomsstyrelsen.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054">
        <w:trPr>
          <w:cantSplit/>
        </w:trPr>
        <w:tc>
          <w:tcPr>
            <w:tcW w:w="3046" w:type="dxa"/>
          </w:tcPr>
          <w:p w:rsidR="007A29A5" w:rsidRPr="001D6054" w:rsidRDefault="007A29A5">
            <w:pPr>
              <w:pStyle w:val="UnderskriftDatum"/>
              <w:shd w:val="clear" w:color="000000" w:fill="auto"/>
              <w:spacing w:before="240"/>
            </w:pPr>
            <w:r w:rsidRPr="001D6054">
              <w:t>Stockholm den 26 september 2008</w:t>
            </w:r>
          </w:p>
        </w:tc>
        <w:tc>
          <w:tcPr>
            <w:tcW w:w="3047" w:type="dxa"/>
          </w:tcPr>
          <w:p w:rsidR="007A29A5" w:rsidRPr="001D6054" w:rsidRDefault="007A29A5">
            <w:pPr>
              <w:pStyle w:val="Underskrifter"/>
              <w:shd w:val="clear" w:color="000000" w:fill="auto"/>
              <w:spacing w:before="240"/>
            </w:pPr>
          </w:p>
        </w:tc>
      </w:tr>
      <w:tr w:rsidR="00000000" w:rsidRPr="001D6054">
        <w:trPr>
          <w:cantSplit/>
        </w:trPr>
        <w:tc>
          <w:tcPr>
            <w:tcW w:w="3046" w:type="dxa"/>
          </w:tcPr>
          <w:p w:rsidR="007A29A5" w:rsidRPr="001D6054" w:rsidRDefault="007A29A5">
            <w:pPr>
              <w:pStyle w:val="Underskrifter"/>
              <w:shd w:val="clear" w:color="000000" w:fill="auto"/>
            </w:pPr>
            <w:r w:rsidRPr="001D6054">
              <w:t>Anne Marie Brodén (m)</w:t>
            </w:r>
          </w:p>
        </w:tc>
        <w:tc>
          <w:tcPr>
            <w:tcW w:w="3046" w:type="dxa"/>
          </w:tcPr>
          <w:p w:rsidR="007A29A5" w:rsidRPr="001D6054" w:rsidRDefault="007A29A5">
            <w:pPr>
              <w:pStyle w:val="Underskrifter"/>
              <w:shd w:val="clear" w:color="000000" w:fill="auto"/>
            </w:pPr>
            <w:r w:rsidRPr="001D6054">
              <w:t>Göran Montan (m)</w:t>
            </w:r>
          </w:p>
        </w:tc>
      </w:tr>
    </w:tbl>
    <w:p w:rsidR="007A29A5" w:rsidRPr="001D6054" w:rsidRDefault="007A29A5">
      <w:pPr>
        <w:pStyle w:val="Normaltindrag"/>
        <w:shd w:val="clear" w:color="000000" w:fill="auto"/>
      </w:pPr>
    </w:p>
    <w:sectPr w:rsidR="007A29A5" w:rsidRPr="001D6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9A5" w:rsidRPr="001D6054" w:rsidRDefault="007A29A5">
      <w:r w:rsidRPr="001D6054">
        <w:separator/>
      </w:r>
    </w:p>
  </w:endnote>
  <w:endnote w:type="continuationSeparator" w:id="0">
    <w:p w:rsidR="007A29A5" w:rsidRPr="001D6054" w:rsidRDefault="007A29A5">
      <w:r w:rsidRPr="001D6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9A5" w:rsidRPr="001D6054" w:rsidRDefault="001D6054">
    <w:pPr>
      <w:pStyle w:val="Sidfot"/>
    </w:pPr>
    <w:r w:rsidRPr="001D6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598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9A5" w:rsidRDefault="007A29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9A5" w:rsidRDefault="007A29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9A5" w:rsidRPr="001D6054" w:rsidRDefault="001D6054">
    <w:pPr>
      <w:pStyle w:val="Sidfot"/>
    </w:pPr>
    <w:r w:rsidRPr="001D6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3449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9A5" w:rsidRDefault="007A29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9A5" w:rsidRDefault="007A29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9A5" w:rsidRPr="001D6054" w:rsidRDefault="001D6054">
    <w:pPr>
      <w:pStyle w:val="Sidfot"/>
    </w:pPr>
    <w:r w:rsidRPr="001D6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09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9A5" w:rsidRDefault="007A29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9A5" w:rsidRDefault="007A29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9A5" w:rsidRPr="001D6054" w:rsidRDefault="007A29A5">
      <w:r w:rsidRPr="001D6054">
        <w:separator/>
      </w:r>
    </w:p>
  </w:footnote>
  <w:footnote w:type="continuationSeparator" w:id="0">
    <w:p w:rsidR="007A29A5" w:rsidRPr="001D6054" w:rsidRDefault="007A29A5">
      <w:r w:rsidRPr="001D6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9A5" w:rsidRPr="001D6054" w:rsidRDefault="001D6054">
    <w:pPr>
      <w:pStyle w:val="Sidhuvud"/>
    </w:pPr>
    <w:r w:rsidRPr="001D6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832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9A5" w:rsidRDefault="007A29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9A5" w:rsidRDefault="007A29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9A5" w:rsidRPr="001D6054" w:rsidRDefault="001D6054">
    <w:pPr>
      <w:pStyle w:val="Sidhuvud"/>
    </w:pPr>
    <w:r w:rsidRPr="001D6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082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9A5" w:rsidRDefault="007A29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9A5" w:rsidRDefault="007A29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9A5" w:rsidRPr="001D6054" w:rsidRDefault="007A29A5">
    <w:pPr>
      <w:pStyle w:val="FSHNormal"/>
      <w:tabs>
        <w:tab w:val="right" w:pos="5840"/>
      </w:tabs>
    </w:pPr>
    <w:r w:rsidRPr="001D6054">
      <w:br/>
    </w:r>
    <w:r w:rsidRPr="001D6054">
      <w:fldChar w:fldCharType="begin" w:fldLock="1"/>
    </w:r>
    <w:r w:rsidRPr="001D6054">
      <w:instrText xml:space="preserve"> DOCPROPERTY</w:instrText>
    </w:r>
    <w:r w:rsidRPr="001D6054">
      <w:rPr>
        <w:sz w:val="18"/>
      </w:rPr>
      <w:instrText xml:space="preserve"> "YearUser" *\charformat </w:instrText>
    </w:r>
    <w:r w:rsidRPr="001D6054">
      <w:fldChar w:fldCharType="separate"/>
    </w:r>
    <w:r w:rsidRPr="001D6054">
      <w:t>2008/09</w:t>
    </w:r>
    <w:r w:rsidRPr="001D6054">
      <w:fldChar w:fldCharType="end"/>
    </w:r>
    <w:r w:rsidRPr="001D6054">
      <w:t xml:space="preserve"> </w:t>
    </w:r>
    <w:r w:rsidRPr="001D6054">
      <w:tab/>
      <w:t xml:space="preserve">mnr: </w:t>
    </w:r>
    <w:r w:rsidRPr="001D6054">
      <w:fldChar w:fldCharType="begin" w:fldLock="1"/>
    </w:r>
    <w:r w:rsidRPr="001D6054">
      <w:instrText xml:space="preserve"> DOCPROPERTY</w:instrText>
    </w:r>
    <w:r w:rsidRPr="001D6054">
      <w:rPr>
        <w:sz w:val="18"/>
      </w:rPr>
      <w:instrText xml:space="preserve"> "Motionsnummer" *\charformat </w:instrText>
    </w:r>
    <w:r w:rsidRPr="001D6054">
      <w:fldChar w:fldCharType="separate"/>
    </w:r>
    <w:r w:rsidRPr="001D6054">
      <w:t>Kr320</w:t>
    </w:r>
    <w:r w:rsidRPr="001D6054">
      <w:fldChar w:fldCharType="end"/>
    </w:r>
    <w:r w:rsidRPr="001D6054">
      <w:br/>
    </w:r>
    <w:r w:rsidRPr="001D6054">
      <w:fldChar w:fldCharType="begin" w:fldLock="1"/>
    </w:r>
    <w:r w:rsidRPr="001D6054">
      <w:instrText xml:space="preserve"> DOCPROPERTY</w:instrText>
    </w:r>
    <w:r w:rsidRPr="001D6054">
      <w:rPr>
        <w:sz w:val="18"/>
      </w:rPr>
      <w:instrText xml:space="preserve"> "Samling" *\charformat </w:instrText>
    </w:r>
    <w:r w:rsidRPr="001D6054">
      <w:fldChar w:fldCharType="end"/>
    </w:r>
    <w:r w:rsidRPr="001D6054">
      <w:tab/>
      <w:t xml:space="preserve">pnr: </w:t>
    </w:r>
    <w:r w:rsidRPr="001D6054">
      <w:fldChar w:fldCharType="begin" w:fldLock="1"/>
    </w:r>
    <w:r w:rsidRPr="001D6054">
      <w:instrText xml:space="preserve"> DOCPROPERTY</w:instrText>
    </w:r>
    <w:r w:rsidRPr="001D6054">
      <w:rPr>
        <w:sz w:val="18"/>
      </w:rPr>
      <w:instrText xml:space="preserve"> "Partinummer" *\charformat </w:instrText>
    </w:r>
    <w:r w:rsidRPr="001D6054">
      <w:fldChar w:fldCharType="separate"/>
    </w:r>
    <w:r w:rsidRPr="001D6054">
      <w:t>m1339</w:t>
    </w:r>
    <w:r w:rsidRPr="001D6054">
      <w:fldChar w:fldCharType="end"/>
    </w:r>
  </w:p>
  <w:p w:rsidR="007A29A5" w:rsidRPr="001D6054" w:rsidRDefault="007A29A5">
    <w:pPr>
      <w:pStyle w:val="FSHRub1"/>
    </w:pPr>
    <w:r w:rsidRPr="001D6054">
      <w:t>Motion till riksdagen</w:t>
    </w:r>
    <w:r w:rsidRPr="001D6054">
      <w:br/>
    </w:r>
    <w:r w:rsidRPr="001D6054">
      <w:fldChar w:fldCharType="begin" w:fldLock="1"/>
    </w:r>
    <w:r w:rsidRPr="001D6054">
      <w:instrText xml:space="preserve"> DOCPROPERTY "YearUser" *\charformat </w:instrText>
    </w:r>
    <w:r w:rsidRPr="001D6054">
      <w:fldChar w:fldCharType="separate"/>
    </w:r>
    <w:r w:rsidRPr="001D6054">
      <w:t>2008/09</w:t>
    </w:r>
    <w:r w:rsidRPr="001D6054">
      <w:fldChar w:fldCharType="end"/>
    </w:r>
    <w:r w:rsidRPr="001D6054">
      <w:t>:</w:t>
    </w:r>
    <w:r w:rsidRPr="001D6054">
      <w:fldChar w:fldCharType="begin" w:fldLock="1"/>
    </w:r>
    <w:r w:rsidRPr="001D6054">
      <w:instrText xml:space="preserve"> DOCPROPERTY "Motionsnummer" *\charformat </w:instrText>
    </w:r>
    <w:r w:rsidRPr="001D6054">
      <w:fldChar w:fldCharType="separate"/>
    </w:r>
    <w:r w:rsidRPr="001D6054">
      <w:t>Kr320</w:t>
    </w:r>
    <w:r w:rsidRPr="001D6054">
      <w:fldChar w:fldCharType="end"/>
    </w:r>
  </w:p>
  <w:p w:rsidR="007A29A5" w:rsidRPr="001D6054" w:rsidRDefault="007A29A5">
    <w:pPr>
      <w:pStyle w:val="FSHNormalS5"/>
    </w:pPr>
    <w:r w:rsidRPr="001D6054">
      <w:fldChar w:fldCharType="begin" w:fldLock="1"/>
    </w:r>
    <w:r w:rsidRPr="001D6054">
      <w:instrText xml:space="preserve"> DOCPROPERTY "MotionarText" *\charformat </w:instrText>
    </w:r>
    <w:r w:rsidRPr="001D6054">
      <w:fldChar w:fldCharType="separate"/>
    </w:r>
    <w:r w:rsidRPr="001D6054">
      <w:t>av Anne Marie Brodén och Göran Montan (m)</w:t>
    </w:r>
    <w:r w:rsidRPr="001D6054">
      <w:fldChar w:fldCharType="end"/>
    </w:r>
    <w:r w:rsidRPr="001D6054">
      <w:br/>
    </w:r>
    <w:r w:rsidRPr="001D6054">
      <w:fldChar w:fldCharType="begin" w:fldLock="1"/>
    </w:r>
    <w:r w:rsidRPr="001D6054">
      <w:instrText xml:space="preserve"> DOCPROPERTY "SvarFrasKort" *\charformat </w:instrText>
    </w:r>
    <w:r w:rsidRPr="001D6054">
      <w:fldChar w:fldCharType="end"/>
    </w:r>
  </w:p>
  <w:p w:rsidR="007A29A5" w:rsidRPr="001D6054" w:rsidRDefault="007A29A5">
    <w:pPr>
      <w:pStyle w:val="FSHTitel"/>
    </w:pPr>
    <w:r w:rsidRPr="001D6054">
      <w:fldChar w:fldCharType="begin" w:fldLock="1"/>
    </w:r>
    <w:r w:rsidRPr="001D6054">
      <w:instrText xml:space="preserve"> DOCPROPERTY</w:instrText>
    </w:r>
    <w:r w:rsidRPr="001D6054">
      <w:rPr>
        <w:sz w:val="18"/>
      </w:rPr>
      <w:instrText xml:space="preserve"> "RubrikSvar" *\charformat </w:instrText>
    </w:r>
    <w:r w:rsidRPr="001D6054">
      <w:fldChar w:fldCharType="separate"/>
    </w:r>
    <w:r w:rsidRPr="001D6054">
      <w:t>Friluftslyftet</w:t>
    </w:r>
    <w:r w:rsidRPr="001D6054">
      <w:fldChar w:fldCharType="end"/>
    </w:r>
  </w:p>
  <w:p w:rsidR="007A29A5" w:rsidRPr="001D6054" w:rsidRDefault="007A29A5">
    <w:pPr>
      <w:pStyle w:val="Normal00"/>
    </w:pPr>
  </w:p>
  <w:p w:rsidR="007A29A5" w:rsidRPr="001D6054" w:rsidRDefault="007A29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1338009">
    <w:abstractNumId w:val="8"/>
  </w:num>
  <w:num w:numId="2" w16cid:durableId="556865612">
    <w:abstractNumId w:val="9"/>
  </w:num>
  <w:num w:numId="3" w16cid:durableId="1429471680">
    <w:abstractNumId w:val="8"/>
  </w:num>
  <w:num w:numId="4" w16cid:durableId="1219977202">
    <w:abstractNumId w:val="9"/>
  </w:num>
  <w:num w:numId="5" w16cid:durableId="544218343">
    <w:abstractNumId w:val="13"/>
  </w:num>
  <w:num w:numId="6" w16cid:durableId="2104255544">
    <w:abstractNumId w:val="10"/>
  </w:num>
  <w:num w:numId="7" w16cid:durableId="172233519">
    <w:abstractNumId w:val="11"/>
  </w:num>
  <w:num w:numId="8" w16cid:durableId="459999803">
    <w:abstractNumId w:val="12"/>
  </w:num>
  <w:num w:numId="9" w16cid:durableId="599337341">
    <w:abstractNumId w:val="8"/>
  </w:num>
  <w:num w:numId="10" w16cid:durableId="1734356318">
    <w:abstractNumId w:val="3"/>
  </w:num>
  <w:num w:numId="11" w16cid:durableId="585726722">
    <w:abstractNumId w:val="2"/>
  </w:num>
  <w:num w:numId="12" w16cid:durableId="1178546504">
    <w:abstractNumId w:val="1"/>
  </w:num>
  <w:num w:numId="13" w16cid:durableId="1536044811">
    <w:abstractNumId w:val="0"/>
  </w:num>
  <w:num w:numId="14" w16cid:durableId="1773433516">
    <w:abstractNumId w:val="9"/>
  </w:num>
  <w:num w:numId="15" w16cid:durableId="2068408052">
    <w:abstractNumId w:val="7"/>
  </w:num>
  <w:num w:numId="16" w16cid:durableId="1562671471">
    <w:abstractNumId w:val="6"/>
  </w:num>
  <w:num w:numId="17" w16cid:durableId="1831021016">
    <w:abstractNumId w:val="5"/>
  </w:num>
  <w:num w:numId="18" w16cid:durableId="234707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263AE98-3A19-46D3-A4F3-606E50279DD5},{FD2015E0-27B8-47A1-A7FE-F4215C89835A}"/>
  </w:docVars>
  <w:rsids>
    <w:rsidRoot w:val="00971C58"/>
    <w:rsid w:val="001D6054"/>
    <w:rsid w:val="007A29A5"/>
    <w:rsid w:val="00971C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6AB4A-3106-453F-B0C6-FECEFB47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Normal"/>
    <w:pPr>
      <w:tabs>
        <w:tab w:val="left" w:pos="1620"/>
      </w:tabs>
      <w:spacing w:line="240" w:lineRule="auto"/>
      <w:ind w:left="1080"/>
    </w:pPr>
    <w:rPr>
      <w:szCs w:val="24"/>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4104</Characters>
  <Application>Microsoft Office Word</Application>
  <DocSecurity>4</DocSecurity>
  <Lines>93</Lines>
  <Paragraphs>48</Paragraphs>
  <ScaleCrop>false</ScaleCrop>
  <HeadingPairs>
    <vt:vector size="2" baseType="variant">
      <vt:variant>
        <vt:lpstr>Rubrik</vt:lpstr>
      </vt:variant>
      <vt:variant>
        <vt:i4>1</vt:i4>
      </vt:variant>
    </vt:vector>
  </HeadingPairs>
  <TitlesOfParts>
    <vt:vector size="1" baseType="lpstr">
      <vt:lpstr>m1339</vt:lpstr>
    </vt:vector>
  </TitlesOfParts>
  <Company>Riksdagen</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m1339</dc:title>
  <dc:subject>m1339</dc:subject>
  <dc:creator>Riksdagen</dc:creator>
  <cp:keywords>Riksdagen</cp:keywords>
  <dc:description>TKG-ktrl, MSMQ4mb, PersReg-Distribution mm</dc:description>
  <cp:lastModifiedBy>Lars Brink</cp:lastModifiedBy>
  <cp:revision>2</cp:revision>
  <cp:lastPrinted>2009-02-25T10:22:00Z</cp:lastPrinted>
  <dcterms:created xsi:type="dcterms:W3CDTF">2025-12-17T17:29:00Z</dcterms:created>
  <dcterms:modified xsi:type="dcterms:W3CDTF">2025-12-17T17:29:00Z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Friluftslyftet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Friluftslyftet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Göran Montan (m)</vt:lpwstr>
  </property>
  <property fmtid="{D5CDD505-2E9C-101B-9397-08002B2CF9AE}" pid="26" name="MotionarLista">
    <vt:lpwstr>Brodén, Anne Marie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20082009000000000109000013390069</vt:lpwstr>
  </property>
  <property fmtid="{D5CDD505-2E9C-101B-9397-08002B2CF9AE}" pid="47" name="datum">
    <vt:lpwstr>080926</vt:lpwstr>
  </property>
  <property fmtid="{D5CDD505-2E9C-101B-9397-08002B2CF9AE}" pid="48" name="avsändar-e-post">
    <vt:lpwstr>sara.dennas@riksdagen.se</vt:lpwstr>
  </property>
  <property fmtid="{D5CDD505-2E9C-101B-9397-08002B2CF9AE}" pid="49" name="id">
    <vt:lpwstr>20082009000000000109000013390069</vt:lpwstr>
  </property>
  <property fmtid="{D5CDD505-2E9C-101B-9397-08002B2CF9AE}" pid="50" name="nummer">
    <vt:lpwstr>320</vt:lpwstr>
  </property>
  <property fmtid="{D5CDD505-2E9C-101B-9397-08002B2CF9AE}" pid="51" name="utskottsbeteckning">
    <vt:lpwstr>Kr</vt:lpwstr>
  </property>
  <property fmtid="{D5CDD505-2E9C-101B-9397-08002B2CF9AE}" pid="52" name="GlobalUID">
    <vt:lpwstr>{9390A122-6824-4787-A821-67819CEB9C6F}</vt:lpwstr>
  </property>
  <property fmtid="{D5CDD505-2E9C-101B-9397-08002B2CF9AE}" pid="53" name="Överföringar">
    <vt:i4>0</vt:i4>
  </property>
  <property fmtid="{D5CDD505-2E9C-101B-9397-08002B2CF9AE}" pid="54" name="Checksum">
    <vt:lpwstr>*1012915141739*</vt:lpwstr>
  </property>
  <property fmtid="{D5CDD505-2E9C-101B-9397-08002B2CF9AE}" pid="55" name="skuggnummer">
    <vt:lpwstr>2684</vt:lpwstr>
  </property>
  <property fmtid="{D5CDD505-2E9C-101B-9397-08002B2CF9AE}" pid="56" name="urixVersion">
    <vt:lpwstr>3.2.0.8</vt:lpwstr>
  </property>
  <property fmtid="{D5CDD505-2E9C-101B-9397-08002B2CF9AE}" pid="57" name="urixOrigin">
    <vt:lpwstr>090402 16:39:13.638</vt:lpwstr>
  </property>
  <property fmtid="{D5CDD505-2E9C-101B-9397-08002B2CF9AE}" pid="58" name="urixGuid">
    <vt:lpwstr>{E2C15C91-F23F-4277-8A8C-565FE7F2956F}</vt:lpwstr>
  </property>
</Properties>
</file>