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E01CD4A"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061872">
              <w:rPr>
                <w:b/>
                <w:sz w:val="22"/>
                <w:szCs w:val="22"/>
              </w:rPr>
              <w:t>48</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0A3F05D9"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1D3FD1">
              <w:rPr>
                <w:sz w:val="22"/>
                <w:szCs w:val="22"/>
              </w:rPr>
              <w:t>6</w:t>
            </w:r>
            <w:r w:rsidR="00374911">
              <w:rPr>
                <w:sz w:val="22"/>
                <w:szCs w:val="22"/>
              </w:rPr>
              <w:t>-</w:t>
            </w:r>
            <w:r w:rsidR="008074C0">
              <w:rPr>
                <w:sz w:val="22"/>
                <w:szCs w:val="22"/>
              </w:rPr>
              <w:t>20</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744161C"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015824">
              <w:rPr>
                <w:sz w:val="22"/>
                <w:szCs w:val="22"/>
              </w:rPr>
              <w:t>11.50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C65289" w14:textId="5D9038C9" w:rsidR="00A10EBF" w:rsidRPr="00B40F4D" w:rsidRDefault="00A10EBF" w:rsidP="00C5706E">
            <w:pPr>
              <w:tabs>
                <w:tab w:val="left" w:pos="1701"/>
              </w:tabs>
              <w:rPr>
                <w:b/>
                <w:snapToGrid w:val="0"/>
                <w:sz w:val="22"/>
                <w:szCs w:val="22"/>
              </w:rPr>
            </w:pPr>
            <w:r>
              <w:rPr>
                <w:b/>
                <w:snapToGrid w:val="0"/>
                <w:sz w:val="22"/>
                <w:szCs w:val="22"/>
              </w:rPr>
              <w:t xml:space="preserve">§ </w:t>
            </w:r>
            <w:r w:rsidR="008074C0">
              <w:rPr>
                <w:b/>
                <w:snapToGrid w:val="0"/>
                <w:sz w:val="22"/>
                <w:szCs w:val="22"/>
              </w:rPr>
              <w:t>1</w:t>
            </w:r>
          </w:p>
        </w:tc>
        <w:tc>
          <w:tcPr>
            <w:tcW w:w="6946" w:type="dxa"/>
            <w:gridSpan w:val="2"/>
          </w:tcPr>
          <w:p w14:paraId="180FC354" w14:textId="3FB9A7C7" w:rsidR="00A10EBF" w:rsidRDefault="008074C0" w:rsidP="005D2E63">
            <w:pPr>
              <w:tabs>
                <w:tab w:val="left" w:pos="1701"/>
              </w:tabs>
              <w:rPr>
                <w:b/>
                <w:snapToGrid w:val="0"/>
                <w:sz w:val="22"/>
                <w:szCs w:val="22"/>
              </w:rPr>
            </w:pPr>
            <w:r w:rsidRPr="008074C0">
              <w:rPr>
                <w:b/>
                <w:snapToGrid w:val="0"/>
                <w:sz w:val="22"/>
                <w:szCs w:val="22"/>
              </w:rPr>
              <w:t>Jordbruks- och fiskeråd 26–27 juni 2023</w:t>
            </w:r>
          </w:p>
          <w:p w14:paraId="506652C9" w14:textId="0082CC87" w:rsidR="008074C0" w:rsidRDefault="008074C0" w:rsidP="005D2E63">
            <w:pPr>
              <w:tabs>
                <w:tab w:val="left" w:pos="1701"/>
              </w:tabs>
              <w:rPr>
                <w:b/>
                <w:snapToGrid w:val="0"/>
                <w:sz w:val="22"/>
                <w:szCs w:val="22"/>
              </w:rPr>
            </w:pPr>
          </w:p>
          <w:p w14:paraId="34ED12E9" w14:textId="4B7A2B99" w:rsidR="008074C0" w:rsidRDefault="00D21D2D" w:rsidP="005D2E63">
            <w:pPr>
              <w:tabs>
                <w:tab w:val="left" w:pos="1701"/>
              </w:tabs>
              <w:rPr>
                <w:b/>
                <w:snapToGrid w:val="0"/>
                <w:sz w:val="22"/>
                <w:szCs w:val="22"/>
              </w:rPr>
            </w:pPr>
            <w:r>
              <w:rPr>
                <w:bCs/>
                <w:sz w:val="22"/>
                <w:szCs w:val="22"/>
              </w:rPr>
              <w:t>Statssekreterare Dan Ericsson</w:t>
            </w:r>
            <w:r w:rsidR="008074C0" w:rsidRPr="00464E39">
              <w:rPr>
                <w:bCs/>
                <w:sz w:val="22"/>
                <w:szCs w:val="22"/>
              </w:rPr>
              <w:t>, åtföljd av medarbetare från</w:t>
            </w:r>
            <w:r w:rsidR="008074C0">
              <w:rPr>
                <w:bCs/>
                <w:sz w:val="22"/>
                <w:szCs w:val="22"/>
              </w:rPr>
              <w:t xml:space="preserve"> Lands-</w:t>
            </w:r>
            <w:r w:rsidR="008074C0" w:rsidRPr="00464E39">
              <w:rPr>
                <w:bCs/>
                <w:sz w:val="22"/>
                <w:szCs w:val="22"/>
              </w:rPr>
              <w:br/>
              <w:t>bygds- och infrastrukturdepartementet, lämnade information inför Jordbruks- och fiskeråd</w:t>
            </w:r>
            <w:r w:rsidR="008074C0">
              <w:rPr>
                <w:bCs/>
                <w:sz w:val="22"/>
                <w:szCs w:val="22"/>
              </w:rPr>
              <w:t>et</w:t>
            </w:r>
            <w:r w:rsidR="008074C0" w:rsidRPr="00464E39">
              <w:rPr>
                <w:bCs/>
                <w:sz w:val="22"/>
                <w:szCs w:val="22"/>
              </w:rPr>
              <w:t xml:space="preserve"> den </w:t>
            </w:r>
            <w:r w:rsidR="008074C0">
              <w:rPr>
                <w:bCs/>
                <w:sz w:val="22"/>
                <w:szCs w:val="22"/>
              </w:rPr>
              <w:t>26–27 juni</w:t>
            </w:r>
            <w:r w:rsidR="008074C0" w:rsidRPr="00464E39">
              <w:rPr>
                <w:bCs/>
                <w:sz w:val="22"/>
                <w:szCs w:val="22"/>
              </w:rPr>
              <w:t xml:space="preserve"> 2023.</w:t>
            </w:r>
          </w:p>
          <w:p w14:paraId="635939B1" w14:textId="51DFF6E6" w:rsidR="002B3A62" w:rsidRDefault="002B3A62" w:rsidP="005D2E63">
            <w:pPr>
              <w:tabs>
                <w:tab w:val="left" w:pos="1701"/>
              </w:tabs>
              <w:rPr>
                <w:b/>
                <w:snapToGrid w:val="0"/>
                <w:sz w:val="22"/>
                <w:szCs w:val="22"/>
              </w:rPr>
            </w:pPr>
          </w:p>
        </w:tc>
      </w:tr>
      <w:tr w:rsidR="008074C0" w:rsidRPr="00B40F4D" w14:paraId="4284E4F4" w14:textId="77777777" w:rsidTr="00C5706E">
        <w:tc>
          <w:tcPr>
            <w:tcW w:w="567" w:type="dxa"/>
          </w:tcPr>
          <w:p w14:paraId="37E9548A" w14:textId="4C05D476" w:rsidR="008074C0" w:rsidRDefault="000D7777" w:rsidP="00C5706E">
            <w:pPr>
              <w:tabs>
                <w:tab w:val="left" w:pos="1701"/>
              </w:tabs>
              <w:rPr>
                <w:b/>
                <w:snapToGrid w:val="0"/>
                <w:sz w:val="22"/>
                <w:szCs w:val="22"/>
              </w:rPr>
            </w:pPr>
            <w:r>
              <w:rPr>
                <w:b/>
                <w:snapToGrid w:val="0"/>
                <w:sz w:val="22"/>
                <w:szCs w:val="22"/>
              </w:rPr>
              <w:t>§ 2</w:t>
            </w:r>
          </w:p>
        </w:tc>
        <w:tc>
          <w:tcPr>
            <w:tcW w:w="6946" w:type="dxa"/>
            <w:gridSpan w:val="2"/>
          </w:tcPr>
          <w:p w14:paraId="20B33AD9" w14:textId="16B48C42" w:rsidR="008074C0" w:rsidRDefault="008074C0" w:rsidP="008074C0">
            <w:pPr>
              <w:tabs>
                <w:tab w:val="left" w:pos="1701"/>
              </w:tabs>
              <w:rPr>
                <w:b/>
                <w:snapToGrid w:val="0"/>
                <w:sz w:val="22"/>
                <w:szCs w:val="22"/>
              </w:rPr>
            </w:pPr>
            <w:r>
              <w:rPr>
                <w:b/>
                <w:snapToGrid w:val="0"/>
                <w:sz w:val="22"/>
                <w:szCs w:val="22"/>
              </w:rPr>
              <w:t>Justering av protokoll</w:t>
            </w:r>
          </w:p>
          <w:p w14:paraId="27758E34" w14:textId="63DD2CA4" w:rsidR="000D7777" w:rsidRDefault="000D7777" w:rsidP="008074C0">
            <w:pPr>
              <w:tabs>
                <w:tab w:val="left" w:pos="1701"/>
              </w:tabs>
              <w:rPr>
                <w:b/>
                <w:snapToGrid w:val="0"/>
                <w:sz w:val="22"/>
                <w:szCs w:val="22"/>
              </w:rPr>
            </w:pPr>
          </w:p>
          <w:p w14:paraId="370681EB" w14:textId="6126ECAC" w:rsidR="000D7777" w:rsidRPr="000D7777" w:rsidRDefault="000D7777" w:rsidP="008074C0">
            <w:pPr>
              <w:tabs>
                <w:tab w:val="left" w:pos="1701"/>
              </w:tabs>
              <w:rPr>
                <w:bCs/>
                <w:snapToGrid w:val="0"/>
                <w:sz w:val="22"/>
                <w:szCs w:val="22"/>
              </w:rPr>
            </w:pPr>
            <w:r w:rsidRPr="000D7777">
              <w:rPr>
                <w:bCs/>
                <w:snapToGrid w:val="0"/>
                <w:sz w:val="22"/>
                <w:szCs w:val="22"/>
              </w:rPr>
              <w:t>Utskottet justerade protokoll 2022/23:46</w:t>
            </w:r>
            <w:r w:rsidR="004A2B85">
              <w:rPr>
                <w:bCs/>
                <w:snapToGrid w:val="0"/>
                <w:sz w:val="22"/>
                <w:szCs w:val="22"/>
              </w:rPr>
              <w:t xml:space="preserve"> och 2022/23:47</w:t>
            </w:r>
            <w:r w:rsidRPr="000D7777">
              <w:rPr>
                <w:bCs/>
                <w:snapToGrid w:val="0"/>
                <w:sz w:val="22"/>
                <w:szCs w:val="22"/>
              </w:rPr>
              <w:t xml:space="preserve">. </w:t>
            </w:r>
          </w:p>
          <w:p w14:paraId="0D5CF738" w14:textId="77777777" w:rsidR="008074C0" w:rsidRDefault="008074C0" w:rsidP="005D2E63">
            <w:pPr>
              <w:tabs>
                <w:tab w:val="left" w:pos="1701"/>
              </w:tabs>
              <w:rPr>
                <w:b/>
              </w:rPr>
            </w:pPr>
          </w:p>
        </w:tc>
      </w:tr>
      <w:tr w:rsidR="004A2B85" w:rsidRPr="00B40F4D" w14:paraId="29D6D3A1" w14:textId="77777777" w:rsidTr="00C5706E">
        <w:tc>
          <w:tcPr>
            <w:tcW w:w="567" w:type="dxa"/>
          </w:tcPr>
          <w:p w14:paraId="57DA0933" w14:textId="7CF69DAE" w:rsidR="004A2B85" w:rsidRDefault="004A2B85" w:rsidP="00C5706E">
            <w:pPr>
              <w:tabs>
                <w:tab w:val="left" w:pos="1701"/>
              </w:tabs>
              <w:rPr>
                <w:b/>
                <w:snapToGrid w:val="0"/>
                <w:sz w:val="22"/>
                <w:szCs w:val="22"/>
              </w:rPr>
            </w:pPr>
            <w:r>
              <w:rPr>
                <w:b/>
                <w:snapToGrid w:val="0"/>
                <w:sz w:val="22"/>
                <w:szCs w:val="22"/>
              </w:rPr>
              <w:t>§ 3</w:t>
            </w:r>
          </w:p>
        </w:tc>
        <w:tc>
          <w:tcPr>
            <w:tcW w:w="6946" w:type="dxa"/>
            <w:gridSpan w:val="2"/>
          </w:tcPr>
          <w:p w14:paraId="629FDC64" w14:textId="2530E2EC" w:rsidR="004A2B85" w:rsidRDefault="008D59C1" w:rsidP="008D59C1">
            <w:pPr>
              <w:widowControl/>
              <w:spacing w:after="200" w:line="280" w:lineRule="exact"/>
              <w:rPr>
                <w:b/>
                <w:snapToGrid w:val="0"/>
                <w:sz w:val="22"/>
                <w:szCs w:val="22"/>
              </w:rPr>
            </w:pPr>
            <w:r w:rsidRPr="008D59C1">
              <w:rPr>
                <w:b/>
                <w:snapToGrid w:val="0"/>
                <w:sz w:val="22"/>
                <w:szCs w:val="22"/>
              </w:rPr>
              <w:t>Inkomna EU-dokument</w:t>
            </w:r>
            <w:r>
              <w:rPr>
                <w:b/>
                <w:snapToGrid w:val="0"/>
                <w:sz w:val="22"/>
                <w:szCs w:val="22"/>
              </w:rPr>
              <w:br/>
            </w:r>
            <w:r>
              <w:rPr>
                <w:rFonts w:eastAsiaTheme="minorHAnsi"/>
                <w:bCs/>
                <w:color w:val="000000"/>
                <w:sz w:val="22"/>
                <w:szCs w:val="22"/>
                <w:lang w:eastAsia="en-US"/>
              </w:rPr>
              <w:br/>
            </w:r>
            <w:r w:rsidRPr="000446CF">
              <w:rPr>
                <w:rFonts w:eastAsiaTheme="minorHAnsi"/>
                <w:bCs/>
                <w:color w:val="000000"/>
                <w:sz w:val="22"/>
                <w:szCs w:val="22"/>
                <w:lang w:eastAsia="en-US"/>
              </w:rPr>
              <w:t xml:space="preserve">Inkomna EU-dokument enligt bilaga </w:t>
            </w:r>
            <w:r>
              <w:rPr>
                <w:rFonts w:eastAsiaTheme="minorHAnsi"/>
                <w:bCs/>
                <w:color w:val="000000"/>
                <w:sz w:val="22"/>
                <w:szCs w:val="22"/>
                <w:lang w:eastAsia="en-US"/>
              </w:rPr>
              <w:t>2</w:t>
            </w:r>
            <w:r w:rsidRPr="000446CF">
              <w:rPr>
                <w:rFonts w:eastAsiaTheme="minorHAnsi"/>
                <w:bCs/>
                <w:color w:val="000000"/>
                <w:sz w:val="22"/>
                <w:szCs w:val="22"/>
                <w:lang w:eastAsia="en-US"/>
              </w:rPr>
              <w:t xml:space="preserve"> anmäldes och föranledde ingen vidare åtgärd.</w:t>
            </w:r>
          </w:p>
        </w:tc>
      </w:tr>
      <w:tr w:rsidR="00E66CF4" w:rsidRPr="00B40F4D" w14:paraId="5C3F8F00" w14:textId="77777777" w:rsidTr="00C5706E">
        <w:tc>
          <w:tcPr>
            <w:tcW w:w="567" w:type="dxa"/>
          </w:tcPr>
          <w:p w14:paraId="6AE5F7DF" w14:textId="19123004" w:rsidR="00E66CF4" w:rsidRDefault="00E66CF4" w:rsidP="00C5706E">
            <w:pPr>
              <w:tabs>
                <w:tab w:val="left" w:pos="1701"/>
              </w:tabs>
              <w:rPr>
                <w:b/>
                <w:snapToGrid w:val="0"/>
                <w:sz w:val="22"/>
                <w:szCs w:val="22"/>
              </w:rPr>
            </w:pPr>
            <w:r>
              <w:rPr>
                <w:b/>
                <w:snapToGrid w:val="0"/>
                <w:sz w:val="22"/>
                <w:szCs w:val="22"/>
              </w:rPr>
              <w:t xml:space="preserve">§ </w:t>
            </w:r>
            <w:r w:rsidR="004A2B85">
              <w:rPr>
                <w:b/>
                <w:snapToGrid w:val="0"/>
                <w:sz w:val="22"/>
                <w:szCs w:val="22"/>
              </w:rPr>
              <w:t>4</w:t>
            </w:r>
          </w:p>
        </w:tc>
        <w:tc>
          <w:tcPr>
            <w:tcW w:w="6946" w:type="dxa"/>
            <w:gridSpan w:val="2"/>
          </w:tcPr>
          <w:p w14:paraId="0D5DE558" w14:textId="77777777" w:rsidR="00E66CF4" w:rsidRPr="00E66CF4" w:rsidRDefault="00E66CF4" w:rsidP="00E66CF4">
            <w:pPr>
              <w:widowControl/>
              <w:spacing w:after="200" w:line="280" w:lineRule="exact"/>
              <w:rPr>
                <w:b/>
                <w:snapToGrid w:val="0"/>
                <w:sz w:val="22"/>
                <w:szCs w:val="22"/>
              </w:rPr>
            </w:pPr>
            <w:r w:rsidRPr="00E66CF4">
              <w:rPr>
                <w:b/>
                <w:snapToGrid w:val="0"/>
                <w:sz w:val="22"/>
                <w:szCs w:val="22"/>
              </w:rPr>
              <w:t>Bemyndigande att justera protokoll</w:t>
            </w:r>
          </w:p>
          <w:p w14:paraId="4B92C3DE" w14:textId="28E77123" w:rsidR="00E66CF4" w:rsidRPr="00E56E84" w:rsidRDefault="00E66CF4" w:rsidP="00E66CF4">
            <w:pPr>
              <w:tabs>
                <w:tab w:val="left" w:pos="1701"/>
              </w:tabs>
              <w:rPr>
                <w:rFonts w:eastAsiaTheme="minorHAnsi"/>
                <w:bCs/>
                <w:color w:val="000000"/>
                <w:sz w:val="22"/>
                <w:szCs w:val="22"/>
                <w:lang w:eastAsia="en-US"/>
              </w:rPr>
            </w:pPr>
            <w:r>
              <w:rPr>
                <w:rFonts w:eastAsiaTheme="minorHAnsi"/>
                <w:bCs/>
                <w:color w:val="000000"/>
                <w:sz w:val="22"/>
                <w:szCs w:val="22"/>
                <w:lang w:eastAsia="en-US"/>
              </w:rPr>
              <w:t>Ordförande</w:t>
            </w:r>
            <w:r w:rsidR="00D21D2D">
              <w:rPr>
                <w:rFonts w:eastAsiaTheme="minorHAnsi"/>
                <w:bCs/>
                <w:color w:val="000000"/>
                <w:sz w:val="22"/>
                <w:szCs w:val="22"/>
                <w:lang w:eastAsia="en-US"/>
              </w:rPr>
              <w:t>n</w:t>
            </w:r>
            <w:r>
              <w:rPr>
                <w:rFonts w:eastAsiaTheme="minorHAnsi"/>
                <w:bCs/>
                <w:color w:val="000000"/>
                <w:sz w:val="22"/>
                <w:szCs w:val="22"/>
                <w:lang w:eastAsia="en-US"/>
              </w:rPr>
              <w:t xml:space="preserve"> bemyndigades att justera protokollet från dagens sammanträde.</w:t>
            </w:r>
          </w:p>
          <w:p w14:paraId="13631C40" w14:textId="77777777" w:rsidR="00E66CF4" w:rsidRDefault="00E66CF4" w:rsidP="008074C0">
            <w:pPr>
              <w:tabs>
                <w:tab w:val="left" w:pos="1701"/>
              </w:tabs>
              <w:rPr>
                <w:b/>
                <w:snapToGrid w:val="0"/>
                <w:sz w:val="22"/>
                <w:szCs w:val="22"/>
              </w:rPr>
            </w:pPr>
          </w:p>
        </w:tc>
      </w:tr>
      <w:tr w:rsidR="00E66CF4" w:rsidRPr="00B40F4D" w14:paraId="4714F063" w14:textId="77777777" w:rsidTr="00C5706E">
        <w:tc>
          <w:tcPr>
            <w:tcW w:w="567" w:type="dxa"/>
          </w:tcPr>
          <w:p w14:paraId="3079365E" w14:textId="583DC304" w:rsidR="00E66CF4" w:rsidRDefault="00E66CF4" w:rsidP="00C5706E">
            <w:pPr>
              <w:tabs>
                <w:tab w:val="left" w:pos="1701"/>
              </w:tabs>
              <w:rPr>
                <w:b/>
                <w:snapToGrid w:val="0"/>
                <w:sz w:val="22"/>
                <w:szCs w:val="22"/>
              </w:rPr>
            </w:pPr>
            <w:r>
              <w:rPr>
                <w:b/>
                <w:snapToGrid w:val="0"/>
                <w:sz w:val="22"/>
                <w:szCs w:val="22"/>
              </w:rPr>
              <w:t xml:space="preserve">§ </w:t>
            </w:r>
            <w:r w:rsidR="004A2B85">
              <w:rPr>
                <w:b/>
                <w:snapToGrid w:val="0"/>
                <w:sz w:val="22"/>
                <w:szCs w:val="22"/>
              </w:rPr>
              <w:t>5</w:t>
            </w:r>
          </w:p>
        </w:tc>
        <w:tc>
          <w:tcPr>
            <w:tcW w:w="6946" w:type="dxa"/>
            <w:gridSpan w:val="2"/>
          </w:tcPr>
          <w:p w14:paraId="25158D8C" w14:textId="24B89ED5" w:rsidR="00E66CF4" w:rsidRDefault="00E66CF4" w:rsidP="00E66CF4">
            <w:pPr>
              <w:widowControl/>
              <w:spacing w:after="200" w:line="280" w:lineRule="exact"/>
              <w:rPr>
                <w:b/>
                <w:snapToGrid w:val="0"/>
                <w:sz w:val="22"/>
                <w:szCs w:val="22"/>
              </w:rPr>
            </w:pPr>
            <w:r w:rsidRPr="00E66CF4">
              <w:rPr>
                <w:b/>
                <w:snapToGrid w:val="0"/>
                <w:sz w:val="22"/>
                <w:szCs w:val="22"/>
              </w:rPr>
              <w:t>Bemyndigande att efterhöra regeringens bedömning i subsidiaritetsärenden</w:t>
            </w:r>
          </w:p>
          <w:p w14:paraId="5D6D0789" w14:textId="2B472F65" w:rsidR="005177FB" w:rsidRDefault="00E66CF4" w:rsidP="00E66CF4">
            <w:pPr>
              <w:rPr>
                <w:snapToGrid w:val="0"/>
                <w:sz w:val="22"/>
                <w:szCs w:val="22"/>
              </w:rPr>
            </w:pPr>
            <w:r w:rsidRPr="008A3597">
              <w:rPr>
                <w:snapToGrid w:val="0"/>
                <w:sz w:val="22"/>
                <w:szCs w:val="22"/>
              </w:rPr>
              <w:t>Ordföranden bemyndigades att i förekommande fall inhämta regeringens bedömning av tillämpningen av subsidiaritetsprincipen.</w:t>
            </w:r>
          </w:p>
          <w:p w14:paraId="35277DE1" w14:textId="1DB466D8" w:rsidR="00E66CF4" w:rsidRDefault="00E66CF4" w:rsidP="008074C0">
            <w:pPr>
              <w:tabs>
                <w:tab w:val="left" w:pos="1701"/>
              </w:tabs>
              <w:rPr>
                <w:b/>
                <w:snapToGrid w:val="0"/>
                <w:sz w:val="22"/>
                <w:szCs w:val="22"/>
              </w:rPr>
            </w:pPr>
          </w:p>
        </w:tc>
      </w:tr>
      <w:tr w:rsidR="005D2E63" w:rsidRPr="00B40F4D" w14:paraId="04022D5C" w14:textId="77777777" w:rsidTr="00201DCD">
        <w:tc>
          <w:tcPr>
            <w:tcW w:w="567" w:type="dxa"/>
          </w:tcPr>
          <w:p w14:paraId="790F3247" w14:textId="356D2487" w:rsidR="005D2E63" w:rsidRPr="00B40F4D" w:rsidRDefault="00DA2753" w:rsidP="00201DCD">
            <w:pPr>
              <w:tabs>
                <w:tab w:val="left" w:pos="1701"/>
              </w:tabs>
              <w:rPr>
                <w:b/>
                <w:snapToGrid w:val="0"/>
                <w:sz w:val="22"/>
                <w:szCs w:val="22"/>
              </w:rPr>
            </w:pPr>
            <w:r>
              <w:rPr>
                <w:b/>
                <w:snapToGrid w:val="0"/>
                <w:sz w:val="22"/>
                <w:szCs w:val="22"/>
              </w:rPr>
              <w:t xml:space="preserve">§ </w:t>
            </w:r>
            <w:r w:rsidR="005177FB">
              <w:rPr>
                <w:b/>
                <w:snapToGrid w:val="0"/>
                <w:sz w:val="22"/>
                <w:szCs w:val="22"/>
              </w:rPr>
              <w:t>6</w:t>
            </w:r>
          </w:p>
        </w:tc>
        <w:tc>
          <w:tcPr>
            <w:tcW w:w="6946" w:type="dxa"/>
            <w:gridSpan w:val="2"/>
          </w:tcPr>
          <w:p w14:paraId="12D46BC5" w14:textId="77777777" w:rsidR="00D21D2D" w:rsidRDefault="00D21D2D" w:rsidP="00D21D2D">
            <w:pPr>
              <w:tabs>
                <w:tab w:val="left" w:pos="1701"/>
              </w:tabs>
              <w:rPr>
                <w:sz w:val="22"/>
              </w:rPr>
            </w:pPr>
            <w:r w:rsidRPr="007B46D5">
              <w:rPr>
                <w:b/>
                <w:bCs/>
                <w:sz w:val="22"/>
              </w:rPr>
              <w:t>Miljö- och jordbruksutskottets resa till Lettland och Litauen</w:t>
            </w:r>
            <w:r>
              <w:rPr>
                <w:b/>
                <w:bCs/>
                <w:sz w:val="22"/>
              </w:rPr>
              <w:br/>
            </w:r>
            <w:r>
              <w:rPr>
                <w:sz w:val="22"/>
              </w:rPr>
              <w:br/>
              <w:t xml:space="preserve">Kansliet lämnade information med anledning av utskottets planerade </w:t>
            </w:r>
            <w:r w:rsidRPr="00A46B43">
              <w:rPr>
                <w:sz w:val="22"/>
              </w:rPr>
              <w:t>resa till Lettland och Litauen</w:t>
            </w:r>
            <w:r>
              <w:rPr>
                <w:sz w:val="22"/>
              </w:rPr>
              <w:t xml:space="preserve"> den 4 – 8 september 2023.</w:t>
            </w:r>
          </w:p>
          <w:p w14:paraId="5708B485" w14:textId="3A1D9938" w:rsidR="00DA2753" w:rsidRPr="00B40F4D" w:rsidRDefault="00DA2753" w:rsidP="00201DCD">
            <w:pPr>
              <w:rPr>
                <w:rFonts w:eastAsiaTheme="minorHAnsi"/>
                <w:b/>
                <w:bCs/>
                <w:color w:val="000000"/>
                <w:sz w:val="22"/>
                <w:szCs w:val="22"/>
                <w:lang w:eastAsia="en-US"/>
              </w:rPr>
            </w:pPr>
          </w:p>
        </w:tc>
      </w:tr>
      <w:tr w:rsidR="00D21D2D" w:rsidRPr="00B40F4D" w14:paraId="29190DC0" w14:textId="77777777" w:rsidTr="00201DCD">
        <w:tc>
          <w:tcPr>
            <w:tcW w:w="567" w:type="dxa"/>
          </w:tcPr>
          <w:p w14:paraId="458BB35A" w14:textId="3FB58BB1" w:rsidR="00D21D2D" w:rsidRDefault="00D21D2D" w:rsidP="00201DCD">
            <w:pPr>
              <w:tabs>
                <w:tab w:val="left" w:pos="1701"/>
              </w:tabs>
              <w:rPr>
                <w:b/>
                <w:snapToGrid w:val="0"/>
                <w:sz w:val="22"/>
                <w:szCs w:val="22"/>
              </w:rPr>
            </w:pPr>
            <w:r>
              <w:rPr>
                <w:b/>
                <w:snapToGrid w:val="0"/>
                <w:sz w:val="22"/>
                <w:szCs w:val="22"/>
              </w:rPr>
              <w:t xml:space="preserve">§ </w:t>
            </w:r>
            <w:r w:rsidR="005177FB">
              <w:rPr>
                <w:b/>
                <w:snapToGrid w:val="0"/>
                <w:sz w:val="22"/>
                <w:szCs w:val="22"/>
              </w:rPr>
              <w:t>7</w:t>
            </w:r>
          </w:p>
        </w:tc>
        <w:tc>
          <w:tcPr>
            <w:tcW w:w="6946" w:type="dxa"/>
            <w:gridSpan w:val="2"/>
          </w:tcPr>
          <w:p w14:paraId="7166F9DD" w14:textId="2C2B762D" w:rsidR="00D21D2D" w:rsidRDefault="00D21D2D" w:rsidP="00D21D2D">
            <w:pPr>
              <w:rPr>
                <w:rFonts w:eastAsiaTheme="minorHAnsi"/>
                <w:b/>
                <w:bCs/>
                <w:color w:val="000000"/>
                <w:sz w:val="22"/>
                <w:szCs w:val="22"/>
                <w:lang w:eastAsia="en-US"/>
              </w:rPr>
            </w:pPr>
            <w:r w:rsidRPr="00D21D2D">
              <w:rPr>
                <w:b/>
                <w:bCs/>
                <w:sz w:val="22"/>
              </w:rPr>
              <w:t>Ordförandes tack</w:t>
            </w:r>
            <w:r>
              <w:rPr>
                <w:rFonts w:eastAsiaTheme="minorHAnsi"/>
                <w:b/>
                <w:bCs/>
                <w:color w:val="000000"/>
                <w:sz w:val="22"/>
                <w:szCs w:val="22"/>
                <w:lang w:eastAsia="en-US"/>
              </w:rPr>
              <w:br/>
            </w:r>
            <w:r>
              <w:rPr>
                <w:rFonts w:eastAsiaTheme="minorHAnsi"/>
                <w:b/>
                <w:bCs/>
                <w:color w:val="000000"/>
                <w:sz w:val="22"/>
                <w:szCs w:val="22"/>
                <w:lang w:eastAsia="en-US"/>
              </w:rPr>
              <w:br/>
            </w:r>
            <w:r w:rsidRPr="00D21D2D">
              <w:rPr>
                <w:sz w:val="22"/>
              </w:rPr>
              <w:t>Ordförande tackade utskottets presidium, ledamöter och suppleanter samt utskottets kansli för väl genomfört arbete under riksmötet och önskade alla en glad sommar.</w:t>
            </w:r>
            <w:r>
              <w:rPr>
                <w:rFonts w:eastAsiaTheme="minorHAnsi"/>
                <w:b/>
                <w:bCs/>
                <w:color w:val="000000"/>
                <w:sz w:val="22"/>
                <w:szCs w:val="22"/>
                <w:lang w:eastAsia="en-US"/>
              </w:rPr>
              <w:t xml:space="preserve">  </w:t>
            </w:r>
            <w:r>
              <w:rPr>
                <w:rFonts w:eastAsiaTheme="minorHAnsi"/>
                <w:b/>
                <w:bCs/>
                <w:color w:val="000000"/>
                <w:sz w:val="22"/>
                <w:szCs w:val="22"/>
                <w:lang w:eastAsia="en-US"/>
              </w:rPr>
              <w:br/>
            </w:r>
            <w:r>
              <w:rPr>
                <w:rFonts w:eastAsiaTheme="minorHAnsi"/>
                <w:b/>
                <w:bCs/>
                <w:color w:val="000000"/>
                <w:sz w:val="22"/>
                <w:szCs w:val="22"/>
                <w:lang w:eastAsia="en-US"/>
              </w:rPr>
              <w:br/>
            </w:r>
            <w:r w:rsidRPr="00D21D2D">
              <w:rPr>
                <w:sz w:val="22"/>
              </w:rPr>
              <w:t>Kjell-Arne Ottosson (KD)</w:t>
            </w:r>
            <w:r w:rsidR="000F0EE3">
              <w:rPr>
                <w:sz w:val="22"/>
              </w:rPr>
              <w:t>, vice ordförande,</w:t>
            </w:r>
            <w:r w:rsidR="002C7E1A">
              <w:rPr>
                <w:sz w:val="22"/>
              </w:rPr>
              <w:t xml:space="preserve"> </w:t>
            </w:r>
            <w:r w:rsidRPr="00D21D2D">
              <w:rPr>
                <w:sz w:val="22"/>
              </w:rPr>
              <w:t xml:space="preserve">tackade utskottets ordförande Emma </w:t>
            </w:r>
            <w:proofErr w:type="spellStart"/>
            <w:r w:rsidRPr="00D21D2D">
              <w:rPr>
                <w:sz w:val="22"/>
              </w:rPr>
              <w:t>Nohrén</w:t>
            </w:r>
            <w:proofErr w:type="spellEnd"/>
            <w:r w:rsidRPr="00D21D2D">
              <w:rPr>
                <w:sz w:val="22"/>
              </w:rPr>
              <w:t xml:space="preserve"> (MP) för väl genomfört arbete under riksmötet och önskade en glad sommar.</w:t>
            </w:r>
            <w:r>
              <w:rPr>
                <w:rFonts w:eastAsiaTheme="minorHAnsi"/>
                <w:b/>
                <w:bCs/>
                <w:color w:val="000000"/>
                <w:sz w:val="22"/>
                <w:szCs w:val="22"/>
                <w:lang w:eastAsia="en-US"/>
              </w:rPr>
              <w:t xml:space="preserve"> </w:t>
            </w:r>
          </w:p>
          <w:p w14:paraId="1B6C6987" w14:textId="77777777" w:rsidR="00D21D2D" w:rsidRDefault="00D21D2D"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101758CB"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5177FB">
              <w:rPr>
                <w:b/>
                <w:snapToGrid w:val="0"/>
                <w:sz w:val="22"/>
                <w:szCs w:val="22"/>
              </w:rPr>
              <w:t>8</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265DACD5" w:rsidR="005957E5"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0D7777">
              <w:rPr>
                <w:snapToGrid w:val="0"/>
                <w:sz w:val="22"/>
                <w:szCs w:val="22"/>
              </w:rPr>
              <w:t>24 augusti</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0D7777">
              <w:rPr>
                <w:snapToGrid w:val="0"/>
                <w:sz w:val="22"/>
                <w:szCs w:val="22"/>
              </w:rPr>
              <w:t>10</w:t>
            </w:r>
            <w:r w:rsidR="00B664F7">
              <w:rPr>
                <w:snapToGrid w:val="0"/>
                <w:sz w:val="22"/>
                <w:szCs w:val="22"/>
              </w:rPr>
              <w:t>.00</w:t>
            </w:r>
            <w:r w:rsidR="00DA2753">
              <w:rPr>
                <w:snapToGrid w:val="0"/>
                <w:sz w:val="22"/>
                <w:szCs w:val="22"/>
              </w:rPr>
              <w:t xml:space="preserve">. </w:t>
            </w:r>
          </w:p>
          <w:p w14:paraId="72BC2D6F" w14:textId="3827F529" w:rsidR="00C41B58" w:rsidRDefault="00C41B58" w:rsidP="002A14AC">
            <w:pPr>
              <w:rPr>
                <w:snapToGrid w:val="0"/>
                <w:sz w:val="22"/>
                <w:szCs w:val="22"/>
              </w:rPr>
            </w:pPr>
          </w:p>
          <w:p w14:paraId="6FF4E6DB" w14:textId="04EDCC3F" w:rsidR="00C41B58" w:rsidRDefault="0076359C" w:rsidP="002A14AC">
            <w:pPr>
              <w:rPr>
                <w:snapToGrid w:val="0"/>
                <w:sz w:val="22"/>
                <w:szCs w:val="22"/>
              </w:rPr>
            </w:pPr>
            <w:r>
              <w:rPr>
                <w:snapToGrid w:val="0"/>
                <w:sz w:val="22"/>
                <w:szCs w:val="22"/>
              </w:rPr>
              <w:br/>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060A65A" w14:textId="77777777" w:rsidR="00D5250E" w:rsidRPr="00B40F4D" w:rsidRDefault="00D5250E" w:rsidP="00D5250E">
            <w:pPr>
              <w:tabs>
                <w:tab w:val="left" w:pos="1701"/>
              </w:tabs>
              <w:rPr>
                <w:sz w:val="22"/>
                <w:szCs w:val="22"/>
              </w:rPr>
            </w:pPr>
            <w:r w:rsidRPr="00B40F4D">
              <w:rPr>
                <w:sz w:val="22"/>
                <w:szCs w:val="22"/>
              </w:rPr>
              <w:lastRenderedPageBreak/>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63668000" w14:textId="7CFAACC7" w:rsidR="00D5250E" w:rsidRDefault="00D5250E" w:rsidP="00D5250E">
            <w:pPr>
              <w:tabs>
                <w:tab w:val="left" w:pos="1701"/>
              </w:tabs>
              <w:rPr>
                <w:sz w:val="22"/>
                <w:szCs w:val="22"/>
              </w:rPr>
            </w:pPr>
          </w:p>
          <w:p w14:paraId="37C35038" w14:textId="745D2F32" w:rsidR="000D7777" w:rsidRDefault="000D7777"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4C5F4F1B" w:rsidR="00D5250E" w:rsidRPr="00B40F4D" w:rsidRDefault="00D5250E" w:rsidP="00D5250E">
            <w:pPr>
              <w:tabs>
                <w:tab w:val="left" w:pos="1701"/>
              </w:tabs>
              <w:rPr>
                <w:sz w:val="22"/>
                <w:szCs w:val="22"/>
              </w:rPr>
            </w:pPr>
            <w:r w:rsidRPr="00C41B58">
              <w:rPr>
                <w:sz w:val="22"/>
                <w:szCs w:val="22"/>
              </w:rPr>
              <w:t>Justeras den</w:t>
            </w:r>
            <w:r w:rsidR="00041991" w:rsidRPr="00C41B58">
              <w:rPr>
                <w:sz w:val="22"/>
                <w:szCs w:val="22"/>
              </w:rPr>
              <w:t xml:space="preserve"> </w:t>
            </w:r>
            <w:r w:rsidR="00C41B58" w:rsidRPr="00C41B58">
              <w:rPr>
                <w:sz w:val="22"/>
                <w:szCs w:val="22"/>
              </w:rPr>
              <w:t>2</w:t>
            </w:r>
            <w:r w:rsidR="0076359C">
              <w:rPr>
                <w:sz w:val="22"/>
                <w:szCs w:val="22"/>
              </w:rPr>
              <w:t>0</w:t>
            </w:r>
            <w:r w:rsidR="00A10EBF" w:rsidRPr="00C41B58">
              <w:rPr>
                <w:sz w:val="22"/>
                <w:szCs w:val="22"/>
              </w:rPr>
              <w:t xml:space="preserve"> </w:t>
            </w:r>
            <w:r w:rsidR="001D3FD1" w:rsidRPr="00C41B58">
              <w:rPr>
                <w:sz w:val="22"/>
                <w:szCs w:val="22"/>
              </w:rPr>
              <w:t xml:space="preserve">juni </w:t>
            </w:r>
            <w:r w:rsidR="00CB71B9" w:rsidRPr="00C41B58">
              <w:rPr>
                <w:sz w:val="22"/>
                <w:szCs w:val="22"/>
              </w:rPr>
              <w:t>202</w:t>
            </w:r>
            <w:r w:rsidR="00BE7A1B" w:rsidRPr="00C41B58">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48312413" w:rsidR="00A10EBF" w:rsidRPr="00B40F4D" w:rsidRDefault="000D7777" w:rsidP="00157E3A">
            <w:pPr>
              <w:tabs>
                <w:tab w:val="left" w:pos="1701"/>
              </w:tabs>
              <w:rPr>
                <w:sz w:val="22"/>
                <w:szCs w:val="22"/>
              </w:rPr>
            </w:pPr>
            <w:r>
              <w:rPr>
                <w:sz w:val="22"/>
                <w:szCs w:val="22"/>
              </w:rPr>
              <w:t xml:space="preserve">Emma </w:t>
            </w:r>
            <w:proofErr w:type="spellStart"/>
            <w:r>
              <w:rPr>
                <w:sz w:val="22"/>
                <w:szCs w:val="22"/>
              </w:rPr>
              <w:t>Nohrén</w:t>
            </w:r>
            <w:proofErr w:type="spellEnd"/>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15474626"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0D7777">
              <w:rPr>
                <w:sz w:val="22"/>
                <w:szCs w:val="22"/>
              </w:rPr>
              <w:t>48</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FD6389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1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AE7220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41B58" w:rsidRPr="0076359C">
              <w:rPr>
                <w:sz w:val="22"/>
                <w:szCs w:val="22"/>
              </w:rPr>
              <w:t>§ 2–</w:t>
            </w:r>
            <w:r w:rsidR="0076359C" w:rsidRPr="0076359C">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 xml:space="preserve">Emma </w:t>
            </w:r>
            <w:proofErr w:type="spellStart"/>
            <w:r>
              <w:rPr>
                <w:sz w:val="22"/>
                <w:szCs w:val="22"/>
                <w:lang w:eastAsia="en-US"/>
              </w:rPr>
              <w:t>Nohrén</w:t>
            </w:r>
            <w:proofErr w:type="spellEnd"/>
            <w:r>
              <w:rPr>
                <w:sz w:val="22"/>
                <w:szCs w:val="22"/>
                <w:lang w:eastAsia="en-US"/>
              </w:rPr>
              <w:t xml:space="preserve">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846FDBB"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0CCFC9D"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464559"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proofErr w:type="spellStart"/>
            <w:r w:rsidRPr="006A6B9D">
              <w:rPr>
                <w:sz w:val="22"/>
                <w:szCs w:val="22"/>
                <w:lang w:val="en-GB" w:eastAsia="en-US"/>
              </w:rPr>
              <w:t>Kjell</w:t>
            </w:r>
            <w:proofErr w:type="spellEnd"/>
            <w:r w:rsidRPr="006A6B9D">
              <w:rPr>
                <w:sz w:val="22"/>
                <w:szCs w:val="22"/>
                <w:lang w:val="en-GB" w:eastAsia="en-US"/>
              </w:rPr>
              <w:t xml:space="preserve">-Arne </w:t>
            </w:r>
            <w:proofErr w:type="spellStart"/>
            <w:r w:rsidRPr="006A6B9D">
              <w:rPr>
                <w:sz w:val="22"/>
                <w:szCs w:val="22"/>
                <w:lang w:val="en-GB" w:eastAsia="en-US"/>
              </w:rPr>
              <w:t>Ottosson</w:t>
            </w:r>
            <w:proofErr w:type="spellEnd"/>
            <w:r w:rsidRPr="006A6B9D">
              <w:rPr>
                <w:sz w:val="22"/>
                <w:szCs w:val="22"/>
                <w:lang w:val="en-GB" w:eastAsia="en-US"/>
              </w:rPr>
              <w:t xml:space="preserve">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5680E432"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304001E"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9BF3658"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B8525F0"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w:t>
            </w:r>
            <w:proofErr w:type="spellStart"/>
            <w:r>
              <w:rPr>
                <w:sz w:val="22"/>
                <w:szCs w:val="22"/>
                <w:lang w:eastAsia="en-US"/>
              </w:rPr>
              <w:t>Caren</w:t>
            </w:r>
            <w:proofErr w:type="spellEnd"/>
            <w:r>
              <w:rPr>
                <w:sz w:val="22"/>
                <w:szCs w:val="22"/>
                <w:lang w:eastAsia="en-US"/>
              </w:rPr>
              <w:t xml:space="preserve"> </w:t>
            </w:r>
            <w:proofErr w:type="spellStart"/>
            <w:r>
              <w:rPr>
                <w:sz w:val="22"/>
                <w:szCs w:val="22"/>
                <w:lang w:eastAsia="en-US"/>
              </w:rPr>
              <w:t>Sätherberg</w:t>
            </w:r>
            <w:proofErr w:type="spellEnd"/>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794A231"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E0D3404" w:rsidR="00136BAF" w:rsidRPr="006A6B9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C1EEB93"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B916766"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19401B9B"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438AE1D"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proofErr w:type="spellStart"/>
            <w:r w:rsidRPr="005C4C18">
              <w:rPr>
                <w:sz w:val="22"/>
                <w:szCs w:val="22"/>
                <w:lang w:val="en-US" w:eastAsia="en-US"/>
              </w:rPr>
              <w:t>Staffan</w:t>
            </w:r>
            <w:proofErr w:type="spellEnd"/>
            <w:r w:rsidRPr="005C4C18">
              <w:rPr>
                <w:sz w:val="22"/>
                <w:szCs w:val="22"/>
                <w:lang w:val="en-US" w:eastAsia="en-US"/>
              </w:rPr>
              <w:t xml:space="preserve"> </w:t>
            </w:r>
            <w:proofErr w:type="spellStart"/>
            <w:r w:rsidRPr="005C4C18">
              <w:rPr>
                <w:sz w:val="22"/>
                <w:szCs w:val="22"/>
                <w:lang w:val="en-US" w:eastAsia="en-US"/>
              </w:rPr>
              <w:t>Eklöf</w:t>
            </w:r>
            <w:proofErr w:type="spellEnd"/>
            <w:r w:rsidRPr="005C4C18">
              <w:rPr>
                <w:sz w:val="22"/>
                <w:szCs w:val="22"/>
                <w:lang w:val="en-US" w:eastAsia="en-US"/>
              </w:rPr>
              <w:t xml:space="preserve">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4B6FBB6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4D7C6454"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8767F06"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821C38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w:t>
            </w:r>
            <w:proofErr w:type="spellStart"/>
            <w:r w:rsidRPr="00467848">
              <w:rPr>
                <w:sz w:val="22"/>
                <w:szCs w:val="22"/>
              </w:rPr>
              <w:t>Storckenfeldt</w:t>
            </w:r>
            <w:proofErr w:type="spellEnd"/>
            <w:r w:rsidRPr="00467848">
              <w:rPr>
                <w:sz w:val="22"/>
                <w:szCs w:val="22"/>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14F3B9A9"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2570A2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 xml:space="preserve">Tomas </w:t>
            </w:r>
            <w:proofErr w:type="spellStart"/>
            <w:r w:rsidRPr="005C4C18">
              <w:rPr>
                <w:sz w:val="22"/>
                <w:szCs w:val="22"/>
                <w:lang w:eastAsia="en-US"/>
              </w:rPr>
              <w:t>Kronståhl</w:t>
            </w:r>
            <w:proofErr w:type="spellEnd"/>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01613444" w14:textId="65264FE0"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02D5A86"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09D3292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6F6B726"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proofErr w:type="spellStart"/>
            <w:r>
              <w:rPr>
                <w:sz w:val="22"/>
                <w:szCs w:val="22"/>
                <w:lang w:eastAsia="en-US"/>
              </w:rPr>
              <w:t>Jytte</w:t>
            </w:r>
            <w:proofErr w:type="spellEnd"/>
            <w:r>
              <w:rPr>
                <w:sz w:val="22"/>
                <w:szCs w:val="22"/>
                <w:lang w:eastAsia="en-US"/>
              </w:rPr>
              <w:t xml:space="preserv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04DEA2C6"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1DD0FF0"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proofErr w:type="spellStart"/>
            <w:r w:rsidRPr="00467848">
              <w:rPr>
                <w:sz w:val="22"/>
                <w:szCs w:val="22"/>
                <w:lang w:val="en-US" w:eastAsia="en-US"/>
              </w:rPr>
              <w:t>Marléne</w:t>
            </w:r>
            <w:proofErr w:type="spellEnd"/>
            <w:r w:rsidRPr="00467848">
              <w:rPr>
                <w:sz w:val="22"/>
                <w:szCs w:val="22"/>
                <w:lang w:val="en-US" w:eastAsia="en-US"/>
              </w:rPr>
              <w:t xml:space="preserve"> Lund </w:t>
            </w:r>
            <w:proofErr w:type="spellStart"/>
            <w:r w:rsidRPr="00467848">
              <w:rPr>
                <w:sz w:val="22"/>
                <w:szCs w:val="22"/>
                <w:lang w:val="en-US" w:eastAsia="en-US"/>
              </w:rPr>
              <w:t>Kopparklint</w:t>
            </w:r>
            <w:proofErr w:type="spellEnd"/>
            <w:r w:rsidRPr="00467848">
              <w:rPr>
                <w:sz w:val="22"/>
                <w:szCs w:val="22"/>
                <w:lang w:val="en-US" w:eastAsia="en-US"/>
              </w:rPr>
              <w:t xml:space="preserve">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C17451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5BA534F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3C28847"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6BEDE874"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8F2EE9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0FBAC98"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 xml:space="preserve">Beatrice </w:t>
            </w:r>
            <w:proofErr w:type="spellStart"/>
            <w:r>
              <w:rPr>
                <w:sz w:val="22"/>
                <w:szCs w:val="22"/>
                <w:lang w:eastAsia="en-US"/>
              </w:rPr>
              <w:t>Timgren</w:t>
            </w:r>
            <w:proofErr w:type="spellEnd"/>
            <w:r>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4AB93A01"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218FFD5"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EF315F3"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41B8C8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 xml:space="preserve">Björn </w:t>
            </w:r>
            <w:proofErr w:type="spellStart"/>
            <w:r>
              <w:rPr>
                <w:sz w:val="22"/>
                <w:szCs w:val="22"/>
                <w:lang w:val="en-US" w:eastAsia="en-US"/>
              </w:rPr>
              <w:t>Tidland</w:t>
            </w:r>
            <w:proofErr w:type="spellEnd"/>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0E9DE019"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6FEC1F4A"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59AAEA3C"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07955D0"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0CE8E0C2"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9DDF72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 xml:space="preserve">Sofia </w:t>
            </w:r>
            <w:proofErr w:type="spellStart"/>
            <w:r>
              <w:rPr>
                <w:sz w:val="22"/>
                <w:szCs w:val="22"/>
              </w:rPr>
              <w:t>Skönnbrink</w:t>
            </w:r>
            <w:proofErr w:type="spellEnd"/>
            <w:r>
              <w:rPr>
                <w:sz w:val="22"/>
                <w:szCs w:val="22"/>
              </w:rPr>
              <w:t xml:space="preserve"> (S)</w:t>
            </w:r>
          </w:p>
        </w:tc>
        <w:tc>
          <w:tcPr>
            <w:tcW w:w="425" w:type="dxa"/>
            <w:tcBorders>
              <w:top w:val="single" w:sz="6" w:space="0" w:color="auto"/>
              <w:left w:val="single" w:sz="6" w:space="0" w:color="auto"/>
              <w:bottom w:val="single" w:sz="6" w:space="0" w:color="auto"/>
              <w:right w:val="single" w:sz="6" w:space="0" w:color="auto"/>
            </w:tcBorders>
          </w:tcPr>
          <w:p w14:paraId="70BAC42B" w14:textId="5D032799"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360B21F"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w:t>
            </w:r>
            <w:proofErr w:type="spellStart"/>
            <w:r>
              <w:rPr>
                <w:sz w:val="22"/>
                <w:szCs w:val="22"/>
                <w:lang w:val="en-US" w:eastAsia="en-US"/>
              </w:rPr>
              <w:t>Svärd</w:t>
            </w:r>
            <w:proofErr w:type="spellEnd"/>
            <w:r>
              <w:rPr>
                <w:sz w:val="22"/>
                <w:szCs w:val="22"/>
                <w:lang w:val="en-US" w:eastAsia="en-US"/>
              </w:rPr>
              <w:t xml:space="preserve">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5D131077"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1F9E2641"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Marianne </w:t>
            </w:r>
            <w:proofErr w:type="spellStart"/>
            <w:r>
              <w:rPr>
                <w:sz w:val="22"/>
                <w:szCs w:val="22"/>
                <w:lang w:val="en-US" w:eastAsia="en-US"/>
              </w:rPr>
              <w:t>Fundahn</w:t>
            </w:r>
            <w:proofErr w:type="spellEnd"/>
            <w:r>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Rashid </w:t>
            </w:r>
            <w:proofErr w:type="spellStart"/>
            <w:r>
              <w:rPr>
                <w:sz w:val="22"/>
                <w:szCs w:val="22"/>
                <w:lang w:val="en-US" w:eastAsia="en-US"/>
              </w:rPr>
              <w:t>Farivar</w:t>
            </w:r>
            <w:proofErr w:type="spellEnd"/>
            <w:r>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w:t>
            </w:r>
            <w:proofErr w:type="spellStart"/>
            <w:r w:rsidRPr="005C4C18">
              <w:rPr>
                <w:sz w:val="22"/>
                <w:szCs w:val="22"/>
                <w:lang w:eastAsia="en-US"/>
              </w:rPr>
              <w:t>Brunsberg</w:t>
            </w:r>
            <w:proofErr w:type="spellEnd"/>
            <w:r w:rsidRPr="005C4C18">
              <w:rPr>
                <w:sz w:val="22"/>
                <w:szCs w:val="22"/>
                <w:lang w:eastAsia="en-US"/>
              </w:rPr>
              <w:t xml:space="preserve">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E7DF904"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12E6109" w:rsidR="00136BA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 xml:space="preserve">Jakob </w:t>
            </w:r>
            <w:proofErr w:type="spellStart"/>
            <w:r>
              <w:rPr>
                <w:sz w:val="22"/>
                <w:szCs w:val="22"/>
                <w:lang w:eastAsia="en-US"/>
              </w:rPr>
              <w:t>Olofsgård</w:t>
            </w:r>
            <w:proofErr w:type="spellEnd"/>
            <w:r>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 xml:space="preserve">Rebecka Le </w:t>
            </w:r>
            <w:proofErr w:type="spellStart"/>
            <w:r w:rsidRPr="005C4C18">
              <w:rPr>
                <w:sz w:val="22"/>
                <w:szCs w:val="22"/>
              </w:rPr>
              <w:t>Moine</w:t>
            </w:r>
            <w:proofErr w:type="spellEnd"/>
            <w:r w:rsidRPr="005C4C18">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w:t>
            </w:r>
            <w:proofErr w:type="spellStart"/>
            <w:r>
              <w:rPr>
                <w:sz w:val="22"/>
                <w:szCs w:val="22"/>
                <w:lang w:eastAsia="en-US"/>
              </w:rPr>
              <w:t>af</w:t>
            </w:r>
            <w:proofErr w:type="spellEnd"/>
            <w:r>
              <w:rPr>
                <w:sz w:val="22"/>
                <w:szCs w:val="22"/>
                <w:lang w:eastAsia="en-US"/>
              </w:rPr>
              <w:t xml:space="preserve">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 xml:space="preserve">Nadja </w:t>
            </w:r>
            <w:proofErr w:type="spellStart"/>
            <w:r w:rsidRPr="006A49EA">
              <w:rPr>
                <w:sz w:val="22"/>
                <w:szCs w:val="22"/>
                <w:lang w:eastAsia="en-US"/>
              </w:rPr>
              <w:t>Awad</w:t>
            </w:r>
            <w:proofErr w:type="spellEnd"/>
            <w:r w:rsidRPr="006A49EA">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Dan </w:t>
            </w:r>
            <w:proofErr w:type="spellStart"/>
            <w:r>
              <w:rPr>
                <w:sz w:val="22"/>
                <w:szCs w:val="22"/>
                <w:lang w:val="en-US" w:eastAsia="en-US"/>
              </w:rPr>
              <w:t>Hovskär</w:t>
            </w:r>
            <w:proofErr w:type="spellEnd"/>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 xml:space="preserve">Per </w:t>
            </w:r>
            <w:proofErr w:type="spellStart"/>
            <w:r w:rsidRPr="006A49EA">
              <w:rPr>
                <w:sz w:val="22"/>
                <w:szCs w:val="22"/>
                <w:lang w:val="en-US" w:eastAsia="en-US"/>
              </w:rPr>
              <w:t>Bolund</w:t>
            </w:r>
            <w:proofErr w:type="spellEnd"/>
            <w:r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 xml:space="preserve">Helena </w:t>
            </w:r>
            <w:proofErr w:type="spellStart"/>
            <w:r>
              <w:rPr>
                <w:sz w:val="22"/>
                <w:szCs w:val="22"/>
                <w:lang w:eastAsia="en-US"/>
              </w:rPr>
              <w:t>Gellerman</w:t>
            </w:r>
            <w:proofErr w:type="spellEnd"/>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 xml:space="preserve">Håkan </w:t>
            </w:r>
            <w:proofErr w:type="spellStart"/>
            <w:r>
              <w:rPr>
                <w:sz w:val="22"/>
                <w:szCs w:val="22"/>
                <w:lang w:eastAsia="en-US"/>
              </w:rPr>
              <w:t>Svenneling</w:t>
            </w:r>
            <w:proofErr w:type="spellEnd"/>
            <w:r>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41C707D6" w:rsidR="0066010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B4D4C71" w:rsidR="0066010F" w:rsidRPr="00B40F4D" w:rsidRDefault="00C41B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B40F4D" w14:paraId="35BD90B4" w14:textId="77777777" w:rsidTr="00CA34AD">
        <w:trPr>
          <w:gridBefore w:val="1"/>
          <w:gridAfter w:val="2"/>
          <w:wBefore w:w="709" w:type="dxa"/>
          <w:wAfter w:w="1064" w:type="dxa"/>
          <w:tblHeader/>
        </w:trPr>
        <w:tc>
          <w:tcPr>
            <w:tcW w:w="5457" w:type="dxa"/>
            <w:gridSpan w:val="2"/>
          </w:tcPr>
          <w:p w14:paraId="7C7B2080" w14:textId="77777777" w:rsidR="00AF70B0" w:rsidRPr="00B40F4D" w:rsidRDefault="00AF70B0" w:rsidP="00CA34AD">
            <w:pPr>
              <w:tabs>
                <w:tab w:val="left" w:pos="1276"/>
              </w:tabs>
              <w:rPr>
                <w:sz w:val="22"/>
                <w:szCs w:val="22"/>
              </w:rPr>
            </w:pPr>
            <w:bookmarkStart w:id="0" w:name="_Hlk73713493"/>
            <w:r>
              <w:rPr>
                <w:sz w:val="22"/>
                <w:szCs w:val="22"/>
              </w:rPr>
              <w:lastRenderedPageBreak/>
              <w:br w:type="page"/>
            </w:r>
          </w:p>
          <w:p w14:paraId="1A9AC5A3" w14:textId="77777777"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14:paraId="3E9CD0DC" w14:textId="77777777" w:rsidR="00AF70B0" w:rsidRPr="00B40F4D" w:rsidRDefault="00AF70B0" w:rsidP="00CA34AD">
            <w:pPr>
              <w:tabs>
                <w:tab w:val="left" w:pos="1276"/>
              </w:tabs>
              <w:rPr>
                <w:sz w:val="22"/>
                <w:szCs w:val="22"/>
              </w:rPr>
            </w:pPr>
          </w:p>
        </w:tc>
        <w:tc>
          <w:tcPr>
            <w:tcW w:w="1701" w:type="dxa"/>
          </w:tcPr>
          <w:p w14:paraId="21056F2D" w14:textId="77777777" w:rsidR="00AF70B0" w:rsidRPr="00B40F4D" w:rsidRDefault="00AF70B0" w:rsidP="00CA34AD">
            <w:pPr>
              <w:tabs>
                <w:tab w:val="left" w:pos="1276"/>
              </w:tabs>
              <w:ind w:right="-212"/>
              <w:rPr>
                <w:b/>
                <w:sz w:val="22"/>
                <w:szCs w:val="22"/>
              </w:rPr>
            </w:pPr>
            <w:r w:rsidRPr="00B40F4D">
              <w:rPr>
                <w:b/>
                <w:sz w:val="22"/>
                <w:szCs w:val="22"/>
              </w:rPr>
              <w:t>Bilaga 2</w:t>
            </w:r>
          </w:p>
          <w:p w14:paraId="6886D05C" w14:textId="77777777" w:rsidR="00AF70B0" w:rsidRPr="00B40F4D" w:rsidRDefault="00AF70B0" w:rsidP="00CA34AD">
            <w:pPr>
              <w:tabs>
                <w:tab w:val="left" w:pos="1276"/>
              </w:tabs>
              <w:ind w:right="-212"/>
              <w:rPr>
                <w:sz w:val="22"/>
                <w:szCs w:val="22"/>
              </w:rPr>
            </w:pPr>
            <w:r w:rsidRPr="00B40F4D">
              <w:rPr>
                <w:sz w:val="22"/>
                <w:szCs w:val="22"/>
              </w:rPr>
              <w:t>till protokoll</w:t>
            </w:r>
          </w:p>
          <w:p w14:paraId="16F45069" w14:textId="7C08054C"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E2585E">
              <w:rPr>
                <w:sz w:val="22"/>
                <w:szCs w:val="22"/>
              </w:rPr>
              <w:t>48</w:t>
            </w:r>
          </w:p>
        </w:tc>
      </w:tr>
      <w:tr w:rsidR="00AF70B0" w:rsidRPr="00B40F4D" w14:paraId="782D72C8" w14:textId="77777777"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31C1DFE7" w14:textId="6F20A0B8" w:rsidR="00E2585E" w:rsidRDefault="00AF70B0" w:rsidP="00E2585E">
            <w:pPr>
              <w:tabs>
                <w:tab w:val="left" w:pos="11325"/>
              </w:tabs>
              <w:rPr>
                <w:b/>
                <w:bCs/>
                <w:sz w:val="22"/>
                <w:szCs w:val="22"/>
              </w:rPr>
            </w:pPr>
            <w:r w:rsidRPr="00B40F4D">
              <w:rPr>
                <w:b/>
                <w:bCs/>
                <w:sz w:val="22"/>
                <w:szCs w:val="22"/>
              </w:rPr>
              <w:t>Till MJU inkomna EU-dokument m.m.</w:t>
            </w:r>
            <w:r>
              <w:rPr>
                <w:b/>
                <w:bCs/>
                <w:sz w:val="22"/>
                <w:szCs w:val="22"/>
              </w:rPr>
              <w:t xml:space="preserve">  </w:t>
            </w:r>
            <w:r w:rsidR="00E2585E">
              <w:rPr>
                <w:b/>
                <w:bCs/>
                <w:sz w:val="22"/>
                <w:szCs w:val="22"/>
              </w:rPr>
              <w:t>9 maj – 14 juni 2023</w:t>
            </w:r>
          </w:p>
          <w:p w14:paraId="44652AF3" w14:textId="75B77536" w:rsidR="00AF70B0" w:rsidRPr="00B40F4D" w:rsidRDefault="00AF70B0" w:rsidP="00CA34AD">
            <w:pPr>
              <w:widowControl/>
              <w:rPr>
                <w:b/>
                <w:bCs/>
                <w:sz w:val="22"/>
                <w:szCs w:val="22"/>
              </w:rPr>
            </w:pPr>
          </w:p>
        </w:tc>
      </w:tr>
      <w:tr w:rsidR="00AF70B0" w:rsidRPr="00B40F4D" w14:paraId="510248A3" w14:textId="77777777"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02995FF1" w14:textId="77777777" w:rsidR="00AF70B0" w:rsidRPr="00B40F4D" w:rsidRDefault="00AF70B0" w:rsidP="00CA34A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AF70B0" w:rsidRPr="00B40F4D" w14:paraId="60C6313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5FA975E0" w14:textId="77777777" w:rsidR="00AF70B0" w:rsidRPr="00B40F4D" w:rsidRDefault="00AF70B0" w:rsidP="00CA34AD">
            <w:pPr>
              <w:rPr>
                <w:b/>
                <w:bCs/>
                <w:sz w:val="22"/>
                <w:szCs w:val="22"/>
              </w:rPr>
            </w:pPr>
            <w:r w:rsidRPr="00B40F4D">
              <w:rPr>
                <w:b/>
                <w:bCs/>
                <w:sz w:val="22"/>
                <w:szCs w:val="22"/>
              </w:rPr>
              <w:t>Beteckning</w:t>
            </w:r>
          </w:p>
        </w:tc>
        <w:tc>
          <w:tcPr>
            <w:tcW w:w="8874" w:type="dxa"/>
            <w:gridSpan w:val="5"/>
            <w:shd w:val="clear" w:color="auto" w:fill="auto"/>
            <w:vAlign w:val="center"/>
          </w:tcPr>
          <w:p w14:paraId="031BE8FF" w14:textId="77777777" w:rsidR="00AF70B0" w:rsidRPr="00B40F4D" w:rsidRDefault="00AF70B0" w:rsidP="00CA34AD">
            <w:pPr>
              <w:rPr>
                <w:b/>
                <w:bCs/>
                <w:sz w:val="22"/>
                <w:szCs w:val="22"/>
              </w:rPr>
            </w:pPr>
            <w:r w:rsidRPr="00B40F4D">
              <w:rPr>
                <w:b/>
                <w:bCs/>
                <w:sz w:val="22"/>
                <w:szCs w:val="22"/>
              </w:rPr>
              <w:t>Rubrik</w:t>
            </w:r>
          </w:p>
        </w:tc>
      </w:tr>
      <w:tr w:rsidR="00E2585E" w:rsidRPr="00B40F4D" w14:paraId="16F8940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5AD5C3" w14:textId="134CBA7C" w:rsidR="00E2585E" w:rsidRPr="00AF699B" w:rsidRDefault="00E2585E" w:rsidP="00E2585E">
            <w:pPr>
              <w:rPr>
                <w:b/>
                <w:bCs/>
                <w:sz w:val="22"/>
                <w:szCs w:val="22"/>
              </w:rPr>
            </w:pPr>
            <w:proofErr w:type="gramStart"/>
            <w:r w:rsidRPr="00E2585E">
              <w:rPr>
                <w:sz w:val="22"/>
                <w:szCs w:val="22"/>
                <w:lang w:val="en-GB"/>
              </w:rPr>
              <w:t>COM(</w:t>
            </w:r>
            <w:proofErr w:type="gramEnd"/>
            <w:r w:rsidRPr="00E2585E">
              <w:rPr>
                <w:sz w:val="22"/>
                <w:szCs w:val="22"/>
                <w:lang w:val="en-GB"/>
              </w:rPr>
              <w:t>2023) 217</w:t>
            </w:r>
          </w:p>
        </w:tc>
        <w:tc>
          <w:tcPr>
            <w:tcW w:w="8874" w:type="dxa"/>
            <w:gridSpan w:val="5"/>
            <w:shd w:val="clear" w:color="auto" w:fill="auto"/>
            <w:vAlign w:val="center"/>
          </w:tcPr>
          <w:p w14:paraId="6DC76EF5" w14:textId="3C9A24DE" w:rsidR="00E2585E" w:rsidRPr="00DB4DEA" w:rsidRDefault="00E2585E" w:rsidP="00E2585E">
            <w:pPr>
              <w:rPr>
                <w:bCs/>
                <w:sz w:val="22"/>
                <w:szCs w:val="22"/>
              </w:rPr>
            </w:pPr>
            <w:r w:rsidRPr="004E1769">
              <w:rPr>
                <w:sz w:val="22"/>
                <w:szCs w:val="22"/>
              </w:rPr>
              <w:t xml:space="preserve">Förslag till Europaparlamentets och rådets </w:t>
            </w:r>
            <w:r w:rsidRPr="00DC3325">
              <w:rPr>
                <w:b/>
                <w:bCs/>
                <w:sz w:val="22"/>
                <w:szCs w:val="22"/>
              </w:rPr>
              <w:t>förordning om tvätt- och rengöringsmedel och ytaktiva ämnen</w:t>
            </w:r>
            <w:r w:rsidRPr="004E1769">
              <w:rPr>
                <w:sz w:val="22"/>
                <w:szCs w:val="22"/>
              </w:rPr>
              <w:t>, om ändring av förordning (EU) 2019/1020 och om upphävande av förordning (EG) nr 648/2004</w:t>
            </w:r>
            <w:r w:rsidRPr="004E1769">
              <w:rPr>
                <w:sz w:val="22"/>
                <w:szCs w:val="22"/>
              </w:rPr>
              <w:br/>
            </w:r>
          </w:p>
        </w:tc>
      </w:tr>
      <w:tr w:rsidR="00E2585E" w:rsidRPr="00AF7893" w14:paraId="69262B6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53C774" w14:textId="2DC3AC96" w:rsidR="00E2585E" w:rsidRPr="00AF699B" w:rsidRDefault="00E2585E" w:rsidP="00E2585E">
            <w:pPr>
              <w:rPr>
                <w:b/>
                <w:bCs/>
                <w:sz w:val="22"/>
                <w:szCs w:val="22"/>
              </w:rPr>
            </w:pPr>
            <w:proofErr w:type="gramStart"/>
            <w:r w:rsidRPr="00E2585E">
              <w:rPr>
                <w:sz w:val="22"/>
                <w:szCs w:val="22"/>
                <w:lang w:val="en-GB"/>
              </w:rPr>
              <w:t>SWD(</w:t>
            </w:r>
            <w:proofErr w:type="gramEnd"/>
            <w:r w:rsidRPr="00E2585E">
              <w:rPr>
                <w:sz w:val="22"/>
                <w:szCs w:val="22"/>
                <w:lang w:val="en-GB"/>
              </w:rPr>
              <w:t>2023) 113</w:t>
            </w:r>
          </w:p>
        </w:tc>
        <w:tc>
          <w:tcPr>
            <w:tcW w:w="8874" w:type="dxa"/>
            <w:gridSpan w:val="5"/>
            <w:shd w:val="clear" w:color="auto" w:fill="auto"/>
            <w:vAlign w:val="center"/>
          </w:tcPr>
          <w:p w14:paraId="7E179117" w14:textId="0D625FF4" w:rsidR="00E2585E" w:rsidRPr="00DB4DEA" w:rsidRDefault="00E2585E" w:rsidP="00E2585E">
            <w:pPr>
              <w:rPr>
                <w:b/>
                <w:bCs/>
                <w:sz w:val="22"/>
                <w:szCs w:val="22"/>
              </w:rPr>
            </w:pPr>
            <w:r w:rsidRPr="003E6F0E">
              <w:rPr>
                <w:sz w:val="22"/>
                <w:szCs w:val="22"/>
                <w:lang w:val="en-GB"/>
              </w:rPr>
              <w:t>COMMISSION STAFF WORKING DOCUMENT Subsidiarity Grid Accompanying the document Proposal for a Regulation of the European Parliament and of the Council on detergents and surfactants, amending Regulation (EU) 2019/1020 and repealing Regulation (EC) No 648/2004</w:t>
            </w:r>
            <w:r w:rsidRPr="003E6F0E">
              <w:rPr>
                <w:sz w:val="22"/>
                <w:szCs w:val="22"/>
                <w:lang w:val="en-GB"/>
              </w:rPr>
              <w:br/>
            </w:r>
          </w:p>
        </w:tc>
      </w:tr>
      <w:tr w:rsidR="00E2585E" w:rsidRPr="00B40F4D" w14:paraId="5AD07B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5BAE42" w14:textId="697EBE2B" w:rsidR="00E2585E" w:rsidRPr="00AF699B" w:rsidRDefault="00E2585E" w:rsidP="00E2585E">
            <w:pPr>
              <w:rPr>
                <w:sz w:val="22"/>
                <w:szCs w:val="22"/>
              </w:rPr>
            </w:pPr>
            <w:proofErr w:type="gramStart"/>
            <w:r w:rsidRPr="00E2585E">
              <w:rPr>
                <w:sz w:val="22"/>
                <w:szCs w:val="22"/>
                <w:lang w:val="en-GB"/>
              </w:rPr>
              <w:t>SWD(</w:t>
            </w:r>
            <w:proofErr w:type="gramEnd"/>
            <w:r w:rsidRPr="00E2585E">
              <w:rPr>
                <w:sz w:val="22"/>
                <w:szCs w:val="22"/>
                <w:lang w:val="en-GB"/>
              </w:rPr>
              <w:t>2023) 114</w:t>
            </w:r>
          </w:p>
        </w:tc>
        <w:tc>
          <w:tcPr>
            <w:tcW w:w="8874" w:type="dxa"/>
            <w:gridSpan w:val="5"/>
            <w:shd w:val="clear" w:color="auto" w:fill="auto"/>
            <w:vAlign w:val="center"/>
          </w:tcPr>
          <w:p w14:paraId="703921BE" w14:textId="4F0CEB78" w:rsidR="00E2585E" w:rsidRPr="00612071" w:rsidRDefault="00E2585E" w:rsidP="00E2585E">
            <w:pPr>
              <w:rPr>
                <w:sz w:val="22"/>
                <w:szCs w:val="22"/>
              </w:rPr>
            </w:pPr>
            <w:r w:rsidRPr="003E6F0E">
              <w:rPr>
                <w:sz w:val="22"/>
                <w:szCs w:val="22"/>
                <w:lang w:val="en-GB"/>
              </w:rPr>
              <w:t>COMMISSION STAFF WORKING DOCUMENT IMPACT ASSESSMENT REPORT Accompanying the document Proposal for a Regulation of the European Parliament and of the Council on detergents and surfactants, amending Regulation (EU) 2019/1020 and repealing Regulation (EC) No 648/2004</w:t>
            </w:r>
            <w:r w:rsidRPr="003E6F0E">
              <w:rPr>
                <w:sz w:val="22"/>
                <w:szCs w:val="22"/>
                <w:lang w:val="en-GB"/>
              </w:rPr>
              <w:br/>
            </w:r>
          </w:p>
        </w:tc>
      </w:tr>
      <w:tr w:rsidR="00E2585E" w:rsidRPr="00B40F4D" w14:paraId="70F692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17D807" w14:textId="7ADA61B2" w:rsidR="00E2585E" w:rsidRPr="00AF699B" w:rsidRDefault="00E2585E" w:rsidP="00E2585E">
            <w:pPr>
              <w:rPr>
                <w:sz w:val="22"/>
                <w:szCs w:val="22"/>
              </w:rPr>
            </w:pPr>
            <w:proofErr w:type="gramStart"/>
            <w:r w:rsidRPr="00E2585E">
              <w:rPr>
                <w:sz w:val="22"/>
                <w:szCs w:val="22"/>
              </w:rPr>
              <w:t>SWD(</w:t>
            </w:r>
            <w:proofErr w:type="gramEnd"/>
            <w:r w:rsidRPr="00E2585E">
              <w:rPr>
                <w:sz w:val="22"/>
                <w:szCs w:val="22"/>
              </w:rPr>
              <w:t>2023) 115</w:t>
            </w:r>
          </w:p>
        </w:tc>
        <w:tc>
          <w:tcPr>
            <w:tcW w:w="8874" w:type="dxa"/>
            <w:gridSpan w:val="5"/>
            <w:shd w:val="clear" w:color="auto" w:fill="auto"/>
            <w:vAlign w:val="center"/>
          </w:tcPr>
          <w:p w14:paraId="2CC732DA" w14:textId="78B3668B" w:rsidR="00E2585E" w:rsidRPr="00612071" w:rsidRDefault="00E2585E" w:rsidP="00E2585E">
            <w:pPr>
              <w:rPr>
                <w:sz w:val="22"/>
                <w:szCs w:val="22"/>
              </w:rPr>
            </w:pPr>
            <w:r w:rsidRPr="004E1769">
              <w:rPr>
                <w:sz w:val="22"/>
                <w:szCs w:val="22"/>
              </w:rPr>
              <w:t>A</w:t>
            </w:r>
            <w:r>
              <w:rPr>
                <w:sz w:val="22"/>
                <w:szCs w:val="22"/>
              </w:rPr>
              <w:t xml:space="preserve">rbetsdokument </w:t>
            </w:r>
            <w:r w:rsidRPr="004E1769">
              <w:rPr>
                <w:sz w:val="22"/>
                <w:szCs w:val="22"/>
              </w:rPr>
              <w:t>från kommissionen</w:t>
            </w:r>
            <w:r>
              <w:rPr>
                <w:sz w:val="22"/>
                <w:szCs w:val="22"/>
              </w:rPr>
              <w:t>s</w:t>
            </w:r>
            <w:r w:rsidRPr="004E1769">
              <w:rPr>
                <w:sz w:val="22"/>
                <w:szCs w:val="22"/>
              </w:rPr>
              <w:t xml:space="preserve"> </w:t>
            </w:r>
            <w:r>
              <w:rPr>
                <w:sz w:val="22"/>
                <w:szCs w:val="22"/>
              </w:rPr>
              <w:t xml:space="preserve">avdelningar Sammanfattning av konsekvensbedömningsrapporten </w:t>
            </w:r>
            <w:proofErr w:type="gramStart"/>
            <w:r w:rsidRPr="004E1769">
              <w:rPr>
                <w:sz w:val="22"/>
                <w:szCs w:val="22"/>
              </w:rPr>
              <w:t>[ ]</w:t>
            </w:r>
            <w:proofErr w:type="gramEnd"/>
            <w:r w:rsidRPr="004E1769">
              <w:rPr>
                <w:sz w:val="22"/>
                <w:szCs w:val="22"/>
              </w:rPr>
              <w:t xml:space="preserve"> Följedokument till förslag till Europaparlamentets och rådets förordning om tvätt- och rengöringsmedel och ytaktiva ämnen, om ändring av förordning (EU) 2019/1020 och om upphävande av förordning (EG) nr 648/2004</w:t>
            </w:r>
            <w:r w:rsidRPr="004E1769">
              <w:rPr>
                <w:sz w:val="22"/>
                <w:szCs w:val="22"/>
              </w:rPr>
              <w:br/>
            </w:r>
          </w:p>
        </w:tc>
      </w:tr>
      <w:tr w:rsidR="00E2585E" w:rsidRPr="00AF7893" w14:paraId="0849015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BAF58" w14:textId="64964304" w:rsidR="00E2585E" w:rsidRPr="00AF699B" w:rsidRDefault="00E2585E" w:rsidP="00E2585E">
            <w:pPr>
              <w:rPr>
                <w:sz w:val="22"/>
                <w:szCs w:val="22"/>
              </w:rPr>
            </w:pPr>
            <w:proofErr w:type="gramStart"/>
            <w:r w:rsidRPr="000B3702">
              <w:rPr>
                <w:sz w:val="22"/>
                <w:szCs w:val="22"/>
                <w:lang w:val="en-GB"/>
              </w:rPr>
              <w:t>SEC(</w:t>
            </w:r>
            <w:proofErr w:type="gramEnd"/>
            <w:r w:rsidRPr="000B3702">
              <w:rPr>
                <w:sz w:val="22"/>
                <w:szCs w:val="22"/>
                <w:lang w:val="en-GB"/>
              </w:rPr>
              <w:t>2023) 170</w:t>
            </w:r>
          </w:p>
        </w:tc>
        <w:tc>
          <w:tcPr>
            <w:tcW w:w="8874" w:type="dxa"/>
            <w:gridSpan w:val="5"/>
            <w:shd w:val="clear" w:color="auto" w:fill="auto"/>
            <w:vAlign w:val="center"/>
          </w:tcPr>
          <w:p w14:paraId="5E629DB5" w14:textId="4C2CC91F" w:rsidR="00E2585E" w:rsidRPr="00B767FB" w:rsidRDefault="00E2585E" w:rsidP="00E2585E">
            <w:pPr>
              <w:rPr>
                <w:sz w:val="22"/>
                <w:szCs w:val="22"/>
              </w:rPr>
            </w:pPr>
            <w:r w:rsidRPr="006C51CF">
              <w:rPr>
                <w:sz w:val="22"/>
                <w:szCs w:val="22"/>
                <w:lang w:val="en-GB"/>
              </w:rPr>
              <w:t>REGULATORY SCRUTINY BOARD OPINION Proposal for a Regulation of the European Parliament and of the Council on detergents and surfactants, amending Regulation (EU) No 2019/1020 and repealing Regulation (EC) No 648/2004</w:t>
            </w:r>
            <w:r w:rsidRPr="006C51CF">
              <w:rPr>
                <w:sz w:val="22"/>
                <w:szCs w:val="22"/>
                <w:lang w:val="en-GB"/>
              </w:rPr>
              <w:br/>
            </w:r>
          </w:p>
        </w:tc>
      </w:tr>
      <w:tr w:rsidR="00E2585E" w:rsidRPr="00AF7893" w14:paraId="14D7B52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C47516" w14:textId="5752D054" w:rsidR="00E2585E" w:rsidRPr="00AF699B" w:rsidRDefault="00E2585E" w:rsidP="00E2585E">
            <w:pPr>
              <w:rPr>
                <w:sz w:val="22"/>
                <w:szCs w:val="22"/>
              </w:rPr>
            </w:pPr>
            <w:proofErr w:type="gramStart"/>
            <w:r w:rsidRPr="000B3702">
              <w:rPr>
                <w:sz w:val="22"/>
                <w:szCs w:val="22"/>
              </w:rPr>
              <w:t>COM(</w:t>
            </w:r>
            <w:proofErr w:type="gramEnd"/>
            <w:r w:rsidRPr="000B3702">
              <w:rPr>
                <w:sz w:val="22"/>
                <w:szCs w:val="22"/>
              </w:rPr>
              <w:t>2023) 236</w:t>
            </w:r>
          </w:p>
        </w:tc>
        <w:tc>
          <w:tcPr>
            <w:tcW w:w="8874" w:type="dxa"/>
            <w:gridSpan w:val="5"/>
            <w:shd w:val="clear" w:color="auto" w:fill="auto"/>
            <w:vAlign w:val="center"/>
          </w:tcPr>
          <w:p w14:paraId="52CCC613" w14:textId="5E78DAC4" w:rsidR="00E2585E" w:rsidRPr="003D0E13" w:rsidRDefault="00E2585E" w:rsidP="00E2585E">
            <w:pPr>
              <w:rPr>
                <w:b/>
                <w:bCs/>
                <w:sz w:val="22"/>
                <w:szCs w:val="22"/>
              </w:rPr>
            </w:pPr>
            <w:r w:rsidRPr="00D925ED">
              <w:rPr>
                <w:sz w:val="22"/>
                <w:szCs w:val="22"/>
              </w:rPr>
              <w:t xml:space="preserve">Förslag till rådets beslut om den ståndpunkt som ska intas på Europeiska unionens vägnar inom ramen för konventionen för </w:t>
            </w:r>
            <w:r w:rsidRPr="00D925ED">
              <w:rPr>
                <w:b/>
                <w:bCs/>
                <w:sz w:val="22"/>
                <w:szCs w:val="22"/>
              </w:rPr>
              <w:t xml:space="preserve">skydd av den marina miljön i Nordostatlanten vad gäller ändringar av beslutet om avgränsning av North Atlantic </w:t>
            </w:r>
            <w:proofErr w:type="spellStart"/>
            <w:r w:rsidRPr="00D925ED">
              <w:rPr>
                <w:b/>
                <w:bCs/>
                <w:sz w:val="22"/>
                <w:szCs w:val="22"/>
              </w:rPr>
              <w:t>Current</w:t>
            </w:r>
            <w:proofErr w:type="spellEnd"/>
            <w:r w:rsidRPr="00D925ED">
              <w:rPr>
                <w:b/>
                <w:bCs/>
                <w:sz w:val="22"/>
                <w:szCs w:val="22"/>
              </w:rPr>
              <w:t xml:space="preserve"> and </w:t>
            </w:r>
            <w:proofErr w:type="spellStart"/>
            <w:r w:rsidRPr="00D925ED">
              <w:rPr>
                <w:b/>
                <w:bCs/>
                <w:sz w:val="22"/>
                <w:szCs w:val="22"/>
              </w:rPr>
              <w:t>Evlanov</w:t>
            </w:r>
            <w:proofErr w:type="spellEnd"/>
            <w:r w:rsidRPr="00D925ED">
              <w:rPr>
                <w:b/>
                <w:bCs/>
                <w:sz w:val="22"/>
                <w:szCs w:val="22"/>
              </w:rPr>
              <w:t xml:space="preserve"> Sea </w:t>
            </w:r>
            <w:proofErr w:type="spellStart"/>
            <w:r w:rsidRPr="00D925ED">
              <w:rPr>
                <w:b/>
                <w:bCs/>
                <w:sz w:val="22"/>
                <w:szCs w:val="22"/>
              </w:rPr>
              <w:t>basin</w:t>
            </w:r>
            <w:proofErr w:type="spellEnd"/>
            <w:r w:rsidRPr="00D925ED">
              <w:rPr>
                <w:b/>
                <w:bCs/>
                <w:sz w:val="22"/>
                <w:szCs w:val="22"/>
              </w:rPr>
              <w:t xml:space="preserve"> Marine </w:t>
            </w:r>
            <w:proofErr w:type="spellStart"/>
            <w:r w:rsidRPr="00D925ED">
              <w:rPr>
                <w:b/>
                <w:bCs/>
                <w:sz w:val="22"/>
                <w:szCs w:val="22"/>
              </w:rPr>
              <w:t>Protected</w:t>
            </w:r>
            <w:proofErr w:type="spellEnd"/>
            <w:r w:rsidRPr="00D925ED">
              <w:rPr>
                <w:b/>
                <w:bCs/>
                <w:sz w:val="22"/>
                <w:szCs w:val="22"/>
              </w:rPr>
              <w:t xml:space="preserve"> Area </w:t>
            </w:r>
            <w:r w:rsidRPr="00D925ED">
              <w:rPr>
                <w:sz w:val="22"/>
                <w:szCs w:val="22"/>
              </w:rPr>
              <w:t>(NACES MPA) och ändringar av rekommendationen om skyddsområdets förvaltning</w:t>
            </w:r>
            <w:r w:rsidRPr="00D925ED">
              <w:rPr>
                <w:sz w:val="22"/>
                <w:szCs w:val="22"/>
              </w:rPr>
              <w:br/>
            </w:r>
          </w:p>
        </w:tc>
      </w:tr>
      <w:tr w:rsidR="00E2585E" w:rsidRPr="00AF7893" w14:paraId="1840EC6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81EE2B" w14:textId="1D1A79E8" w:rsidR="00E2585E" w:rsidRPr="00AF699B" w:rsidRDefault="00E2585E" w:rsidP="00E2585E">
            <w:pPr>
              <w:rPr>
                <w:sz w:val="22"/>
                <w:szCs w:val="22"/>
              </w:rPr>
            </w:pPr>
            <w:proofErr w:type="gramStart"/>
            <w:r w:rsidRPr="000B3702">
              <w:rPr>
                <w:sz w:val="22"/>
                <w:szCs w:val="22"/>
              </w:rPr>
              <w:t>COM(</w:t>
            </w:r>
            <w:proofErr w:type="gramEnd"/>
            <w:r w:rsidRPr="000B3702">
              <w:rPr>
                <w:sz w:val="22"/>
                <w:szCs w:val="22"/>
              </w:rPr>
              <w:t>2023) 251</w:t>
            </w:r>
          </w:p>
        </w:tc>
        <w:tc>
          <w:tcPr>
            <w:tcW w:w="8874" w:type="dxa"/>
            <w:gridSpan w:val="5"/>
            <w:shd w:val="clear" w:color="auto" w:fill="auto"/>
            <w:vAlign w:val="center"/>
          </w:tcPr>
          <w:p w14:paraId="689ADDEE" w14:textId="287F9E0C" w:rsidR="00E2585E" w:rsidRPr="003D0E13" w:rsidRDefault="00E2585E" w:rsidP="00E2585E">
            <w:pPr>
              <w:rPr>
                <w:b/>
                <w:bCs/>
                <w:sz w:val="22"/>
                <w:szCs w:val="22"/>
              </w:rPr>
            </w:pPr>
            <w:r w:rsidRPr="002F01A2">
              <w:rPr>
                <w:sz w:val="22"/>
                <w:szCs w:val="22"/>
              </w:rPr>
              <w:t xml:space="preserve">Förslag till rådets beslut om </w:t>
            </w:r>
            <w:r w:rsidRPr="0042180F">
              <w:rPr>
                <w:b/>
                <w:bCs/>
                <w:sz w:val="22"/>
                <w:szCs w:val="22"/>
              </w:rPr>
              <w:t>ingående</w:t>
            </w:r>
            <w:r w:rsidRPr="002F01A2">
              <w:rPr>
                <w:sz w:val="22"/>
                <w:szCs w:val="22"/>
              </w:rPr>
              <w:t xml:space="preserve">, på unionens vägnar, </w:t>
            </w:r>
            <w:r w:rsidRPr="0042180F">
              <w:rPr>
                <w:b/>
                <w:bCs/>
                <w:sz w:val="22"/>
                <w:szCs w:val="22"/>
              </w:rPr>
              <w:t>av protokollet</w:t>
            </w:r>
            <w:r w:rsidRPr="002F01A2">
              <w:rPr>
                <w:sz w:val="22"/>
                <w:szCs w:val="22"/>
              </w:rPr>
              <w:t xml:space="preserve"> om genomförandet av </w:t>
            </w:r>
            <w:r w:rsidRPr="0042180F">
              <w:rPr>
                <w:b/>
                <w:bCs/>
                <w:sz w:val="22"/>
                <w:szCs w:val="22"/>
              </w:rPr>
              <w:t>partnerskapsavtalet om fiske mellan Europeiska gemenskapen, å ena sidan, och Republiken Kiribati, å andra sidan</w:t>
            </w:r>
            <w:r w:rsidRPr="002F01A2">
              <w:rPr>
                <w:sz w:val="22"/>
                <w:szCs w:val="22"/>
              </w:rPr>
              <w:t xml:space="preserve"> (2023–2028)</w:t>
            </w:r>
            <w:r w:rsidRPr="002F01A2">
              <w:rPr>
                <w:sz w:val="22"/>
                <w:szCs w:val="22"/>
              </w:rPr>
              <w:br/>
            </w:r>
          </w:p>
        </w:tc>
      </w:tr>
      <w:tr w:rsidR="00E2585E" w:rsidRPr="00AF7893" w14:paraId="01F841C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03DB4B6" w14:textId="34D3CD45" w:rsidR="00E2585E" w:rsidRPr="00AF699B" w:rsidRDefault="00E2585E" w:rsidP="00E2585E">
            <w:pPr>
              <w:rPr>
                <w:sz w:val="22"/>
                <w:szCs w:val="22"/>
              </w:rPr>
            </w:pPr>
            <w:proofErr w:type="gramStart"/>
            <w:r w:rsidRPr="000B3702">
              <w:rPr>
                <w:sz w:val="22"/>
                <w:szCs w:val="22"/>
              </w:rPr>
              <w:t>COM(</w:t>
            </w:r>
            <w:proofErr w:type="gramEnd"/>
            <w:r w:rsidRPr="000B3702">
              <w:rPr>
                <w:sz w:val="22"/>
                <w:szCs w:val="22"/>
              </w:rPr>
              <w:t>2023) 252</w:t>
            </w:r>
          </w:p>
        </w:tc>
        <w:tc>
          <w:tcPr>
            <w:tcW w:w="8874" w:type="dxa"/>
            <w:gridSpan w:val="5"/>
            <w:shd w:val="clear" w:color="auto" w:fill="auto"/>
            <w:vAlign w:val="center"/>
          </w:tcPr>
          <w:p w14:paraId="2A4A5DAB" w14:textId="020650A7" w:rsidR="00E2585E" w:rsidRPr="003D0E13" w:rsidRDefault="00E2585E" w:rsidP="00E2585E">
            <w:pPr>
              <w:rPr>
                <w:b/>
                <w:bCs/>
                <w:sz w:val="22"/>
                <w:szCs w:val="22"/>
              </w:rPr>
            </w:pPr>
            <w:r w:rsidRPr="002F01A2">
              <w:rPr>
                <w:sz w:val="22"/>
                <w:szCs w:val="22"/>
              </w:rPr>
              <w:t xml:space="preserve">Förslag till rådets förordning om </w:t>
            </w:r>
            <w:r w:rsidRPr="0042180F">
              <w:rPr>
                <w:b/>
                <w:bCs/>
                <w:sz w:val="22"/>
                <w:szCs w:val="22"/>
              </w:rPr>
              <w:t>fördelning av fiskemöjligheterna</w:t>
            </w:r>
            <w:r w:rsidRPr="002F01A2">
              <w:rPr>
                <w:sz w:val="22"/>
                <w:szCs w:val="22"/>
              </w:rPr>
              <w:t xml:space="preserve"> enligt protokollet om genomförandet av partnerskapsavtalet om fiske </w:t>
            </w:r>
            <w:r w:rsidRPr="0042180F">
              <w:rPr>
                <w:b/>
                <w:bCs/>
                <w:sz w:val="22"/>
                <w:szCs w:val="22"/>
              </w:rPr>
              <w:t xml:space="preserve">mellan Europeiska gemenskapen, å ena sidan, och Republiken Kiribati, å andra sidan </w:t>
            </w:r>
            <w:r w:rsidRPr="002F01A2">
              <w:rPr>
                <w:sz w:val="22"/>
                <w:szCs w:val="22"/>
              </w:rPr>
              <w:t>(2023–2028)</w:t>
            </w:r>
            <w:r w:rsidRPr="002F01A2">
              <w:rPr>
                <w:sz w:val="22"/>
                <w:szCs w:val="22"/>
              </w:rPr>
              <w:br/>
            </w:r>
          </w:p>
        </w:tc>
      </w:tr>
      <w:tr w:rsidR="00E2585E" w:rsidRPr="00AF7893" w14:paraId="0892EDC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0830B5A" w14:textId="2B61A8FF" w:rsidR="00E2585E" w:rsidRPr="00AF699B" w:rsidRDefault="00E2585E" w:rsidP="00E2585E">
            <w:pPr>
              <w:rPr>
                <w:sz w:val="22"/>
                <w:szCs w:val="22"/>
              </w:rPr>
            </w:pPr>
            <w:proofErr w:type="gramStart"/>
            <w:r w:rsidRPr="000B3702">
              <w:rPr>
                <w:sz w:val="22"/>
                <w:szCs w:val="22"/>
              </w:rPr>
              <w:t>COM(</w:t>
            </w:r>
            <w:proofErr w:type="gramEnd"/>
            <w:r w:rsidRPr="000B3702">
              <w:rPr>
                <w:sz w:val="22"/>
                <w:szCs w:val="22"/>
              </w:rPr>
              <w:t>2023) 253</w:t>
            </w:r>
          </w:p>
        </w:tc>
        <w:tc>
          <w:tcPr>
            <w:tcW w:w="8874" w:type="dxa"/>
            <w:gridSpan w:val="5"/>
            <w:shd w:val="clear" w:color="auto" w:fill="auto"/>
            <w:vAlign w:val="center"/>
          </w:tcPr>
          <w:p w14:paraId="4E575CE0" w14:textId="7FAD1307" w:rsidR="00E2585E" w:rsidRPr="003D0E13" w:rsidRDefault="00E2585E" w:rsidP="00E2585E">
            <w:pPr>
              <w:rPr>
                <w:b/>
                <w:bCs/>
                <w:sz w:val="22"/>
                <w:szCs w:val="22"/>
              </w:rPr>
            </w:pPr>
            <w:r w:rsidRPr="002F01A2">
              <w:rPr>
                <w:sz w:val="22"/>
                <w:szCs w:val="22"/>
              </w:rPr>
              <w:t xml:space="preserve">Förslag till rådets beslut om </w:t>
            </w:r>
            <w:r w:rsidRPr="0042180F">
              <w:rPr>
                <w:b/>
                <w:bCs/>
                <w:sz w:val="22"/>
                <w:szCs w:val="22"/>
              </w:rPr>
              <w:t>undertecknande, på unionens vägnar</w:t>
            </w:r>
            <w:r w:rsidRPr="002F01A2">
              <w:rPr>
                <w:sz w:val="22"/>
                <w:szCs w:val="22"/>
              </w:rPr>
              <w:t xml:space="preserve">, och provisorisk tillämpning </w:t>
            </w:r>
            <w:r w:rsidRPr="0042180F">
              <w:rPr>
                <w:b/>
                <w:bCs/>
                <w:sz w:val="22"/>
                <w:szCs w:val="22"/>
              </w:rPr>
              <w:t>av protokollet</w:t>
            </w:r>
            <w:r w:rsidRPr="002F01A2">
              <w:rPr>
                <w:sz w:val="22"/>
                <w:szCs w:val="22"/>
              </w:rPr>
              <w:t xml:space="preserve"> om genomförandet av partnerskapsavtalet </w:t>
            </w:r>
            <w:r w:rsidRPr="0042180F">
              <w:rPr>
                <w:b/>
                <w:bCs/>
                <w:sz w:val="22"/>
                <w:szCs w:val="22"/>
              </w:rPr>
              <w:t>om fiske mellan Europeiska gemenskapen, å ena sidan, och Republiken Kiribati, å andra sidan</w:t>
            </w:r>
            <w:r w:rsidRPr="002F01A2">
              <w:rPr>
                <w:sz w:val="22"/>
                <w:szCs w:val="22"/>
              </w:rPr>
              <w:t xml:space="preserve"> (2023–2028)</w:t>
            </w:r>
            <w:r w:rsidRPr="002F01A2">
              <w:rPr>
                <w:sz w:val="22"/>
                <w:szCs w:val="22"/>
              </w:rPr>
              <w:br/>
            </w:r>
          </w:p>
        </w:tc>
      </w:tr>
      <w:tr w:rsidR="00E2585E" w:rsidRPr="00AF7893" w14:paraId="1BA0F8C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B227D1F" w14:textId="0D5444F3" w:rsidR="00E2585E" w:rsidRPr="00AF699B" w:rsidRDefault="00E2585E" w:rsidP="00E2585E">
            <w:pPr>
              <w:rPr>
                <w:sz w:val="22"/>
                <w:szCs w:val="22"/>
              </w:rPr>
            </w:pPr>
            <w:proofErr w:type="gramStart"/>
            <w:r w:rsidRPr="000B3702">
              <w:rPr>
                <w:sz w:val="22"/>
                <w:szCs w:val="22"/>
              </w:rPr>
              <w:t>COM(</w:t>
            </w:r>
            <w:proofErr w:type="gramEnd"/>
            <w:r w:rsidRPr="000B3702">
              <w:rPr>
                <w:sz w:val="22"/>
                <w:szCs w:val="22"/>
              </w:rPr>
              <w:t>2023) 276</w:t>
            </w:r>
          </w:p>
        </w:tc>
        <w:tc>
          <w:tcPr>
            <w:tcW w:w="8874" w:type="dxa"/>
            <w:gridSpan w:val="5"/>
            <w:shd w:val="clear" w:color="auto" w:fill="auto"/>
            <w:vAlign w:val="center"/>
          </w:tcPr>
          <w:p w14:paraId="6526C6AE" w14:textId="38B74F8B" w:rsidR="00E2585E" w:rsidRPr="003D0E13" w:rsidRDefault="00E2585E" w:rsidP="00E2585E">
            <w:pPr>
              <w:rPr>
                <w:b/>
                <w:bCs/>
                <w:sz w:val="22"/>
                <w:szCs w:val="22"/>
              </w:rPr>
            </w:pPr>
            <w:r w:rsidRPr="004E1769">
              <w:rPr>
                <w:sz w:val="22"/>
                <w:szCs w:val="22"/>
              </w:rPr>
              <w:t xml:space="preserve">Förslag till RÅDETS FÖRORDNING om ändring av förordning (EU) 2022/109 av den 27 januari 2022 om </w:t>
            </w:r>
            <w:r w:rsidRPr="00DC3325">
              <w:rPr>
                <w:b/>
                <w:bCs/>
                <w:sz w:val="22"/>
                <w:szCs w:val="22"/>
              </w:rPr>
              <w:t>fastställande för 2022 av fiskemöjligheterna avseende vissa fiskbestånd och grupper av fiskbestånd i unionens vatten och, för unionsfiskefartyg</w:t>
            </w:r>
            <w:r w:rsidRPr="004E1769">
              <w:rPr>
                <w:sz w:val="22"/>
                <w:szCs w:val="22"/>
              </w:rPr>
              <w:t>, i vissa andra vatten, och av förordning (EU) 2023/194 av den 30 januari 2023 om</w:t>
            </w:r>
            <w:r w:rsidRPr="00DC3325">
              <w:rPr>
                <w:b/>
                <w:bCs/>
                <w:sz w:val="22"/>
                <w:szCs w:val="22"/>
              </w:rPr>
              <w:t xml:space="preserve"> fastställande för 2023 av fiskemöjligheterna avseende vissa fiskbestånd</w:t>
            </w:r>
            <w:r w:rsidRPr="004E1769">
              <w:rPr>
                <w:sz w:val="22"/>
                <w:szCs w:val="22"/>
              </w:rPr>
              <w:t xml:space="preserve">, i unionens vatten, och för unionsfiskefartyg, i vissa andra vatten, samt om </w:t>
            </w:r>
            <w:r w:rsidRPr="00DC3325">
              <w:rPr>
                <w:b/>
                <w:bCs/>
                <w:sz w:val="22"/>
                <w:szCs w:val="22"/>
              </w:rPr>
              <w:t>fastställande för 2023 och 2024 av sådana fiskemöjligheter avseende vissa djuphavsbestånd</w:t>
            </w:r>
            <w:r w:rsidRPr="004E1769">
              <w:rPr>
                <w:sz w:val="22"/>
                <w:szCs w:val="22"/>
              </w:rPr>
              <w:br/>
            </w:r>
          </w:p>
        </w:tc>
      </w:tr>
      <w:tr w:rsidR="00E2585E" w:rsidRPr="00AF7893" w14:paraId="5569067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091F164" w14:textId="31789618" w:rsidR="00E2585E" w:rsidRPr="00AF699B" w:rsidRDefault="00E2585E" w:rsidP="00E2585E">
            <w:pPr>
              <w:rPr>
                <w:sz w:val="22"/>
                <w:szCs w:val="22"/>
              </w:rPr>
            </w:pPr>
            <w:proofErr w:type="gramStart"/>
            <w:r w:rsidRPr="000B3702">
              <w:rPr>
                <w:sz w:val="22"/>
                <w:szCs w:val="22"/>
              </w:rPr>
              <w:lastRenderedPageBreak/>
              <w:t>COM(</w:t>
            </w:r>
            <w:proofErr w:type="gramEnd"/>
            <w:r w:rsidRPr="000B3702">
              <w:rPr>
                <w:sz w:val="22"/>
                <w:szCs w:val="22"/>
              </w:rPr>
              <w:t>2023) 301</w:t>
            </w:r>
          </w:p>
        </w:tc>
        <w:tc>
          <w:tcPr>
            <w:tcW w:w="8874" w:type="dxa"/>
            <w:gridSpan w:val="5"/>
            <w:shd w:val="clear" w:color="auto" w:fill="auto"/>
            <w:vAlign w:val="center"/>
          </w:tcPr>
          <w:p w14:paraId="39E65C20" w14:textId="454D07B3" w:rsidR="00E2585E" w:rsidRPr="003D0E13" w:rsidRDefault="00E2585E" w:rsidP="00E2585E">
            <w:pPr>
              <w:rPr>
                <w:b/>
                <w:bCs/>
                <w:sz w:val="22"/>
                <w:szCs w:val="22"/>
              </w:rPr>
            </w:pPr>
            <w:r w:rsidRPr="00AA50CC">
              <w:rPr>
                <w:sz w:val="22"/>
                <w:szCs w:val="22"/>
              </w:rPr>
              <w:t xml:space="preserve">RAPPORT från kommissionen till Europaparlamentet och rådet om utövandet av </w:t>
            </w:r>
            <w:r w:rsidRPr="00AA50CC">
              <w:rPr>
                <w:b/>
                <w:bCs/>
                <w:sz w:val="22"/>
                <w:szCs w:val="22"/>
              </w:rPr>
              <w:t>befogenheten att anta delegerade akter</w:t>
            </w:r>
            <w:r w:rsidRPr="00AA50CC">
              <w:rPr>
                <w:sz w:val="22"/>
                <w:szCs w:val="22"/>
              </w:rPr>
              <w:t xml:space="preserve"> som tilldelats kommissionen genom förordning (EG) nr 166/2006 om </w:t>
            </w:r>
            <w:r w:rsidRPr="00AA50CC">
              <w:rPr>
                <w:b/>
                <w:bCs/>
                <w:sz w:val="22"/>
                <w:szCs w:val="22"/>
              </w:rPr>
              <w:t>upprättande av ett europeiskt register över utsläpp och överföringar av föroreningar o</w:t>
            </w:r>
            <w:r w:rsidRPr="00AA50CC">
              <w:rPr>
                <w:sz w:val="22"/>
                <w:szCs w:val="22"/>
              </w:rPr>
              <w:t>ch om ändring av rådets direktiv 91/689/EEG och 96/61/EG</w:t>
            </w:r>
            <w:r w:rsidRPr="00AA50CC">
              <w:rPr>
                <w:sz w:val="22"/>
                <w:szCs w:val="22"/>
              </w:rPr>
              <w:br/>
            </w:r>
          </w:p>
        </w:tc>
      </w:tr>
      <w:tr w:rsidR="00E2585E" w:rsidRPr="00AF7893" w14:paraId="60C5D78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2BB3391" w14:textId="2853FC8E" w:rsidR="00E2585E" w:rsidRPr="00AF699B" w:rsidRDefault="00E2585E" w:rsidP="00E2585E">
            <w:pPr>
              <w:rPr>
                <w:sz w:val="22"/>
                <w:szCs w:val="22"/>
              </w:rPr>
            </w:pPr>
            <w:r>
              <w:br/>
            </w:r>
            <w:proofErr w:type="gramStart"/>
            <w:r w:rsidRPr="000B3702">
              <w:t>COM(</w:t>
            </w:r>
            <w:proofErr w:type="gramEnd"/>
            <w:r w:rsidRPr="000B3702">
              <w:t>2023) 303</w:t>
            </w:r>
          </w:p>
        </w:tc>
        <w:tc>
          <w:tcPr>
            <w:tcW w:w="8874" w:type="dxa"/>
            <w:gridSpan w:val="5"/>
            <w:shd w:val="clear" w:color="auto" w:fill="auto"/>
            <w:vAlign w:val="center"/>
          </w:tcPr>
          <w:p w14:paraId="59EAF22B" w14:textId="77777777" w:rsidR="00E2585E" w:rsidRDefault="00E2585E" w:rsidP="00E2585E">
            <w:r>
              <w:t xml:space="preserve">Meddelande från kommissionen till Europaparlamentet och rådet </w:t>
            </w:r>
            <w:r w:rsidRPr="004C7721">
              <w:rPr>
                <w:b/>
                <w:bCs/>
              </w:rPr>
              <w:t>Hållbart fiske i EU</w:t>
            </w:r>
            <w:r>
              <w:t>: lägesrapport och riktlinjer för 2024</w:t>
            </w:r>
          </w:p>
          <w:p w14:paraId="42B62568" w14:textId="77777777" w:rsidR="00E2585E" w:rsidRPr="003D0E13" w:rsidRDefault="00E2585E" w:rsidP="00E2585E">
            <w:pPr>
              <w:rPr>
                <w:b/>
                <w:bCs/>
                <w:sz w:val="22"/>
                <w:szCs w:val="22"/>
              </w:rPr>
            </w:pPr>
          </w:p>
        </w:tc>
      </w:tr>
      <w:tr w:rsidR="00E2585E" w:rsidRPr="00AF7893" w14:paraId="62E8C7C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8545E0" w14:textId="34DF11DC" w:rsidR="00E2585E" w:rsidRPr="00AF699B" w:rsidRDefault="00E2585E" w:rsidP="00E2585E">
            <w:pPr>
              <w:rPr>
                <w:sz w:val="22"/>
                <w:szCs w:val="22"/>
              </w:rPr>
            </w:pPr>
            <w:proofErr w:type="gramStart"/>
            <w:r w:rsidRPr="000B3702">
              <w:rPr>
                <w:lang w:val="en-GB"/>
              </w:rPr>
              <w:t>SWD(</w:t>
            </w:r>
            <w:proofErr w:type="gramEnd"/>
            <w:r w:rsidRPr="000B3702">
              <w:rPr>
                <w:lang w:val="en-GB"/>
              </w:rPr>
              <w:t>2023) 172</w:t>
            </w:r>
          </w:p>
        </w:tc>
        <w:tc>
          <w:tcPr>
            <w:tcW w:w="8874" w:type="dxa"/>
            <w:gridSpan w:val="5"/>
            <w:shd w:val="clear" w:color="auto" w:fill="auto"/>
            <w:vAlign w:val="center"/>
          </w:tcPr>
          <w:p w14:paraId="2BD69A43" w14:textId="6BF72F6E" w:rsidR="00E2585E" w:rsidRPr="003D0E13" w:rsidRDefault="00E2585E" w:rsidP="00E2585E">
            <w:pPr>
              <w:rPr>
                <w:b/>
                <w:bCs/>
                <w:sz w:val="22"/>
                <w:szCs w:val="22"/>
              </w:rPr>
            </w:pPr>
            <w:r w:rsidRPr="00AD71D8">
              <w:rPr>
                <w:lang w:val="en-GB"/>
              </w:rPr>
              <w:t>COMMISSION STAFF WORKING DOCUMENT Accompanying the document COMMUNICATION FROM THE COMMISSION TO THE EUROPEAN PARLIAMENT AND THE COUNCIL Sustainable fishing in the EU: state of play and orientations for 2024</w:t>
            </w:r>
          </w:p>
        </w:tc>
      </w:tr>
      <w:tr w:rsidR="00E2585E" w:rsidRPr="00AF7893" w14:paraId="6017EB0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A137E64" w14:textId="27362B28" w:rsidR="00E2585E" w:rsidRDefault="00E2585E" w:rsidP="00E2585E">
            <w:proofErr w:type="gramStart"/>
            <w:r w:rsidRPr="000B3702">
              <w:rPr>
                <w:sz w:val="22"/>
                <w:szCs w:val="22"/>
              </w:rPr>
              <w:t>COM(</w:t>
            </w:r>
            <w:proofErr w:type="gramEnd"/>
            <w:r w:rsidRPr="000B3702">
              <w:rPr>
                <w:sz w:val="22"/>
                <w:szCs w:val="22"/>
              </w:rPr>
              <w:t>2023) 304</w:t>
            </w:r>
          </w:p>
        </w:tc>
        <w:tc>
          <w:tcPr>
            <w:tcW w:w="8874" w:type="dxa"/>
            <w:gridSpan w:val="5"/>
            <w:shd w:val="clear" w:color="auto" w:fill="auto"/>
            <w:vAlign w:val="center"/>
          </w:tcPr>
          <w:p w14:paraId="28E4798D" w14:textId="43182F76" w:rsidR="00E2585E" w:rsidRPr="00AD71D8" w:rsidRDefault="00E2585E" w:rsidP="00E2585E">
            <w:pPr>
              <w:rPr>
                <w:lang w:val="en-GB"/>
              </w:rPr>
            </w:pPr>
            <w:r w:rsidRPr="000C7F62">
              <w:rPr>
                <w:sz w:val="22"/>
                <w:szCs w:val="22"/>
              </w:rPr>
              <w:t xml:space="preserve">RAPPORT från kommissionen till Europaparlamentet, rådet, </w:t>
            </w:r>
            <w:proofErr w:type="gramStart"/>
            <w:r w:rsidRPr="000C7F62">
              <w:rPr>
                <w:sz w:val="22"/>
                <w:szCs w:val="22"/>
              </w:rPr>
              <w:t>Europeiska</w:t>
            </w:r>
            <w:proofErr w:type="gramEnd"/>
            <w:r w:rsidRPr="000C7F62">
              <w:rPr>
                <w:sz w:val="22"/>
                <w:szCs w:val="22"/>
              </w:rPr>
              <w:t xml:space="preserve"> ekonomiska och sociala kommittén SAMT Regionkommittén om </w:t>
            </w:r>
            <w:r w:rsidRPr="000C7F62">
              <w:rPr>
                <w:b/>
                <w:bCs/>
                <w:sz w:val="22"/>
                <w:szCs w:val="22"/>
              </w:rPr>
              <w:t>identifiering av de medlemsstater som riskerar att inte uppfylla 2025 års mål för förberedelse för återanvändning och materialåtervinning av kommunalt avfall, 2025 års mål för materialåtervinning av förpackningsavfall och 2035 års mål för minskning av deponering av kommunalt avfall</w:t>
            </w:r>
            <w:r w:rsidRPr="000C7F62">
              <w:rPr>
                <w:sz w:val="22"/>
                <w:szCs w:val="22"/>
              </w:rPr>
              <w:br/>
            </w:r>
          </w:p>
        </w:tc>
      </w:tr>
      <w:tr w:rsidR="00E2585E" w:rsidRPr="00AF7893" w14:paraId="1EF0F17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DF89697" w14:textId="143703A4" w:rsidR="00E2585E" w:rsidRDefault="00E2585E" w:rsidP="00E2585E">
            <w:proofErr w:type="gramStart"/>
            <w:r w:rsidRPr="000B3702">
              <w:rPr>
                <w:sz w:val="22"/>
                <w:szCs w:val="22"/>
              </w:rPr>
              <w:t>SWD(</w:t>
            </w:r>
            <w:proofErr w:type="gramEnd"/>
            <w:r w:rsidRPr="000B3702">
              <w:rPr>
                <w:sz w:val="22"/>
                <w:szCs w:val="22"/>
              </w:rPr>
              <w:t>2023) 175</w:t>
            </w:r>
          </w:p>
        </w:tc>
        <w:tc>
          <w:tcPr>
            <w:tcW w:w="8874" w:type="dxa"/>
            <w:gridSpan w:val="5"/>
            <w:shd w:val="clear" w:color="auto" w:fill="auto"/>
            <w:vAlign w:val="center"/>
          </w:tcPr>
          <w:p w14:paraId="14B5D675" w14:textId="14E61A09" w:rsidR="00E2585E" w:rsidRPr="00AD71D8" w:rsidRDefault="00E2585E" w:rsidP="00E2585E">
            <w:pPr>
              <w:rPr>
                <w:lang w:val="en-GB"/>
              </w:rPr>
            </w:pPr>
            <w:r w:rsidRPr="00497BA1">
              <w:rPr>
                <w:sz w:val="22"/>
                <w:szCs w:val="22"/>
              </w:rPr>
              <w:t xml:space="preserve">ARBETSDOKUMENT från </w:t>
            </w:r>
            <w:proofErr w:type="spellStart"/>
            <w:r w:rsidRPr="00497BA1">
              <w:rPr>
                <w:sz w:val="22"/>
                <w:szCs w:val="22"/>
              </w:rPr>
              <w:t>kommissionenS</w:t>
            </w:r>
            <w:proofErr w:type="spellEnd"/>
            <w:r w:rsidRPr="00497BA1">
              <w:rPr>
                <w:sz w:val="22"/>
                <w:szCs w:val="22"/>
              </w:rPr>
              <w:t xml:space="preserve"> AVDELNINGAR Rapport om tidig varning avseende Finland Följedokument till Rapport från kommissionen till Europaparlamentet, rådet, </w:t>
            </w:r>
            <w:proofErr w:type="gramStart"/>
            <w:r w:rsidRPr="00497BA1">
              <w:rPr>
                <w:sz w:val="22"/>
                <w:szCs w:val="22"/>
              </w:rPr>
              <w:t>Europeiska</w:t>
            </w:r>
            <w:proofErr w:type="gramEnd"/>
            <w:r w:rsidRPr="00497BA1">
              <w:rPr>
                <w:sz w:val="22"/>
                <w:szCs w:val="22"/>
              </w:rPr>
              <w:t xml:space="preserve"> ekonomiska och sociala kommittén samt Regionkommittén med fastställande av vilka medlemsstater som riskerar att inte uppfylla målen för materialåtervinning av kommunalt avfall och förpackningsavfall till 2025 och målet för minskning av deponering av avfall till 2035</w:t>
            </w:r>
            <w:r w:rsidRPr="00497BA1">
              <w:rPr>
                <w:sz w:val="22"/>
                <w:szCs w:val="22"/>
              </w:rPr>
              <w:br/>
            </w:r>
          </w:p>
        </w:tc>
      </w:tr>
      <w:tr w:rsidR="00E2585E" w:rsidRPr="00AF7893" w14:paraId="128602B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98910B8" w14:textId="3CAB2CCE" w:rsidR="00E2585E" w:rsidRDefault="00E2585E" w:rsidP="00E2585E">
            <w:proofErr w:type="gramStart"/>
            <w:r w:rsidRPr="000B3702">
              <w:rPr>
                <w:sz w:val="22"/>
                <w:szCs w:val="22"/>
                <w:lang w:val="en-GB"/>
              </w:rPr>
              <w:t>SWD(</w:t>
            </w:r>
            <w:proofErr w:type="gramEnd"/>
            <w:r w:rsidRPr="000B3702">
              <w:rPr>
                <w:sz w:val="22"/>
                <w:szCs w:val="22"/>
                <w:lang w:val="en-GB"/>
              </w:rPr>
              <w:t>2023) 176</w:t>
            </w:r>
          </w:p>
        </w:tc>
        <w:tc>
          <w:tcPr>
            <w:tcW w:w="8874" w:type="dxa"/>
            <w:gridSpan w:val="5"/>
            <w:shd w:val="clear" w:color="auto" w:fill="auto"/>
            <w:vAlign w:val="center"/>
          </w:tcPr>
          <w:p w14:paraId="6A532381" w14:textId="3663A5FD" w:rsidR="00E2585E" w:rsidRPr="00AD71D8" w:rsidRDefault="00E2585E" w:rsidP="00E2585E">
            <w:pPr>
              <w:rPr>
                <w:lang w:val="en-GB"/>
              </w:rPr>
            </w:pPr>
            <w:r w:rsidRPr="00497BA1">
              <w:rPr>
                <w:sz w:val="22"/>
                <w:szCs w:val="22"/>
                <w:lang w:val="en-GB"/>
              </w:rPr>
              <w:t xml:space="preserve">COMMISSION STAFF WORKING DOCUMENT The early warning report for Bulgaria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06A79E2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C0966F2" w14:textId="4DF21A3E" w:rsidR="00E2585E" w:rsidRDefault="00E2585E" w:rsidP="00E2585E">
            <w:proofErr w:type="gramStart"/>
            <w:r w:rsidRPr="000B3702">
              <w:rPr>
                <w:sz w:val="22"/>
                <w:szCs w:val="22"/>
                <w:lang w:val="en-GB"/>
              </w:rPr>
              <w:t>SWD(</w:t>
            </w:r>
            <w:proofErr w:type="gramEnd"/>
            <w:r w:rsidRPr="000B3702">
              <w:rPr>
                <w:sz w:val="22"/>
                <w:szCs w:val="22"/>
                <w:lang w:val="en-GB"/>
              </w:rPr>
              <w:t>2023) 180</w:t>
            </w:r>
          </w:p>
        </w:tc>
        <w:tc>
          <w:tcPr>
            <w:tcW w:w="8874" w:type="dxa"/>
            <w:gridSpan w:val="5"/>
            <w:shd w:val="clear" w:color="auto" w:fill="auto"/>
            <w:vAlign w:val="center"/>
          </w:tcPr>
          <w:p w14:paraId="1FBF3D83" w14:textId="64804818" w:rsidR="00E2585E" w:rsidRPr="00AD71D8" w:rsidRDefault="00E2585E" w:rsidP="00E2585E">
            <w:pPr>
              <w:rPr>
                <w:lang w:val="en-GB"/>
              </w:rPr>
            </w:pPr>
            <w:r w:rsidRPr="00497BA1">
              <w:rPr>
                <w:sz w:val="22"/>
                <w:szCs w:val="22"/>
                <w:lang w:val="en-GB"/>
              </w:rPr>
              <w:t xml:space="preserve">COMMISSION STAFF WORKING DOCUMENT The early warning report for Estonia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242AAD5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F59AA54" w14:textId="126CF7F6" w:rsidR="00E2585E" w:rsidRDefault="00E2585E" w:rsidP="00E2585E">
            <w:proofErr w:type="gramStart"/>
            <w:r w:rsidRPr="000B3702">
              <w:rPr>
                <w:sz w:val="22"/>
                <w:szCs w:val="22"/>
                <w:lang w:val="en-GB"/>
              </w:rPr>
              <w:t>SWD(</w:t>
            </w:r>
            <w:proofErr w:type="gramEnd"/>
            <w:r w:rsidRPr="000B3702">
              <w:rPr>
                <w:sz w:val="22"/>
                <w:szCs w:val="22"/>
                <w:lang w:val="en-GB"/>
              </w:rPr>
              <w:t>2023) 181</w:t>
            </w:r>
          </w:p>
        </w:tc>
        <w:tc>
          <w:tcPr>
            <w:tcW w:w="8874" w:type="dxa"/>
            <w:gridSpan w:val="5"/>
            <w:shd w:val="clear" w:color="auto" w:fill="auto"/>
            <w:vAlign w:val="center"/>
          </w:tcPr>
          <w:p w14:paraId="0DE84EFB" w14:textId="39DF0F7B" w:rsidR="00E2585E" w:rsidRPr="00AD71D8" w:rsidRDefault="00E2585E" w:rsidP="00E2585E">
            <w:pPr>
              <w:rPr>
                <w:lang w:val="en-GB"/>
              </w:rPr>
            </w:pPr>
            <w:r w:rsidRPr="00497BA1">
              <w:rPr>
                <w:sz w:val="22"/>
                <w:szCs w:val="22"/>
                <w:lang w:val="en-GB"/>
              </w:rPr>
              <w:t xml:space="preserve">COMMISSION STAFF WORKING DOCUMENT The early warning report for Ireland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7076692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815C1FC" w14:textId="0912FF2E" w:rsidR="00E2585E" w:rsidRDefault="00E2585E" w:rsidP="00E2585E">
            <w:proofErr w:type="gramStart"/>
            <w:r w:rsidRPr="000B3702">
              <w:rPr>
                <w:sz w:val="22"/>
                <w:szCs w:val="22"/>
                <w:lang w:val="en-GB"/>
              </w:rPr>
              <w:t>SWD(</w:t>
            </w:r>
            <w:proofErr w:type="gramEnd"/>
            <w:r w:rsidRPr="000B3702">
              <w:rPr>
                <w:sz w:val="22"/>
                <w:szCs w:val="22"/>
                <w:lang w:val="en-GB"/>
              </w:rPr>
              <w:t>2023) 182</w:t>
            </w:r>
          </w:p>
        </w:tc>
        <w:tc>
          <w:tcPr>
            <w:tcW w:w="8874" w:type="dxa"/>
            <w:gridSpan w:val="5"/>
            <w:shd w:val="clear" w:color="auto" w:fill="auto"/>
            <w:vAlign w:val="center"/>
          </w:tcPr>
          <w:p w14:paraId="15BF8C4F" w14:textId="17D41D04" w:rsidR="00E2585E" w:rsidRPr="00AD71D8" w:rsidRDefault="00E2585E" w:rsidP="00E2585E">
            <w:pPr>
              <w:rPr>
                <w:lang w:val="en-GB"/>
              </w:rPr>
            </w:pPr>
            <w:r w:rsidRPr="00497BA1">
              <w:rPr>
                <w:sz w:val="22"/>
                <w:szCs w:val="22"/>
                <w:lang w:val="en-GB"/>
              </w:rPr>
              <w:t xml:space="preserve">COMMISSION STAFF WORKING DOCUMENT The early warning report for Greece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7C49851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2915CFE" w14:textId="42BB5D6B" w:rsidR="00E2585E" w:rsidRDefault="00E2585E" w:rsidP="00E2585E">
            <w:proofErr w:type="gramStart"/>
            <w:r w:rsidRPr="000B3702">
              <w:rPr>
                <w:sz w:val="22"/>
                <w:szCs w:val="22"/>
                <w:lang w:val="en-GB"/>
              </w:rPr>
              <w:t>SWD(</w:t>
            </w:r>
            <w:proofErr w:type="gramEnd"/>
            <w:r w:rsidRPr="000B3702">
              <w:rPr>
                <w:sz w:val="22"/>
                <w:szCs w:val="22"/>
                <w:lang w:val="en-GB"/>
              </w:rPr>
              <w:t>2023) 183</w:t>
            </w:r>
          </w:p>
        </w:tc>
        <w:tc>
          <w:tcPr>
            <w:tcW w:w="8874" w:type="dxa"/>
            <w:gridSpan w:val="5"/>
            <w:shd w:val="clear" w:color="auto" w:fill="auto"/>
            <w:vAlign w:val="center"/>
          </w:tcPr>
          <w:p w14:paraId="1DA92051" w14:textId="5A6BFB31" w:rsidR="00E2585E" w:rsidRPr="00AD71D8" w:rsidRDefault="00E2585E" w:rsidP="00E2585E">
            <w:pPr>
              <w:rPr>
                <w:lang w:val="en-GB"/>
              </w:rPr>
            </w:pPr>
            <w:r w:rsidRPr="00497BA1">
              <w:rPr>
                <w:sz w:val="22"/>
                <w:szCs w:val="22"/>
                <w:lang w:val="en-GB"/>
              </w:rPr>
              <w:t xml:space="preserve">COMMISSION STAFF WORKING DOCUMENT The early warning report for Spain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w:t>
            </w:r>
            <w:r w:rsidRPr="00497BA1">
              <w:rPr>
                <w:sz w:val="22"/>
                <w:szCs w:val="22"/>
                <w:lang w:val="en-GB"/>
              </w:rPr>
              <w:lastRenderedPageBreak/>
              <w:t>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6923385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D8835E6" w14:textId="58D203FB" w:rsidR="00E2585E" w:rsidRDefault="00E2585E" w:rsidP="00E2585E">
            <w:proofErr w:type="gramStart"/>
            <w:r w:rsidRPr="000B3702">
              <w:rPr>
                <w:sz w:val="22"/>
                <w:szCs w:val="22"/>
                <w:lang w:val="en-GB"/>
              </w:rPr>
              <w:lastRenderedPageBreak/>
              <w:t>SWD(</w:t>
            </w:r>
            <w:proofErr w:type="gramEnd"/>
            <w:r w:rsidRPr="000B3702">
              <w:rPr>
                <w:sz w:val="22"/>
                <w:szCs w:val="22"/>
                <w:lang w:val="en-GB"/>
              </w:rPr>
              <w:t>2023) 184</w:t>
            </w:r>
          </w:p>
        </w:tc>
        <w:tc>
          <w:tcPr>
            <w:tcW w:w="8874" w:type="dxa"/>
            <w:gridSpan w:val="5"/>
            <w:shd w:val="clear" w:color="auto" w:fill="auto"/>
            <w:vAlign w:val="center"/>
          </w:tcPr>
          <w:p w14:paraId="2D888356" w14:textId="6F030C4A" w:rsidR="00E2585E" w:rsidRPr="00AD71D8" w:rsidRDefault="00E2585E" w:rsidP="00E2585E">
            <w:pPr>
              <w:rPr>
                <w:lang w:val="en-GB"/>
              </w:rPr>
            </w:pPr>
            <w:r w:rsidRPr="00497BA1">
              <w:rPr>
                <w:sz w:val="22"/>
                <w:szCs w:val="22"/>
                <w:lang w:val="en-GB"/>
              </w:rPr>
              <w:t xml:space="preserve">COMMISSION STAFF WORKING DOCUMENT The early warning report for France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4B4D65E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3E7912C" w14:textId="7FD7D178" w:rsidR="00E2585E" w:rsidRDefault="00E2585E" w:rsidP="00E2585E">
            <w:proofErr w:type="gramStart"/>
            <w:r w:rsidRPr="000B3702">
              <w:rPr>
                <w:sz w:val="22"/>
                <w:szCs w:val="22"/>
                <w:lang w:val="en-GB"/>
              </w:rPr>
              <w:t>SWD(</w:t>
            </w:r>
            <w:proofErr w:type="gramEnd"/>
            <w:r w:rsidRPr="000B3702">
              <w:rPr>
                <w:sz w:val="22"/>
                <w:szCs w:val="22"/>
                <w:lang w:val="en-GB"/>
              </w:rPr>
              <w:t>2023) 185</w:t>
            </w:r>
          </w:p>
        </w:tc>
        <w:tc>
          <w:tcPr>
            <w:tcW w:w="8874" w:type="dxa"/>
            <w:gridSpan w:val="5"/>
            <w:shd w:val="clear" w:color="auto" w:fill="auto"/>
            <w:vAlign w:val="center"/>
          </w:tcPr>
          <w:p w14:paraId="25B92857" w14:textId="5F3695E2" w:rsidR="00E2585E" w:rsidRPr="00AD71D8" w:rsidRDefault="00E2585E" w:rsidP="00E2585E">
            <w:pPr>
              <w:rPr>
                <w:lang w:val="en-GB"/>
              </w:rPr>
            </w:pPr>
            <w:r w:rsidRPr="00497BA1">
              <w:rPr>
                <w:sz w:val="22"/>
                <w:szCs w:val="22"/>
                <w:lang w:val="en-GB"/>
              </w:rPr>
              <w:t xml:space="preserve">COMMISSION STAFF WORKING DOCUMENT The early warning report for Croatia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p>
        </w:tc>
      </w:tr>
      <w:tr w:rsidR="00E2585E" w:rsidRPr="00AF7893" w14:paraId="2DCEC47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AF92D06" w14:textId="3368EC1E" w:rsidR="00E2585E" w:rsidRDefault="00E2585E" w:rsidP="00E2585E">
            <w:proofErr w:type="gramStart"/>
            <w:r w:rsidRPr="000B3702">
              <w:rPr>
                <w:sz w:val="22"/>
                <w:szCs w:val="22"/>
                <w:lang w:val="en-GB"/>
              </w:rPr>
              <w:t>SWD(</w:t>
            </w:r>
            <w:proofErr w:type="gramEnd"/>
            <w:r w:rsidRPr="000B3702">
              <w:rPr>
                <w:sz w:val="22"/>
                <w:szCs w:val="22"/>
                <w:lang w:val="en-GB"/>
              </w:rPr>
              <w:t>2023) 186</w:t>
            </w:r>
          </w:p>
        </w:tc>
        <w:tc>
          <w:tcPr>
            <w:tcW w:w="8874" w:type="dxa"/>
            <w:gridSpan w:val="5"/>
            <w:shd w:val="clear" w:color="auto" w:fill="auto"/>
            <w:vAlign w:val="center"/>
          </w:tcPr>
          <w:p w14:paraId="644107A2" w14:textId="232107DF" w:rsidR="00E2585E" w:rsidRPr="00AD71D8" w:rsidRDefault="00E2585E" w:rsidP="00E2585E">
            <w:pPr>
              <w:rPr>
                <w:lang w:val="en-GB"/>
              </w:rPr>
            </w:pPr>
            <w:r w:rsidRPr="00497BA1">
              <w:rPr>
                <w:sz w:val="22"/>
                <w:szCs w:val="22"/>
                <w:lang w:val="en-GB"/>
              </w:rPr>
              <w:t xml:space="preserve">COMMISSION STAFF WORKING DOCUMENT The early warning report for Cyprus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33A55C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B59FCE7" w14:textId="6799F111" w:rsidR="00E2585E" w:rsidRDefault="00E2585E" w:rsidP="00E2585E">
            <w:proofErr w:type="gramStart"/>
            <w:r w:rsidRPr="000B3702">
              <w:rPr>
                <w:sz w:val="22"/>
                <w:szCs w:val="22"/>
                <w:lang w:val="en-GB"/>
              </w:rPr>
              <w:t>SWD(</w:t>
            </w:r>
            <w:proofErr w:type="gramEnd"/>
            <w:r w:rsidRPr="000B3702">
              <w:rPr>
                <w:sz w:val="22"/>
                <w:szCs w:val="22"/>
                <w:lang w:val="en-GB"/>
              </w:rPr>
              <w:t>2023) 187</w:t>
            </w:r>
          </w:p>
        </w:tc>
        <w:tc>
          <w:tcPr>
            <w:tcW w:w="8874" w:type="dxa"/>
            <w:gridSpan w:val="5"/>
            <w:shd w:val="clear" w:color="auto" w:fill="auto"/>
            <w:vAlign w:val="center"/>
          </w:tcPr>
          <w:p w14:paraId="264802EF" w14:textId="3270BD32" w:rsidR="00E2585E" w:rsidRPr="00AD71D8" w:rsidRDefault="00E2585E" w:rsidP="00E2585E">
            <w:pPr>
              <w:rPr>
                <w:lang w:val="en-GB"/>
              </w:rPr>
            </w:pPr>
            <w:r w:rsidRPr="00497BA1">
              <w:rPr>
                <w:sz w:val="22"/>
                <w:szCs w:val="22"/>
                <w:lang w:val="en-GB"/>
              </w:rPr>
              <w:t xml:space="preserve">COMMISSION STAFF WORKING DOCUMENT The early warning report for Latvia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1561209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B910043" w14:textId="0B549B6C" w:rsidR="00E2585E" w:rsidRDefault="00E2585E" w:rsidP="00E2585E">
            <w:proofErr w:type="gramStart"/>
            <w:r w:rsidRPr="000B3702">
              <w:rPr>
                <w:sz w:val="22"/>
                <w:szCs w:val="22"/>
              </w:rPr>
              <w:t>SWD(</w:t>
            </w:r>
            <w:proofErr w:type="gramEnd"/>
            <w:r w:rsidRPr="000B3702">
              <w:rPr>
                <w:sz w:val="22"/>
                <w:szCs w:val="22"/>
              </w:rPr>
              <w:t>2023) 188</w:t>
            </w:r>
          </w:p>
        </w:tc>
        <w:tc>
          <w:tcPr>
            <w:tcW w:w="8874" w:type="dxa"/>
            <w:gridSpan w:val="5"/>
            <w:shd w:val="clear" w:color="auto" w:fill="auto"/>
            <w:vAlign w:val="center"/>
          </w:tcPr>
          <w:p w14:paraId="74C3C4C8" w14:textId="50AAE83B" w:rsidR="00E2585E" w:rsidRPr="00AD71D8" w:rsidRDefault="00E2585E" w:rsidP="00E2585E">
            <w:pPr>
              <w:rPr>
                <w:lang w:val="en-GB"/>
              </w:rPr>
            </w:pPr>
            <w:r w:rsidRPr="00497BA1">
              <w:rPr>
                <w:sz w:val="22"/>
                <w:szCs w:val="22"/>
                <w:lang w:val="en-GB"/>
              </w:rPr>
              <w:t>COMMISSION STAFF WORKING DOCUMENT The early warning report for Lithuania Accompanying the document Report from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r w:rsidRPr="000F66D7">
              <w:rPr>
                <w:sz w:val="22"/>
                <w:szCs w:val="22"/>
                <w:lang w:val="en-GB"/>
              </w:rPr>
              <w:br/>
            </w:r>
          </w:p>
        </w:tc>
      </w:tr>
      <w:tr w:rsidR="00E2585E" w:rsidRPr="00AF7893" w14:paraId="4C7F330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D7DE6A5" w14:textId="4236A073" w:rsidR="00E2585E" w:rsidRDefault="00E2585E" w:rsidP="00E2585E">
            <w:proofErr w:type="gramStart"/>
            <w:r w:rsidRPr="000B3702">
              <w:rPr>
                <w:sz w:val="22"/>
                <w:szCs w:val="22"/>
                <w:lang w:val="en-GB"/>
              </w:rPr>
              <w:t>SWD(</w:t>
            </w:r>
            <w:proofErr w:type="gramEnd"/>
            <w:r w:rsidRPr="000B3702">
              <w:rPr>
                <w:sz w:val="22"/>
                <w:szCs w:val="22"/>
                <w:lang w:val="en-GB"/>
              </w:rPr>
              <w:t>2023) 189</w:t>
            </w:r>
          </w:p>
        </w:tc>
        <w:tc>
          <w:tcPr>
            <w:tcW w:w="8874" w:type="dxa"/>
            <w:gridSpan w:val="5"/>
            <w:shd w:val="clear" w:color="auto" w:fill="auto"/>
            <w:vAlign w:val="center"/>
          </w:tcPr>
          <w:p w14:paraId="52060874" w14:textId="47BF0CB2" w:rsidR="00E2585E" w:rsidRPr="00AD71D8" w:rsidRDefault="00E2585E" w:rsidP="00E2585E">
            <w:pPr>
              <w:rPr>
                <w:lang w:val="en-GB"/>
              </w:rPr>
            </w:pPr>
            <w:r w:rsidRPr="00497BA1">
              <w:rPr>
                <w:sz w:val="22"/>
                <w:szCs w:val="22"/>
                <w:lang w:val="en-GB"/>
              </w:rPr>
              <w:t xml:space="preserve">COMMISSION STAFF WORKING DOCUMENT The early warning report for Hungary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p>
        </w:tc>
      </w:tr>
      <w:tr w:rsidR="00E2585E" w:rsidRPr="00AF7893" w14:paraId="46D11F2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0A96EF2" w14:textId="1C116D22" w:rsidR="00E2585E" w:rsidRDefault="00E2585E" w:rsidP="00E2585E">
            <w:proofErr w:type="gramStart"/>
            <w:r w:rsidRPr="000B3702">
              <w:rPr>
                <w:sz w:val="22"/>
                <w:szCs w:val="22"/>
                <w:lang w:val="en-GB"/>
              </w:rPr>
              <w:t>SWD(</w:t>
            </w:r>
            <w:proofErr w:type="gramEnd"/>
            <w:r w:rsidRPr="000B3702">
              <w:rPr>
                <w:sz w:val="22"/>
                <w:szCs w:val="22"/>
                <w:lang w:val="en-GB"/>
              </w:rPr>
              <w:t>2023) 195</w:t>
            </w:r>
          </w:p>
        </w:tc>
        <w:tc>
          <w:tcPr>
            <w:tcW w:w="8874" w:type="dxa"/>
            <w:gridSpan w:val="5"/>
            <w:shd w:val="clear" w:color="auto" w:fill="auto"/>
            <w:vAlign w:val="center"/>
          </w:tcPr>
          <w:p w14:paraId="0F12298F" w14:textId="289E7EAB" w:rsidR="00E2585E" w:rsidRPr="00AD71D8" w:rsidRDefault="00E2585E" w:rsidP="00E2585E">
            <w:pPr>
              <w:rPr>
                <w:lang w:val="en-GB"/>
              </w:rPr>
            </w:pPr>
            <w:r w:rsidRPr="00497BA1">
              <w:rPr>
                <w:sz w:val="22"/>
                <w:szCs w:val="22"/>
                <w:lang w:val="en-GB"/>
              </w:rPr>
              <w:t xml:space="preserve">COMMISSION STAFF WORKING DOCUMENT The early warning report for Malta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p>
        </w:tc>
      </w:tr>
      <w:tr w:rsidR="00E2585E" w:rsidRPr="00AF7893" w14:paraId="45E4EA2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64138A5" w14:textId="53BE1335" w:rsidR="00E2585E" w:rsidRDefault="00E2585E" w:rsidP="00E2585E">
            <w:proofErr w:type="gramStart"/>
            <w:r w:rsidRPr="000B3702">
              <w:rPr>
                <w:sz w:val="22"/>
                <w:szCs w:val="22"/>
                <w:lang w:val="en-GB"/>
              </w:rPr>
              <w:t>SWD(</w:t>
            </w:r>
            <w:proofErr w:type="gramEnd"/>
            <w:r w:rsidRPr="000B3702">
              <w:rPr>
                <w:sz w:val="22"/>
                <w:szCs w:val="22"/>
                <w:lang w:val="en-GB"/>
              </w:rPr>
              <w:t>2023) 196</w:t>
            </w:r>
          </w:p>
        </w:tc>
        <w:tc>
          <w:tcPr>
            <w:tcW w:w="8874" w:type="dxa"/>
            <w:gridSpan w:val="5"/>
            <w:shd w:val="clear" w:color="auto" w:fill="auto"/>
            <w:vAlign w:val="center"/>
          </w:tcPr>
          <w:p w14:paraId="6F26FDD6" w14:textId="3DF3AE6C" w:rsidR="00E2585E" w:rsidRPr="00AD71D8" w:rsidRDefault="00E2585E" w:rsidP="00E2585E">
            <w:pPr>
              <w:rPr>
                <w:lang w:val="en-GB"/>
              </w:rPr>
            </w:pPr>
            <w:r w:rsidRPr="00497BA1">
              <w:rPr>
                <w:sz w:val="22"/>
                <w:szCs w:val="22"/>
                <w:lang w:val="en-GB"/>
              </w:rPr>
              <w:t xml:space="preserve">COMMISSION STAFF WORKING DOCUMENT The early warning report for Poland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w:t>
            </w:r>
            <w:r w:rsidRPr="00497BA1">
              <w:rPr>
                <w:sz w:val="22"/>
                <w:szCs w:val="22"/>
                <w:lang w:val="en-GB"/>
              </w:rPr>
              <w:lastRenderedPageBreak/>
              <w:t>landfilling reduction target</w:t>
            </w:r>
          </w:p>
        </w:tc>
      </w:tr>
      <w:tr w:rsidR="00E2585E" w:rsidRPr="00AF7893" w14:paraId="6996293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1DFE975" w14:textId="2114D514" w:rsidR="00E2585E" w:rsidRDefault="00E2585E" w:rsidP="00E2585E">
            <w:proofErr w:type="gramStart"/>
            <w:r w:rsidRPr="000B3702">
              <w:rPr>
                <w:sz w:val="22"/>
                <w:szCs w:val="22"/>
                <w:lang w:val="en-GB"/>
              </w:rPr>
              <w:lastRenderedPageBreak/>
              <w:t>SWD(</w:t>
            </w:r>
            <w:proofErr w:type="gramEnd"/>
            <w:r w:rsidRPr="000B3702">
              <w:rPr>
                <w:sz w:val="22"/>
                <w:szCs w:val="22"/>
                <w:lang w:val="en-GB"/>
              </w:rPr>
              <w:t>2023) 197</w:t>
            </w:r>
          </w:p>
        </w:tc>
        <w:tc>
          <w:tcPr>
            <w:tcW w:w="8874" w:type="dxa"/>
            <w:gridSpan w:val="5"/>
            <w:shd w:val="clear" w:color="auto" w:fill="auto"/>
            <w:vAlign w:val="center"/>
          </w:tcPr>
          <w:p w14:paraId="160C1BE0" w14:textId="62045DB1" w:rsidR="00E2585E" w:rsidRPr="00AD71D8" w:rsidRDefault="00E2585E" w:rsidP="00E2585E">
            <w:pPr>
              <w:rPr>
                <w:lang w:val="en-GB"/>
              </w:rPr>
            </w:pPr>
            <w:r w:rsidRPr="00497BA1">
              <w:rPr>
                <w:sz w:val="22"/>
                <w:szCs w:val="22"/>
                <w:lang w:val="en-GB"/>
              </w:rPr>
              <w:t xml:space="preserve">COMMISSION STAFF WORKING DOCUMENT The early warning report for Portugal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494DC26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3040697" w14:textId="0B272337" w:rsidR="00E2585E" w:rsidRDefault="00E2585E" w:rsidP="00E2585E">
            <w:proofErr w:type="gramStart"/>
            <w:r w:rsidRPr="000B3702">
              <w:rPr>
                <w:sz w:val="22"/>
                <w:szCs w:val="22"/>
                <w:lang w:val="en-GB"/>
              </w:rPr>
              <w:t>SWD(</w:t>
            </w:r>
            <w:proofErr w:type="gramEnd"/>
            <w:r w:rsidRPr="000B3702">
              <w:rPr>
                <w:sz w:val="22"/>
                <w:szCs w:val="22"/>
                <w:lang w:val="en-GB"/>
              </w:rPr>
              <w:t>2023) 198</w:t>
            </w:r>
          </w:p>
        </w:tc>
        <w:tc>
          <w:tcPr>
            <w:tcW w:w="8874" w:type="dxa"/>
            <w:gridSpan w:val="5"/>
            <w:shd w:val="clear" w:color="auto" w:fill="auto"/>
            <w:vAlign w:val="center"/>
          </w:tcPr>
          <w:p w14:paraId="0C7D9870" w14:textId="6579106D" w:rsidR="00E2585E" w:rsidRPr="00AD71D8" w:rsidRDefault="00E2585E" w:rsidP="00E2585E">
            <w:pPr>
              <w:rPr>
                <w:lang w:val="en-GB"/>
              </w:rPr>
            </w:pPr>
            <w:r w:rsidRPr="00497BA1">
              <w:rPr>
                <w:sz w:val="22"/>
                <w:szCs w:val="22"/>
                <w:lang w:val="en-GB"/>
              </w:rPr>
              <w:t xml:space="preserve">COMMISSION STAFF WORKING DOCUMENT The early warning report for Slovakia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6EF6179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F9B73D6" w14:textId="50D22505" w:rsidR="00E2585E" w:rsidRDefault="00E2585E" w:rsidP="00E2585E">
            <w:proofErr w:type="gramStart"/>
            <w:r w:rsidRPr="000B3702">
              <w:rPr>
                <w:sz w:val="22"/>
                <w:szCs w:val="22"/>
                <w:lang w:val="en-GB"/>
              </w:rPr>
              <w:t>SWD(</w:t>
            </w:r>
            <w:proofErr w:type="gramEnd"/>
            <w:r w:rsidRPr="000B3702">
              <w:rPr>
                <w:sz w:val="22"/>
                <w:szCs w:val="22"/>
                <w:lang w:val="en-GB"/>
              </w:rPr>
              <w:t>2023) 199</w:t>
            </w:r>
          </w:p>
        </w:tc>
        <w:tc>
          <w:tcPr>
            <w:tcW w:w="8874" w:type="dxa"/>
            <w:gridSpan w:val="5"/>
            <w:shd w:val="clear" w:color="auto" w:fill="auto"/>
            <w:vAlign w:val="center"/>
          </w:tcPr>
          <w:p w14:paraId="09B7E5C3" w14:textId="46921D3B" w:rsidR="00E2585E" w:rsidRPr="00AD71D8" w:rsidRDefault="00E2585E" w:rsidP="00E2585E">
            <w:pPr>
              <w:rPr>
                <w:lang w:val="en-GB"/>
              </w:rPr>
            </w:pPr>
            <w:r w:rsidRPr="00497BA1">
              <w:rPr>
                <w:sz w:val="22"/>
                <w:szCs w:val="22"/>
                <w:lang w:val="en-GB"/>
              </w:rPr>
              <w:t xml:space="preserve">COMMISSION STAFF WORKING DOCUMENT The early warning report for Romania Accompanying the document Report </w:t>
            </w:r>
            <w:proofErr w:type="gramStart"/>
            <w:r w:rsidRPr="00497BA1">
              <w:rPr>
                <w:sz w:val="22"/>
                <w:szCs w:val="22"/>
                <w:lang w:val="en-GB"/>
              </w:rPr>
              <w:t>From</w:t>
            </w:r>
            <w:proofErr w:type="gramEnd"/>
            <w:r w:rsidRPr="00497BA1">
              <w:rPr>
                <w:sz w:val="22"/>
                <w:szCs w:val="22"/>
                <w:lang w:val="en-GB"/>
              </w:rPr>
              <w:t xml:space="preserve"> The Commission To The European Parliament, The Council, The European Economic And Social Committee And The Committee Of The Regions identifying Member States at risk of not meeting the 2025 preparing for re-use and recycling target for municipal waste, the 2025 recycling target for packaging waste and the 2035 municipal waste landfilling reduction target</w:t>
            </w:r>
            <w:r w:rsidRPr="00497BA1">
              <w:rPr>
                <w:sz w:val="22"/>
                <w:szCs w:val="22"/>
                <w:lang w:val="en-GB"/>
              </w:rPr>
              <w:br/>
            </w:r>
          </w:p>
        </w:tc>
      </w:tr>
      <w:tr w:rsidR="00E2585E" w:rsidRPr="00AF7893" w14:paraId="5CBEDA5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693E10" w14:textId="2B22096D" w:rsidR="00E2585E" w:rsidRDefault="00E2585E" w:rsidP="00E2585E">
            <w:proofErr w:type="gramStart"/>
            <w:r w:rsidRPr="000B3702">
              <w:rPr>
                <w:sz w:val="22"/>
                <w:szCs w:val="22"/>
              </w:rPr>
              <w:t>SWD(</w:t>
            </w:r>
            <w:proofErr w:type="gramEnd"/>
            <w:r w:rsidRPr="000B3702">
              <w:rPr>
                <w:sz w:val="22"/>
                <w:szCs w:val="22"/>
              </w:rPr>
              <w:t>2023) 200</w:t>
            </w:r>
          </w:p>
        </w:tc>
        <w:tc>
          <w:tcPr>
            <w:tcW w:w="8874" w:type="dxa"/>
            <w:gridSpan w:val="5"/>
            <w:shd w:val="clear" w:color="auto" w:fill="auto"/>
            <w:vAlign w:val="center"/>
          </w:tcPr>
          <w:p w14:paraId="357ECE58" w14:textId="14B3E8DD" w:rsidR="00E2585E" w:rsidRPr="00AD71D8" w:rsidRDefault="00E2585E" w:rsidP="00E2585E">
            <w:pPr>
              <w:rPr>
                <w:lang w:val="en-GB"/>
              </w:rPr>
            </w:pPr>
            <w:r w:rsidRPr="00497BA1">
              <w:rPr>
                <w:sz w:val="22"/>
                <w:szCs w:val="22"/>
              </w:rPr>
              <w:t xml:space="preserve">ARBETSDOKUMENT från kommissionens AVDELNINGAR Rapport om tidig varning avseende Sverige Följedokument till Rapport från kommissionen till Europaparlamentet, rådet, </w:t>
            </w:r>
            <w:proofErr w:type="gramStart"/>
            <w:r w:rsidRPr="00497BA1">
              <w:rPr>
                <w:sz w:val="22"/>
                <w:szCs w:val="22"/>
              </w:rPr>
              <w:t>Europeiska</w:t>
            </w:r>
            <w:proofErr w:type="gramEnd"/>
            <w:r w:rsidRPr="00497BA1">
              <w:rPr>
                <w:sz w:val="22"/>
                <w:szCs w:val="22"/>
              </w:rPr>
              <w:t xml:space="preserve"> ekonomiska och sociala kommittén samt Regionkommittén med fastställande av vilka medlemsstater som riskerar att inte uppfylla målen för materialåtervinning av kommunalt avfall och förpackningsavfall till 2025 och målet för minskning av deponering av avfall till 2035</w:t>
            </w:r>
            <w:r w:rsidRPr="00497BA1">
              <w:rPr>
                <w:sz w:val="22"/>
                <w:szCs w:val="22"/>
              </w:rPr>
              <w:br/>
            </w:r>
          </w:p>
        </w:tc>
      </w:tr>
      <w:tr w:rsidR="00E2585E" w:rsidRPr="00AF7893" w14:paraId="3C38AA1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BFA66B8" w14:textId="7D101560" w:rsidR="00E2585E" w:rsidRDefault="00E2585E" w:rsidP="00E2585E">
            <w:proofErr w:type="gramStart"/>
            <w:r w:rsidRPr="000B3702">
              <w:rPr>
                <w:sz w:val="22"/>
                <w:szCs w:val="22"/>
              </w:rPr>
              <w:t>COM(</w:t>
            </w:r>
            <w:proofErr w:type="gramEnd"/>
            <w:r w:rsidRPr="000B3702">
              <w:rPr>
                <w:sz w:val="22"/>
                <w:szCs w:val="22"/>
              </w:rPr>
              <w:t>2023) 306</w:t>
            </w:r>
          </w:p>
        </w:tc>
        <w:tc>
          <w:tcPr>
            <w:tcW w:w="8874" w:type="dxa"/>
            <w:gridSpan w:val="5"/>
            <w:shd w:val="clear" w:color="auto" w:fill="auto"/>
            <w:vAlign w:val="center"/>
          </w:tcPr>
          <w:p w14:paraId="0043985C" w14:textId="75E2028A" w:rsidR="00E2585E" w:rsidRPr="00AD71D8" w:rsidRDefault="00E2585E" w:rsidP="00E2585E">
            <w:pPr>
              <w:rPr>
                <w:lang w:val="en-GB"/>
              </w:rPr>
            </w:pPr>
            <w:r w:rsidRPr="006C00CF">
              <w:rPr>
                <w:sz w:val="22"/>
                <w:szCs w:val="22"/>
              </w:rPr>
              <w:t xml:space="preserve">Meddelande från kommissionen till Europaparlamentet, rådet, </w:t>
            </w:r>
            <w:proofErr w:type="gramStart"/>
            <w:r w:rsidRPr="006C00CF">
              <w:rPr>
                <w:sz w:val="22"/>
                <w:szCs w:val="22"/>
              </w:rPr>
              <w:t>Europeiska</w:t>
            </w:r>
            <w:proofErr w:type="gramEnd"/>
            <w:r w:rsidRPr="006C00CF">
              <w:rPr>
                <w:sz w:val="22"/>
                <w:szCs w:val="22"/>
              </w:rPr>
              <w:t xml:space="preserve"> ekonomiska och sociala kommittén SAMT Regionkommittén om </w:t>
            </w:r>
            <w:r w:rsidRPr="006C00CF">
              <w:rPr>
                <w:b/>
                <w:bCs/>
                <w:sz w:val="22"/>
                <w:szCs w:val="22"/>
              </w:rPr>
              <w:t>en reviderad övervakningsram för den cirkulära ekonomin</w:t>
            </w:r>
            <w:r w:rsidRPr="006C00CF">
              <w:rPr>
                <w:b/>
                <w:bCs/>
                <w:sz w:val="22"/>
                <w:szCs w:val="22"/>
              </w:rPr>
              <w:br/>
            </w:r>
          </w:p>
        </w:tc>
      </w:tr>
      <w:tr w:rsidR="00E2585E" w:rsidRPr="00AF7893" w14:paraId="0C27838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47CDC3B" w14:textId="41773DC5" w:rsidR="00E2585E" w:rsidRDefault="00E2585E" w:rsidP="00E2585E">
            <w:proofErr w:type="gramStart"/>
            <w:r w:rsidRPr="000B3702">
              <w:rPr>
                <w:sz w:val="22"/>
                <w:szCs w:val="22"/>
                <w:lang w:val="en-GB"/>
              </w:rPr>
              <w:t>SWD(</w:t>
            </w:r>
            <w:proofErr w:type="gramEnd"/>
            <w:r w:rsidRPr="000B3702">
              <w:rPr>
                <w:sz w:val="22"/>
                <w:szCs w:val="22"/>
                <w:lang w:val="en-GB"/>
              </w:rPr>
              <w:t>2023) 306</w:t>
            </w:r>
          </w:p>
        </w:tc>
        <w:tc>
          <w:tcPr>
            <w:tcW w:w="8874" w:type="dxa"/>
            <w:gridSpan w:val="5"/>
            <w:shd w:val="clear" w:color="auto" w:fill="auto"/>
            <w:vAlign w:val="center"/>
          </w:tcPr>
          <w:p w14:paraId="15197198" w14:textId="5DAA41E7" w:rsidR="00E2585E" w:rsidRPr="00AD71D8" w:rsidRDefault="00E2585E" w:rsidP="00E2585E">
            <w:pPr>
              <w:rPr>
                <w:lang w:val="en-GB"/>
              </w:rPr>
            </w:pPr>
            <w:r w:rsidRPr="006C00CF">
              <w:rPr>
                <w:sz w:val="22"/>
                <w:szCs w:val="22"/>
                <w:lang w:val="en-GB"/>
              </w:rPr>
              <w:t xml:space="preserve">COMMISSION STAFF WORKING DOCUMENT Measuring progress towards circular economy in the European Union – Key indicators for a revised monitoring framework Accompanying the document COMMUNICATION FROM THE COMMISSION TO THE EUROPEAN PARLIAMENT, THE COUNCIL, THE EUROPEAN ECONOMIC AND SOCIAL COMMITTEE AND THE COMMITTEE OF THE REGIONS </w:t>
            </w:r>
            <w:r w:rsidRPr="006C00CF">
              <w:rPr>
                <w:b/>
                <w:bCs/>
                <w:sz w:val="22"/>
                <w:szCs w:val="22"/>
                <w:lang w:val="en-GB"/>
              </w:rPr>
              <w:t>on a revised monitoring framework for the circular economy</w:t>
            </w:r>
            <w:r w:rsidRPr="006C00CF">
              <w:rPr>
                <w:b/>
                <w:bCs/>
                <w:sz w:val="22"/>
                <w:szCs w:val="22"/>
                <w:lang w:val="en-GB"/>
              </w:rPr>
              <w:br/>
            </w:r>
          </w:p>
        </w:tc>
      </w:tr>
      <w:tr w:rsidR="00E2585E" w:rsidRPr="00AF7893" w14:paraId="18C7CAD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CE3A6CA" w14:textId="3628C51C" w:rsidR="00E2585E" w:rsidRDefault="00E2585E" w:rsidP="00E2585E">
            <w:proofErr w:type="gramStart"/>
            <w:r w:rsidRPr="000B3702">
              <w:rPr>
                <w:sz w:val="22"/>
                <w:szCs w:val="22"/>
                <w:lang w:val="en-GB"/>
              </w:rPr>
              <w:t>COM(</w:t>
            </w:r>
            <w:proofErr w:type="gramEnd"/>
            <w:r w:rsidRPr="000B3702">
              <w:rPr>
                <w:sz w:val="22"/>
                <w:szCs w:val="22"/>
                <w:lang w:val="en-GB"/>
              </w:rPr>
              <w:t>2023) 307</w:t>
            </w:r>
          </w:p>
        </w:tc>
        <w:tc>
          <w:tcPr>
            <w:tcW w:w="8874" w:type="dxa"/>
            <w:gridSpan w:val="5"/>
            <w:shd w:val="clear" w:color="auto" w:fill="auto"/>
            <w:vAlign w:val="center"/>
          </w:tcPr>
          <w:p w14:paraId="048260CA" w14:textId="757E6734" w:rsidR="00E2585E" w:rsidRPr="00AD71D8" w:rsidRDefault="00E2585E" w:rsidP="00E2585E">
            <w:pPr>
              <w:rPr>
                <w:lang w:val="en-GB"/>
              </w:rPr>
            </w:pPr>
            <w:r w:rsidRPr="00E5714E">
              <w:rPr>
                <w:sz w:val="22"/>
                <w:szCs w:val="22"/>
              </w:rPr>
              <w:t xml:space="preserve">Meddelande från kommissionen till Europaparlamentet, rådet, </w:t>
            </w:r>
            <w:proofErr w:type="gramStart"/>
            <w:r w:rsidRPr="00E5714E">
              <w:rPr>
                <w:sz w:val="22"/>
                <w:szCs w:val="22"/>
              </w:rPr>
              <w:t>Europeiska</w:t>
            </w:r>
            <w:proofErr w:type="gramEnd"/>
            <w:r w:rsidRPr="00E5714E">
              <w:rPr>
                <w:sz w:val="22"/>
                <w:szCs w:val="22"/>
              </w:rPr>
              <w:t xml:space="preserve"> ekonomiska och sociala kommittén SAMT Regionkommittén om de </w:t>
            </w:r>
            <w:r w:rsidRPr="00E5714E">
              <w:rPr>
                <w:b/>
                <w:bCs/>
                <w:sz w:val="22"/>
                <w:szCs w:val="22"/>
              </w:rPr>
              <w:t>slutsatser som Århuskonventionens efterlevnadskommitté har dragit</w:t>
            </w:r>
            <w:r w:rsidRPr="00E5714E">
              <w:rPr>
                <w:sz w:val="22"/>
                <w:szCs w:val="22"/>
              </w:rPr>
              <w:t xml:space="preserve"> i ärende ACCC/C/2015/128 om statligt stöd: Analys av slutsatsernas innebörd och bedömning av de alternativ som står till buds</w:t>
            </w:r>
            <w:r w:rsidRPr="00E5714E">
              <w:rPr>
                <w:sz w:val="22"/>
                <w:szCs w:val="22"/>
              </w:rPr>
              <w:br/>
            </w:r>
          </w:p>
        </w:tc>
      </w:tr>
      <w:tr w:rsidR="00E2585E" w:rsidRPr="00AF7893" w14:paraId="50A1ED7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006DCEC" w14:textId="0EFF35DB" w:rsidR="00E2585E" w:rsidRPr="00AF699B" w:rsidRDefault="00E2585E" w:rsidP="00E2585E">
            <w:pPr>
              <w:rPr>
                <w:sz w:val="22"/>
                <w:szCs w:val="22"/>
              </w:rPr>
            </w:pPr>
            <w:proofErr w:type="gramStart"/>
            <w:r w:rsidRPr="000B3702">
              <w:rPr>
                <w:sz w:val="22"/>
                <w:szCs w:val="22"/>
                <w:lang w:val="en-GB"/>
              </w:rPr>
              <w:t>SWD(</w:t>
            </w:r>
            <w:proofErr w:type="gramEnd"/>
            <w:r w:rsidRPr="000B3702">
              <w:rPr>
                <w:sz w:val="22"/>
                <w:szCs w:val="22"/>
                <w:lang w:val="en-GB"/>
              </w:rPr>
              <w:t>2023) 307</w:t>
            </w:r>
          </w:p>
        </w:tc>
        <w:tc>
          <w:tcPr>
            <w:tcW w:w="8874" w:type="dxa"/>
            <w:gridSpan w:val="5"/>
            <w:shd w:val="clear" w:color="auto" w:fill="auto"/>
            <w:vAlign w:val="center"/>
          </w:tcPr>
          <w:p w14:paraId="525637A7" w14:textId="70D3C204" w:rsidR="00E2585E" w:rsidRPr="003D0E13" w:rsidRDefault="00E2585E" w:rsidP="00E2585E">
            <w:pPr>
              <w:rPr>
                <w:b/>
                <w:bCs/>
                <w:sz w:val="22"/>
                <w:szCs w:val="22"/>
              </w:rPr>
            </w:pPr>
            <w:r w:rsidRPr="005443AC">
              <w:rPr>
                <w:sz w:val="22"/>
                <w:szCs w:val="22"/>
                <w:lang w:val="en-GB"/>
              </w:rPr>
              <w:t>COMMISSION STAFF WORKING DOCUMENT STAKEHOLDER CONSULTATION - SYNOPSIS REPORT on the findings adopted by the Aarhus Convention Compliance Committee in case ACCC/C/2015/128 as regards state aid: Analysing the implications of the findings and assessing the options available Accompanying the document COMMUNICATION FROM THE COMMISSION TO THE EUROPEAN PARLIAMENT, THE COUNCIL, THE EUROPEAN ECONOMIC AND SOCIAL COMMITTEE AND THE COMMITTEE OF THE REGIONS on the findings adopted by the Aarhus Convention Compliance Committee in case ACCC/C/2015/128 as regards state aid: Analysing the implications of the findings and assessing the options available</w:t>
            </w:r>
            <w:r w:rsidRPr="005443AC">
              <w:rPr>
                <w:sz w:val="22"/>
                <w:szCs w:val="22"/>
                <w:lang w:val="en-GB"/>
              </w:rPr>
              <w:br/>
            </w:r>
          </w:p>
        </w:tc>
      </w:tr>
      <w:tr w:rsidR="00E2585E" w:rsidRPr="00C824C0" w14:paraId="7841B90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55A00DE4" w14:textId="77777777" w:rsidR="00E2585E" w:rsidRPr="00C824C0" w:rsidRDefault="00E2585E" w:rsidP="00E2585E">
            <w:pPr>
              <w:rPr>
                <w:b/>
                <w:kern w:val="32"/>
                <w:sz w:val="22"/>
                <w:szCs w:val="22"/>
              </w:rPr>
            </w:pPr>
            <w:r>
              <w:rPr>
                <w:b/>
                <w:kern w:val="32"/>
                <w:sz w:val="22"/>
                <w:szCs w:val="22"/>
              </w:rPr>
              <w:lastRenderedPageBreak/>
              <w:t>Ö</w:t>
            </w:r>
            <w:r w:rsidRPr="00C824C0">
              <w:rPr>
                <w:b/>
                <w:kern w:val="32"/>
                <w:sz w:val="22"/>
                <w:szCs w:val="22"/>
              </w:rPr>
              <w:t>vriga överlämnade dokument som rör EU-arbetet för kännedom</w:t>
            </w:r>
          </w:p>
        </w:tc>
      </w:tr>
      <w:tr w:rsidR="00E2585E" w:rsidRPr="00C824C0" w14:paraId="17191B5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C63E2D1" w14:textId="77777777" w:rsidR="00E2585E" w:rsidRPr="00C824C0" w:rsidRDefault="00E2585E" w:rsidP="00E2585E">
            <w:pPr>
              <w:rPr>
                <w:b/>
                <w:bCs/>
                <w:sz w:val="22"/>
                <w:szCs w:val="22"/>
              </w:rPr>
            </w:pPr>
            <w:r w:rsidRPr="00C824C0">
              <w:rPr>
                <w:b/>
                <w:bCs/>
                <w:sz w:val="22"/>
                <w:szCs w:val="22"/>
              </w:rPr>
              <w:t>Rådsmöten</w:t>
            </w:r>
          </w:p>
        </w:tc>
        <w:tc>
          <w:tcPr>
            <w:tcW w:w="8874" w:type="dxa"/>
            <w:gridSpan w:val="5"/>
            <w:shd w:val="clear" w:color="auto" w:fill="auto"/>
            <w:vAlign w:val="center"/>
          </w:tcPr>
          <w:p w14:paraId="6F0111E9" w14:textId="77777777" w:rsidR="00E2585E" w:rsidRPr="00C824C0" w:rsidRDefault="00E2585E" w:rsidP="00E2585E">
            <w:pPr>
              <w:rPr>
                <w:sz w:val="22"/>
                <w:szCs w:val="22"/>
              </w:rPr>
            </w:pPr>
          </w:p>
        </w:tc>
      </w:tr>
      <w:tr w:rsidR="00E2585E" w:rsidRPr="00C824C0" w14:paraId="2FB6C82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393BCB93" w14:textId="75040DD3" w:rsidR="00E2585E" w:rsidRPr="00862D06" w:rsidRDefault="00E2585E" w:rsidP="00E2585E">
            <w:pPr>
              <w:rPr>
                <w:sz w:val="22"/>
                <w:szCs w:val="22"/>
              </w:rPr>
            </w:pPr>
            <w:r w:rsidRPr="00BB2C11">
              <w:rPr>
                <w:bCs/>
                <w:sz w:val="22"/>
                <w:szCs w:val="22"/>
              </w:rPr>
              <w:t>Konkurrenskrafts</w:t>
            </w:r>
            <w:r>
              <w:rPr>
                <w:bCs/>
                <w:sz w:val="22"/>
                <w:szCs w:val="22"/>
              </w:rPr>
              <w:t>-</w:t>
            </w:r>
            <w:r w:rsidRPr="00BB2C11">
              <w:rPr>
                <w:bCs/>
                <w:sz w:val="22"/>
                <w:szCs w:val="22"/>
              </w:rPr>
              <w:t>råd 22 maj 2023</w:t>
            </w:r>
          </w:p>
        </w:tc>
        <w:tc>
          <w:tcPr>
            <w:tcW w:w="8874" w:type="dxa"/>
            <w:gridSpan w:val="5"/>
            <w:tcBorders>
              <w:bottom w:val="single" w:sz="4" w:space="0" w:color="auto"/>
            </w:tcBorders>
            <w:shd w:val="clear" w:color="auto" w:fill="auto"/>
            <w:vAlign w:val="center"/>
          </w:tcPr>
          <w:p w14:paraId="45FDABDB" w14:textId="0FCCF482" w:rsidR="00E2585E" w:rsidRPr="00862D06" w:rsidRDefault="00E2585E" w:rsidP="00E2585E">
            <w:pPr>
              <w:rPr>
                <w:sz w:val="22"/>
                <w:szCs w:val="22"/>
              </w:rPr>
            </w:pPr>
            <w:r w:rsidRPr="00BB2C11">
              <w:rPr>
                <w:sz w:val="22"/>
                <w:szCs w:val="22"/>
              </w:rPr>
              <w:t xml:space="preserve">Rapport från möte i konkurrenskraftsrådet den 22 maj 2023, </w:t>
            </w:r>
            <w:proofErr w:type="spellStart"/>
            <w:r w:rsidRPr="00BB2C11">
              <w:rPr>
                <w:sz w:val="22"/>
                <w:szCs w:val="22"/>
              </w:rPr>
              <w:t>dp</w:t>
            </w:r>
            <w:proofErr w:type="spellEnd"/>
            <w:r w:rsidRPr="00BB2C11">
              <w:rPr>
                <w:sz w:val="22"/>
                <w:szCs w:val="22"/>
              </w:rPr>
              <w:t>. 3 ekodesigndirektivet</w:t>
            </w:r>
            <w:r w:rsidRPr="00BB2C11">
              <w:rPr>
                <w:sz w:val="22"/>
                <w:szCs w:val="22"/>
              </w:rPr>
              <w:br/>
            </w:r>
            <w:hyperlink r:id="rId10" w:history="1">
              <w:r w:rsidRPr="000B3702">
                <w:rPr>
                  <w:sz w:val="22"/>
                  <w:szCs w:val="22"/>
                </w:rPr>
                <w:t>Rapport KKR 22 maj 2023</w:t>
              </w:r>
              <w:r w:rsidRPr="00BB2C11">
                <w:rPr>
                  <w:sz w:val="22"/>
                  <w:szCs w:val="22"/>
                </w:rPr>
                <w:br/>
              </w:r>
            </w:hyperlink>
          </w:p>
        </w:tc>
      </w:tr>
      <w:tr w:rsidR="00E2585E" w:rsidRPr="00C824C0" w14:paraId="49FF798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229409C" w14:textId="28177B7B" w:rsidR="00E2585E" w:rsidRPr="009D3809" w:rsidRDefault="00E2585E" w:rsidP="00E2585E">
            <w:pPr>
              <w:rPr>
                <w:sz w:val="22"/>
                <w:szCs w:val="22"/>
              </w:rPr>
            </w:pPr>
            <w:r>
              <w:rPr>
                <w:bCs/>
                <w:sz w:val="22"/>
                <w:szCs w:val="22"/>
              </w:rPr>
              <w:t>Jordbruks- och fiskeråd 30 maj 2023</w:t>
            </w:r>
          </w:p>
        </w:tc>
        <w:tc>
          <w:tcPr>
            <w:tcW w:w="8874" w:type="dxa"/>
            <w:gridSpan w:val="5"/>
            <w:tcBorders>
              <w:bottom w:val="single" w:sz="4" w:space="0" w:color="auto"/>
            </w:tcBorders>
            <w:shd w:val="clear" w:color="auto" w:fill="auto"/>
            <w:vAlign w:val="center"/>
          </w:tcPr>
          <w:p w14:paraId="27E8E52B" w14:textId="753C3F99" w:rsidR="00E2585E" w:rsidRDefault="00E2585E" w:rsidP="00E2585E">
            <w:pPr>
              <w:rPr>
                <w:rStyle w:val="Hyperlnk"/>
                <w:sz w:val="22"/>
                <w:szCs w:val="22"/>
              </w:rPr>
            </w:pPr>
            <w:r w:rsidRPr="008E67BE">
              <w:rPr>
                <w:sz w:val="22"/>
                <w:szCs w:val="22"/>
              </w:rPr>
              <w:t xml:space="preserve">Rapport från Europeiska unionens Råd, Jordbruk och fiske, 30 maj 2023 i Bryssel </w:t>
            </w:r>
            <w:r w:rsidRPr="008E67BE">
              <w:rPr>
                <w:sz w:val="22"/>
                <w:szCs w:val="22"/>
              </w:rPr>
              <w:br/>
            </w:r>
            <w:r w:rsidRPr="000B3702">
              <w:rPr>
                <w:sz w:val="22"/>
                <w:szCs w:val="22"/>
              </w:rPr>
              <w:t>Rapport AGRIFISH 30 maj 2023</w:t>
            </w:r>
          </w:p>
          <w:p w14:paraId="2CAC610A" w14:textId="77777777" w:rsidR="00E2585E" w:rsidRDefault="00E2585E" w:rsidP="00E2585E">
            <w:pPr>
              <w:rPr>
                <w:rStyle w:val="Hyperlnk"/>
              </w:rPr>
            </w:pPr>
          </w:p>
          <w:p w14:paraId="53A05C3D" w14:textId="77777777" w:rsidR="00E2585E" w:rsidRPr="009D3809" w:rsidRDefault="00E2585E" w:rsidP="00E2585E">
            <w:pPr>
              <w:rPr>
                <w:sz w:val="22"/>
                <w:szCs w:val="22"/>
              </w:rPr>
            </w:pPr>
          </w:p>
        </w:tc>
      </w:tr>
      <w:tr w:rsidR="00E2585E" w:rsidRPr="00C824C0" w14:paraId="5BAF27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58E6" w14:textId="77777777" w:rsidR="00E2585E" w:rsidRPr="00B90272" w:rsidRDefault="00E2585E" w:rsidP="00E2585E">
            <w:pPr>
              <w:rPr>
                <w:b/>
                <w:sz w:val="22"/>
                <w:szCs w:val="22"/>
              </w:rPr>
            </w:pPr>
            <w:r w:rsidRPr="00B90272">
              <w:rPr>
                <w:b/>
                <w:sz w:val="22"/>
                <w:szCs w:val="22"/>
              </w:rPr>
              <w:t>Antagna dokument</w:t>
            </w:r>
          </w:p>
        </w:tc>
        <w:tc>
          <w:tcPr>
            <w:tcW w:w="8874" w:type="dxa"/>
            <w:gridSpan w:val="5"/>
            <w:shd w:val="clear" w:color="auto" w:fill="auto"/>
            <w:vAlign w:val="center"/>
          </w:tcPr>
          <w:p w14:paraId="4190663E" w14:textId="77777777" w:rsidR="00E2585E" w:rsidRPr="008105A5" w:rsidRDefault="00E2585E" w:rsidP="00E2585E">
            <w:pPr>
              <w:rPr>
                <w:sz w:val="22"/>
                <w:szCs w:val="22"/>
              </w:rPr>
            </w:pPr>
          </w:p>
        </w:tc>
      </w:tr>
      <w:tr w:rsidR="00E2585E" w:rsidRPr="00C824C0" w14:paraId="03ABC23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6FB3C7E" w14:textId="77777777" w:rsidR="00E2585E" w:rsidRDefault="00E2585E" w:rsidP="00E2585E">
            <w:pPr>
              <w:rPr>
                <w:sz w:val="22"/>
                <w:szCs w:val="22"/>
              </w:rPr>
            </w:pPr>
            <w:r>
              <w:rPr>
                <w:sz w:val="22"/>
                <w:szCs w:val="22"/>
              </w:rPr>
              <w:t>D</w:t>
            </w:r>
            <w:r w:rsidRPr="00A160F4">
              <w:rPr>
                <w:sz w:val="22"/>
                <w:szCs w:val="22"/>
              </w:rPr>
              <w:t>okument</w:t>
            </w:r>
            <w:r>
              <w:rPr>
                <w:sz w:val="22"/>
                <w:szCs w:val="22"/>
              </w:rPr>
              <w:t xml:space="preserve"> </w:t>
            </w:r>
            <w:r w:rsidRPr="00A160F4">
              <w:rPr>
                <w:sz w:val="22"/>
                <w:szCs w:val="22"/>
              </w:rPr>
              <w:t>ant</w:t>
            </w:r>
            <w:r>
              <w:rPr>
                <w:sz w:val="22"/>
                <w:szCs w:val="22"/>
              </w:rPr>
              <w:t>a</w:t>
            </w:r>
            <w:r w:rsidRPr="00A160F4">
              <w:rPr>
                <w:sz w:val="22"/>
                <w:szCs w:val="22"/>
              </w:rPr>
              <w:t>g</w:t>
            </w:r>
            <w:r>
              <w:rPr>
                <w:sz w:val="22"/>
                <w:szCs w:val="22"/>
              </w:rPr>
              <w:t>na</w:t>
            </w:r>
            <w:r w:rsidRPr="00A160F4">
              <w:rPr>
                <w:sz w:val="22"/>
                <w:szCs w:val="22"/>
              </w:rPr>
              <w:t xml:space="preserve"> av </w:t>
            </w:r>
            <w:proofErr w:type="spellStart"/>
            <w:r w:rsidRPr="00A160F4">
              <w:rPr>
                <w:sz w:val="22"/>
                <w:szCs w:val="22"/>
              </w:rPr>
              <w:t>Europa</w:t>
            </w:r>
            <w:r>
              <w:rPr>
                <w:sz w:val="22"/>
                <w:szCs w:val="22"/>
              </w:rPr>
              <w:t>-</w:t>
            </w:r>
            <w:r w:rsidRPr="00A160F4">
              <w:rPr>
                <w:sz w:val="22"/>
                <w:szCs w:val="22"/>
              </w:rPr>
              <w:t>parlamentet</w:t>
            </w:r>
            <w:proofErr w:type="spellEnd"/>
            <w:r w:rsidRPr="00A160F4">
              <w:rPr>
                <w:sz w:val="22"/>
                <w:szCs w:val="22"/>
              </w:rPr>
              <w:t xml:space="preserve"> 17</w:t>
            </w:r>
            <w:r>
              <w:rPr>
                <w:sz w:val="22"/>
                <w:szCs w:val="22"/>
              </w:rPr>
              <w:t xml:space="preserve"> – </w:t>
            </w:r>
            <w:r w:rsidRPr="00A160F4">
              <w:rPr>
                <w:sz w:val="22"/>
                <w:szCs w:val="22"/>
              </w:rPr>
              <w:t>20 april 2023</w:t>
            </w:r>
          </w:p>
          <w:p w14:paraId="698DFE14" w14:textId="77777777" w:rsidR="00E2585E" w:rsidRPr="00B90272" w:rsidRDefault="00E2585E" w:rsidP="00E2585E">
            <w:pPr>
              <w:rPr>
                <w:sz w:val="22"/>
                <w:szCs w:val="22"/>
              </w:rPr>
            </w:pPr>
          </w:p>
        </w:tc>
        <w:tc>
          <w:tcPr>
            <w:tcW w:w="8874" w:type="dxa"/>
            <w:gridSpan w:val="5"/>
            <w:shd w:val="clear" w:color="auto" w:fill="auto"/>
            <w:vAlign w:val="center"/>
          </w:tcPr>
          <w:p w14:paraId="075930A4" w14:textId="544A9FEF" w:rsidR="00E2585E" w:rsidRPr="00B90272" w:rsidRDefault="00E2585E" w:rsidP="00E2585E">
            <w:pPr>
              <w:rPr>
                <w:sz w:val="22"/>
                <w:szCs w:val="22"/>
              </w:rPr>
            </w:pPr>
            <w:r w:rsidRPr="00A160F4">
              <w:rPr>
                <w:sz w:val="22"/>
                <w:szCs w:val="22"/>
              </w:rPr>
              <w:t>Översändande av dokument som antogs av Europaparlamentet under sammanträdesperioden 17</w:t>
            </w:r>
            <w:r>
              <w:rPr>
                <w:sz w:val="22"/>
                <w:szCs w:val="22"/>
              </w:rPr>
              <w:t xml:space="preserve"> – </w:t>
            </w:r>
            <w:r w:rsidRPr="00A160F4">
              <w:rPr>
                <w:sz w:val="22"/>
                <w:szCs w:val="22"/>
              </w:rPr>
              <w:t>20 april 2023</w:t>
            </w:r>
            <w:r w:rsidRPr="00A160F4">
              <w:rPr>
                <w:sz w:val="22"/>
                <w:szCs w:val="22"/>
              </w:rPr>
              <w:br/>
            </w:r>
            <w:r w:rsidRPr="000B3702">
              <w:rPr>
                <w:sz w:val="22"/>
                <w:szCs w:val="22"/>
              </w:rPr>
              <w:t>Dokument antagna av Europaparlamentet 17–20 april 2023</w:t>
            </w:r>
          </w:p>
        </w:tc>
      </w:tr>
      <w:tr w:rsidR="00E2585E" w:rsidRPr="00C824C0" w14:paraId="037F6D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F46B27C" w14:textId="4AEF0AAD" w:rsidR="00E2585E" w:rsidRPr="00EB5072" w:rsidRDefault="00E2585E" w:rsidP="00E2585E">
            <w:pPr>
              <w:rPr>
                <w:sz w:val="22"/>
                <w:szCs w:val="22"/>
              </w:rPr>
            </w:pPr>
            <w:r>
              <w:rPr>
                <w:sz w:val="22"/>
                <w:szCs w:val="22"/>
              </w:rPr>
              <w:t>D</w:t>
            </w:r>
            <w:r w:rsidRPr="00A160F4">
              <w:rPr>
                <w:sz w:val="22"/>
                <w:szCs w:val="22"/>
              </w:rPr>
              <w:t>okument</w:t>
            </w:r>
            <w:r>
              <w:rPr>
                <w:sz w:val="22"/>
                <w:szCs w:val="22"/>
              </w:rPr>
              <w:t xml:space="preserve"> </w:t>
            </w:r>
            <w:r w:rsidRPr="00A160F4">
              <w:rPr>
                <w:sz w:val="22"/>
                <w:szCs w:val="22"/>
              </w:rPr>
              <w:t>ant</w:t>
            </w:r>
            <w:r>
              <w:rPr>
                <w:sz w:val="22"/>
                <w:szCs w:val="22"/>
              </w:rPr>
              <w:t>a</w:t>
            </w:r>
            <w:r w:rsidRPr="00A160F4">
              <w:rPr>
                <w:sz w:val="22"/>
                <w:szCs w:val="22"/>
              </w:rPr>
              <w:t>g</w:t>
            </w:r>
            <w:r>
              <w:rPr>
                <w:sz w:val="22"/>
                <w:szCs w:val="22"/>
              </w:rPr>
              <w:t>na</w:t>
            </w:r>
            <w:r w:rsidRPr="00A160F4">
              <w:rPr>
                <w:sz w:val="22"/>
                <w:szCs w:val="22"/>
              </w:rPr>
              <w:t xml:space="preserve"> av </w:t>
            </w:r>
            <w:proofErr w:type="spellStart"/>
            <w:r w:rsidRPr="00A160F4">
              <w:rPr>
                <w:sz w:val="22"/>
                <w:szCs w:val="22"/>
              </w:rPr>
              <w:t>Europa</w:t>
            </w:r>
            <w:r>
              <w:rPr>
                <w:sz w:val="22"/>
                <w:szCs w:val="22"/>
              </w:rPr>
              <w:t>-</w:t>
            </w:r>
            <w:r w:rsidRPr="00A160F4">
              <w:rPr>
                <w:sz w:val="22"/>
                <w:szCs w:val="22"/>
              </w:rPr>
              <w:t>parlamentet</w:t>
            </w:r>
            <w:proofErr w:type="spellEnd"/>
            <w:r w:rsidRPr="00A160F4">
              <w:rPr>
                <w:sz w:val="22"/>
                <w:szCs w:val="22"/>
              </w:rPr>
              <w:t xml:space="preserve"> </w:t>
            </w:r>
            <w:r>
              <w:rPr>
                <w:sz w:val="22"/>
                <w:szCs w:val="22"/>
              </w:rPr>
              <w:t>8 – 11 maj 2023</w:t>
            </w:r>
          </w:p>
        </w:tc>
        <w:tc>
          <w:tcPr>
            <w:tcW w:w="8874" w:type="dxa"/>
            <w:gridSpan w:val="5"/>
            <w:shd w:val="clear" w:color="auto" w:fill="auto"/>
            <w:vAlign w:val="center"/>
          </w:tcPr>
          <w:p w14:paraId="063A3E94" w14:textId="1F7C5CBB" w:rsidR="00E2585E" w:rsidRPr="00EB5072" w:rsidRDefault="00E2585E" w:rsidP="00E2585E">
            <w:pPr>
              <w:rPr>
                <w:sz w:val="22"/>
                <w:szCs w:val="22"/>
              </w:rPr>
            </w:pPr>
            <w:r w:rsidRPr="0018245B">
              <w:rPr>
                <w:sz w:val="22"/>
                <w:szCs w:val="22"/>
              </w:rPr>
              <w:t xml:space="preserve">Översändande av dokument som antogs av Europaparlamentet under sammanträdesperioden </w:t>
            </w:r>
            <w:proofErr w:type="gramStart"/>
            <w:r w:rsidRPr="0018245B">
              <w:rPr>
                <w:sz w:val="22"/>
                <w:szCs w:val="22"/>
              </w:rPr>
              <w:t>8-11</w:t>
            </w:r>
            <w:proofErr w:type="gramEnd"/>
            <w:r w:rsidRPr="0018245B">
              <w:rPr>
                <w:sz w:val="22"/>
                <w:szCs w:val="22"/>
              </w:rPr>
              <w:t xml:space="preserve"> maj 2023</w:t>
            </w:r>
            <w:r w:rsidRPr="0018245B">
              <w:rPr>
                <w:sz w:val="22"/>
                <w:szCs w:val="22"/>
              </w:rPr>
              <w:br/>
            </w:r>
            <w:r w:rsidRPr="000B3702">
              <w:rPr>
                <w:sz w:val="22"/>
                <w:szCs w:val="22"/>
              </w:rPr>
              <w:t>Dokument antagna av Europaparlamentet 8-11 maj 2023</w:t>
            </w:r>
          </w:p>
        </w:tc>
      </w:tr>
      <w:tr w:rsidR="00E2585E" w:rsidRPr="00C824C0" w14:paraId="7845C00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A8E7CD9" w14:textId="0D92329B" w:rsidR="00E2585E" w:rsidRPr="00C824C0" w:rsidRDefault="00E2585E" w:rsidP="00E2585E">
            <w:pPr>
              <w:rPr>
                <w:b/>
                <w:bCs/>
                <w:sz w:val="22"/>
                <w:szCs w:val="22"/>
              </w:rPr>
            </w:pPr>
            <w:r w:rsidRPr="00FB6DBE">
              <w:rPr>
                <w:b/>
                <w:bCs/>
                <w:sz w:val="22"/>
                <w:szCs w:val="22"/>
              </w:rPr>
              <w:t xml:space="preserve">Antagna </w:t>
            </w:r>
            <w:r>
              <w:rPr>
                <w:b/>
                <w:bCs/>
                <w:sz w:val="22"/>
                <w:szCs w:val="22"/>
              </w:rPr>
              <w:t>lag-stiftningsakter</w:t>
            </w:r>
          </w:p>
        </w:tc>
        <w:tc>
          <w:tcPr>
            <w:tcW w:w="8874" w:type="dxa"/>
            <w:gridSpan w:val="5"/>
            <w:shd w:val="clear" w:color="auto" w:fill="auto"/>
            <w:vAlign w:val="center"/>
          </w:tcPr>
          <w:p w14:paraId="575879CE" w14:textId="77777777" w:rsidR="00E2585E" w:rsidRPr="00C824C0" w:rsidRDefault="00E2585E" w:rsidP="00E2585E">
            <w:pPr>
              <w:rPr>
                <w:sz w:val="22"/>
                <w:szCs w:val="22"/>
                <w:u w:val="single"/>
              </w:rPr>
            </w:pPr>
          </w:p>
        </w:tc>
      </w:tr>
      <w:tr w:rsidR="00E2585E" w:rsidRPr="00C824C0" w14:paraId="08DB698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6E4D7D6" w14:textId="77777777" w:rsidR="00E2585E" w:rsidRPr="00B57F0E" w:rsidRDefault="00E2585E" w:rsidP="00E2585E">
            <w:pPr>
              <w:rPr>
                <w:bCs/>
                <w:sz w:val="22"/>
                <w:szCs w:val="22"/>
              </w:rPr>
            </w:pPr>
          </w:p>
        </w:tc>
        <w:tc>
          <w:tcPr>
            <w:tcW w:w="8874" w:type="dxa"/>
            <w:gridSpan w:val="5"/>
            <w:shd w:val="clear" w:color="auto" w:fill="auto"/>
            <w:vAlign w:val="center"/>
          </w:tcPr>
          <w:p w14:paraId="3CAC0F18" w14:textId="77777777" w:rsidR="00E2585E" w:rsidRPr="00E5714E" w:rsidRDefault="00E2585E" w:rsidP="00E2585E">
            <w:pPr>
              <w:rPr>
                <w:sz w:val="22"/>
                <w:szCs w:val="22"/>
              </w:rPr>
            </w:pPr>
            <w:r w:rsidRPr="00E5714E">
              <w:rPr>
                <w:sz w:val="22"/>
                <w:szCs w:val="22"/>
              </w:rPr>
              <w:t xml:space="preserve">Rådet har publicerat en text till lagstiftningsakt på </w:t>
            </w:r>
            <w:proofErr w:type="spellStart"/>
            <w:r w:rsidRPr="00E5714E">
              <w:rPr>
                <w:sz w:val="22"/>
                <w:szCs w:val="22"/>
              </w:rPr>
              <w:t>MJU:s</w:t>
            </w:r>
            <w:proofErr w:type="spellEnd"/>
            <w:r w:rsidRPr="00E5714E">
              <w:rPr>
                <w:sz w:val="22"/>
                <w:szCs w:val="22"/>
              </w:rPr>
              <w:t xml:space="preserve"> område som nyligen har antagits.</w:t>
            </w:r>
          </w:p>
          <w:p w14:paraId="2FCBDAB2" w14:textId="77777777" w:rsidR="00E2585E" w:rsidRPr="00E5714E" w:rsidRDefault="00E2585E" w:rsidP="00E2585E">
            <w:pPr>
              <w:rPr>
                <w:sz w:val="22"/>
                <w:szCs w:val="22"/>
              </w:rPr>
            </w:pPr>
          </w:p>
          <w:p w14:paraId="3A91A360" w14:textId="77777777" w:rsidR="00E2585E" w:rsidRPr="00E5714E" w:rsidRDefault="00E2585E" w:rsidP="00E2585E">
            <w:pPr>
              <w:rPr>
                <w:b/>
                <w:bCs/>
                <w:sz w:val="22"/>
                <w:szCs w:val="22"/>
              </w:rPr>
            </w:pPr>
            <w:r w:rsidRPr="00E5714E">
              <w:rPr>
                <w:sz w:val="22"/>
                <w:szCs w:val="22"/>
              </w:rPr>
              <w:t>EUROPAPARLAMENTETS OCH RÅDETS FÖRORDNING om särskilda regler om</w:t>
            </w:r>
            <w:r w:rsidRPr="00E5714E">
              <w:rPr>
                <w:b/>
                <w:bCs/>
                <w:sz w:val="22"/>
                <w:szCs w:val="22"/>
              </w:rPr>
              <w:t xml:space="preserve"> införsel till Nordirland från andra delar av Förenade kungariket av vissa sändningar av detaljhandelsvaror, växter för plantering, utsädespotatis, maskiner och vissa fordon som har använts för jordbruks</w:t>
            </w:r>
            <w:r>
              <w:rPr>
                <w:b/>
                <w:bCs/>
                <w:sz w:val="22"/>
                <w:szCs w:val="22"/>
              </w:rPr>
              <w:t xml:space="preserve"> </w:t>
            </w:r>
            <w:r w:rsidRPr="00E5714E">
              <w:rPr>
                <w:b/>
                <w:bCs/>
                <w:sz w:val="22"/>
                <w:szCs w:val="22"/>
              </w:rPr>
              <w:t>eller skogsbruksändamål samt om förflyttning utan kommersiellt syfte av vissa sällskapsdjur till Nordirland</w:t>
            </w:r>
          </w:p>
          <w:p w14:paraId="00356302" w14:textId="77777777" w:rsidR="00E2585E" w:rsidRPr="00E5714E" w:rsidRDefault="00E2585E" w:rsidP="00E2585E">
            <w:pPr>
              <w:rPr>
                <w:sz w:val="22"/>
                <w:szCs w:val="22"/>
              </w:rPr>
            </w:pPr>
          </w:p>
          <w:p w14:paraId="1B2401FF" w14:textId="77777777" w:rsidR="00E2585E" w:rsidRPr="00E5714E" w:rsidRDefault="00E2585E" w:rsidP="00E2585E">
            <w:pPr>
              <w:rPr>
                <w:sz w:val="22"/>
                <w:szCs w:val="22"/>
              </w:rPr>
            </w:pPr>
            <w:r w:rsidRPr="00E5714E">
              <w:rPr>
                <w:sz w:val="22"/>
                <w:szCs w:val="22"/>
              </w:rPr>
              <w:t xml:space="preserve">Antagen text </w:t>
            </w:r>
          </w:p>
          <w:p w14:paraId="4F6D44F1" w14:textId="30FC5E2C" w:rsidR="00E2585E" w:rsidRPr="00E5714E" w:rsidRDefault="00E2585E" w:rsidP="00E2585E">
            <w:pPr>
              <w:rPr>
                <w:sz w:val="22"/>
                <w:szCs w:val="22"/>
              </w:rPr>
            </w:pPr>
            <w:r w:rsidRPr="000B3702">
              <w:rPr>
                <w:sz w:val="22"/>
                <w:szCs w:val="22"/>
              </w:rPr>
              <w:t>https://data.consilium.europa.eu/doc/document/PE-17-2023-INIT/sv/pdf</w:t>
            </w:r>
            <w:r w:rsidRPr="00E5714E">
              <w:rPr>
                <w:sz w:val="22"/>
                <w:szCs w:val="22"/>
              </w:rPr>
              <w:t xml:space="preserve"> </w:t>
            </w:r>
          </w:p>
          <w:p w14:paraId="2DFAA758" w14:textId="77777777" w:rsidR="00E2585E" w:rsidRPr="00E5714E" w:rsidRDefault="00E2585E" w:rsidP="00E2585E">
            <w:pPr>
              <w:rPr>
                <w:sz w:val="22"/>
                <w:szCs w:val="22"/>
              </w:rPr>
            </w:pPr>
          </w:p>
          <w:p w14:paraId="03F2B3FD" w14:textId="77777777" w:rsidR="00E2585E" w:rsidRPr="00E5714E" w:rsidRDefault="00E2585E" w:rsidP="00E2585E">
            <w:pPr>
              <w:rPr>
                <w:sz w:val="22"/>
                <w:szCs w:val="22"/>
              </w:rPr>
            </w:pPr>
            <w:r w:rsidRPr="00E5714E">
              <w:rPr>
                <w:sz w:val="22"/>
                <w:szCs w:val="22"/>
              </w:rPr>
              <w:t xml:space="preserve">Ursprungligt förslag </w:t>
            </w:r>
            <w:proofErr w:type="gramStart"/>
            <w:r w:rsidRPr="00E5714E">
              <w:rPr>
                <w:sz w:val="22"/>
                <w:szCs w:val="22"/>
              </w:rPr>
              <w:t>COM(</w:t>
            </w:r>
            <w:proofErr w:type="gramEnd"/>
            <w:r w:rsidRPr="00E5714E">
              <w:rPr>
                <w:sz w:val="22"/>
                <w:szCs w:val="22"/>
              </w:rPr>
              <w:t>2023) 124</w:t>
            </w:r>
          </w:p>
          <w:p w14:paraId="10EF9C4C" w14:textId="3A669B2B" w:rsidR="00E2585E" w:rsidRPr="00E5714E" w:rsidRDefault="00E2585E" w:rsidP="00E2585E">
            <w:pPr>
              <w:rPr>
                <w:sz w:val="22"/>
                <w:szCs w:val="22"/>
              </w:rPr>
            </w:pPr>
            <w:r w:rsidRPr="000B3702">
              <w:rPr>
                <w:sz w:val="22"/>
                <w:szCs w:val="22"/>
              </w:rPr>
              <w:t>https://lemur.riksdagen.se/?dokumentId=40905</w:t>
            </w:r>
            <w:r w:rsidRPr="00E5714E">
              <w:rPr>
                <w:sz w:val="22"/>
                <w:szCs w:val="22"/>
              </w:rPr>
              <w:t xml:space="preserve"> </w:t>
            </w:r>
          </w:p>
          <w:p w14:paraId="534BC99A" w14:textId="77777777" w:rsidR="00E2585E" w:rsidRPr="00E5714E" w:rsidRDefault="00E2585E" w:rsidP="00E2585E">
            <w:pPr>
              <w:rPr>
                <w:sz w:val="22"/>
                <w:szCs w:val="22"/>
              </w:rPr>
            </w:pPr>
          </w:p>
          <w:p w14:paraId="3438F9FF" w14:textId="1D82096A" w:rsidR="00E2585E" w:rsidRPr="001C3EE2" w:rsidRDefault="00E2585E" w:rsidP="00E2585E">
            <w:pPr>
              <w:spacing w:after="240"/>
              <w:rPr>
                <w:sz w:val="22"/>
                <w:szCs w:val="22"/>
              </w:rPr>
            </w:pPr>
            <w:r w:rsidRPr="00E5714E">
              <w:rPr>
                <w:sz w:val="22"/>
                <w:szCs w:val="22"/>
              </w:rPr>
              <w:t>Förslaget ansågs inte strida mot subsidiaritetsprincipen (protokoll 2022/23:33)</w:t>
            </w:r>
          </w:p>
        </w:tc>
      </w:tr>
      <w:tr w:rsidR="00E2585E" w:rsidRPr="00C824C0" w14:paraId="701B4B5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46C3B3B" w14:textId="0839D158" w:rsidR="00E2585E" w:rsidRPr="00C96157" w:rsidRDefault="00E2585E" w:rsidP="00E2585E">
            <w:pPr>
              <w:rPr>
                <w:bCs/>
                <w:sz w:val="22"/>
                <w:szCs w:val="22"/>
              </w:rPr>
            </w:pPr>
            <w:r>
              <w:rPr>
                <w:b/>
                <w:bCs/>
                <w:sz w:val="22"/>
                <w:szCs w:val="22"/>
              </w:rPr>
              <w:t>Yttranden från andra nationella parlament</w:t>
            </w:r>
          </w:p>
        </w:tc>
        <w:tc>
          <w:tcPr>
            <w:tcW w:w="8874" w:type="dxa"/>
            <w:gridSpan w:val="5"/>
            <w:shd w:val="clear" w:color="auto" w:fill="auto"/>
            <w:vAlign w:val="center"/>
          </w:tcPr>
          <w:p w14:paraId="27292273" w14:textId="77777777" w:rsidR="00E2585E" w:rsidRPr="001C3EE2" w:rsidRDefault="00E2585E" w:rsidP="00E2585E">
            <w:pPr>
              <w:rPr>
                <w:sz w:val="22"/>
                <w:szCs w:val="22"/>
              </w:rPr>
            </w:pPr>
          </w:p>
        </w:tc>
      </w:tr>
      <w:tr w:rsidR="00E2585E" w:rsidRPr="00C824C0" w14:paraId="20E1F74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22690AA" w14:textId="0BB4EFE6" w:rsidR="00E2585E" w:rsidRPr="008A243B" w:rsidRDefault="00E2585E" w:rsidP="00E2585E">
            <w:pPr>
              <w:rPr>
                <w:bCs/>
                <w:sz w:val="22"/>
                <w:szCs w:val="22"/>
              </w:rPr>
            </w:pPr>
            <w:r w:rsidRPr="000B3702">
              <w:rPr>
                <w:sz w:val="22"/>
                <w:szCs w:val="22"/>
                <w:lang w:val="en-GB"/>
              </w:rPr>
              <w:t>ST 9653/23</w:t>
            </w:r>
          </w:p>
        </w:tc>
        <w:tc>
          <w:tcPr>
            <w:tcW w:w="8874" w:type="dxa"/>
            <w:gridSpan w:val="5"/>
            <w:shd w:val="clear" w:color="auto" w:fill="auto"/>
            <w:vAlign w:val="center"/>
          </w:tcPr>
          <w:p w14:paraId="7C88A2FE" w14:textId="63DAC110" w:rsidR="00E2585E" w:rsidRPr="001C3EE2" w:rsidRDefault="00E2585E" w:rsidP="00E2585E">
            <w:pPr>
              <w:spacing w:after="240"/>
              <w:rPr>
                <w:sz w:val="22"/>
                <w:szCs w:val="22"/>
              </w:rPr>
            </w:pPr>
            <w:r w:rsidRPr="0018245B">
              <w:rPr>
                <w:sz w:val="22"/>
                <w:szCs w:val="22"/>
                <w:lang w:val="en-GB"/>
              </w:rPr>
              <w:t xml:space="preserve">Proposal for a REGULATION OF THE EUROPEAN PARLIAMENT AND OF THE COUNCIL amending Regulation (EU) 019/1242 as regards </w:t>
            </w:r>
            <w:r w:rsidRPr="0018245B">
              <w:rPr>
                <w:b/>
                <w:bCs/>
                <w:sz w:val="22"/>
                <w:szCs w:val="22"/>
                <w:lang w:val="en-GB"/>
              </w:rPr>
              <w:t xml:space="preserve">strengthening the CO2 emission performance standards for new </w:t>
            </w:r>
            <w:proofErr w:type="spellStart"/>
            <w:r w:rsidRPr="0018245B">
              <w:rPr>
                <w:b/>
                <w:bCs/>
                <w:sz w:val="22"/>
                <w:szCs w:val="22"/>
                <w:lang w:val="en-GB"/>
              </w:rPr>
              <w:t>heavyduty</w:t>
            </w:r>
            <w:proofErr w:type="spellEnd"/>
            <w:r w:rsidRPr="0018245B">
              <w:rPr>
                <w:b/>
                <w:bCs/>
                <w:sz w:val="22"/>
                <w:szCs w:val="22"/>
                <w:lang w:val="en-GB"/>
              </w:rPr>
              <w:t xml:space="preserve"> vehicles</w:t>
            </w:r>
            <w:r w:rsidRPr="0018245B">
              <w:rPr>
                <w:sz w:val="22"/>
                <w:szCs w:val="22"/>
                <w:lang w:val="en-GB"/>
              </w:rPr>
              <w:t xml:space="preserve"> and integrating reporting obligations, and repealing Regulation (EU) 2018/956 [ 6539/23 - </w:t>
            </w:r>
            <w:proofErr w:type="gramStart"/>
            <w:r w:rsidRPr="0018245B">
              <w:rPr>
                <w:sz w:val="22"/>
                <w:szCs w:val="22"/>
                <w:lang w:val="en-GB"/>
              </w:rPr>
              <w:t>COM(</w:t>
            </w:r>
            <w:proofErr w:type="gramEnd"/>
            <w:r w:rsidRPr="0018245B">
              <w:rPr>
                <w:sz w:val="22"/>
                <w:szCs w:val="22"/>
                <w:lang w:val="en-GB"/>
              </w:rPr>
              <w:t>2023) 88 final] - Reasoned opinion on the application of the Principles of Subsidiarity and Proportionality - The Italian Senate</w:t>
            </w:r>
            <w:r w:rsidRPr="0018245B">
              <w:rPr>
                <w:sz w:val="22"/>
                <w:szCs w:val="22"/>
                <w:lang w:val="en-GB"/>
              </w:rPr>
              <w:br/>
            </w:r>
          </w:p>
        </w:tc>
      </w:tr>
      <w:tr w:rsidR="00E2585E" w:rsidRPr="00C824C0" w14:paraId="04DA867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7D8A608" w14:textId="143A51E1" w:rsidR="00E2585E" w:rsidRPr="00920971" w:rsidRDefault="00E2585E" w:rsidP="00E2585E">
            <w:pPr>
              <w:rPr>
                <w:b/>
                <w:bCs/>
                <w:sz w:val="22"/>
                <w:szCs w:val="22"/>
              </w:rPr>
            </w:pPr>
            <w:r w:rsidRPr="000B3702">
              <w:rPr>
                <w:sz w:val="22"/>
                <w:szCs w:val="22"/>
                <w:lang w:val="en-GB"/>
              </w:rPr>
              <w:t>ST 10326/23</w:t>
            </w:r>
          </w:p>
        </w:tc>
        <w:tc>
          <w:tcPr>
            <w:tcW w:w="8874" w:type="dxa"/>
            <w:gridSpan w:val="5"/>
            <w:shd w:val="clear" w:color="auto" w:fill="auto"/>
            <w:vAlign w:val="center"/>
          </w:tcPr>
          <w:p w14:paraId="6D6633B5" w14:textId="04729700" w:rsidR="00E2585E" w:rsidRPr="00C824C0" w:rsidRDefault="00E2585E" w:rsidP="00E2585E">
            <w:pPr>
              <w:rPr>
                <w:rStyle w:val="Hyperlnk"/>
                <w:sz w:val="22"/>
                <w:szCs w:val="22"/>
              </w:rPr>
            </w:pPr>
            <w:r w:rsidRPr="0018245B">
              <w:rPr>
                <w:sz w:val="22"/>
                <w:szCs w:val="22"/>
                <w:lang w:val="en-GB"/>
              </w:rPr>
              <w:t xml:space="preserve">Proposal for a REGULATION OF THE EUROPEAN PARLIAMENT AND OF THE COUNCIL </w:t>
            </w:r>
            <w:r w:rsidRPr="000C7F62">
              <w:rPr>
                <w:b/>
                <w:bCs/>
                <w:sz w:val="22"/>
                <w:szCs w:val="22"/>
                <w:lang w:val="en-GB"/>
              </w:rPr>
              <w:t>on packaging and packaging waste</w:t>
            </w:r>
            <w:r w:rsidRPr="0018245B">
              <w:rPr>
                <w:sz w:val="22"/>
                <w:szCs w:val="22"/>
                <w:lang w:val="en-GB"/>
              </w:rPr>
              <w:t xml:space="preserve">, amending Regulation (EU) 2019/1020 and Directive (EU) 2019/904, and repealing Directive 94/62/EC - Opinion on the application of the Principles of </w:t>
            </w:r>
            <w:r w:rsidRPr="0018245B">
              <w:rPr>
                <w:sz w:val="22"/>
                <w:szCs w:val="22"/>
                <w:lang w:val="en-GB"/>
              </w:rPr>
              <w:lastRenderedPageBreak/>
              <w:t>Subsidiarity and Proportionality - The Senate of the Czech Republic</w:t>
            </w:r>
            <w:r w:rsidRPr="0018245B">
              <w:rPr>
                <w:sz w:val="22"/>
                <w:szCs w:val="22"/>
                <w:lang w:val="en-GB"/>
              </w:rPr>
              <w:br/>
            </w:r>
            <w:r w:rsidRPr="0018245B">
              <w:rPr>
                <w:sz w:val="22"/>
                <w:szCs w:val="22"/>
                <w:lang w:val="en-GB"/>
              </w:rPr>
              <w:br/>
            </w:r>
          </w:p>
        </w:tc>
      </w:tr>
      <w:tr w:rsidR="00E2585E" w:rsidRPr="00C824C0" w14:paraId="2FB7584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E644EE1" w14:textId="401F487C" w:rsidR="00E2585E" w:rsidRPr="00C824C0" w:rsidRDefault="00E2585E" w:rsidP="00E2585E">
            <w:pPr>
              <w:rPr>
                <w:b/>
                <w:bCs/>
                <w:sz w:val="22"/>
                <w:szCs w:val="22"/>
              </w:rPr>
            </w:pPr>
            <w:r w:rsidRPr="000B3702">
              <w:rPr>
                <w:sz w:val="22"/>
                <w:szCs w:val="22"/>
                <w:lang w:val="en-GB"/>
              </w:rPr>
              <w:lastRenderedPageBreak/>
              <w:t>ST 10348/23</w:t>
            </w:r>
          </w:p>
        </w:tc>
        <w:tc>
          <w:tcPr>
            <w:tcW w:w="8874" w:type="dxa"/>
            <w:gridSpan w:val="5"/>
            <w:shd w:val="clear" w:color="auto" w:fill="auto"/>
            <w:vAlign w:val="center"/>
          </w:tcPr>
          <w:p w14:paraId="7932DF8F" w14:textId="1004240A" w:rsidR="00E2585E" w:rsidRPr="00C824C0" w:rsidRDefault="00E2585E" w:rsidP="00E2585E">
            <w:pPr>
              <w:rPr>
                <w:rStyle w:val="Hyperlnk"/>
                <w:sz w:val="22"/>
                <w:szCs w:val="22"/>
              </w:rPr>
            </w:pPr>
            <w:r w:rsidRPr="0018245B">
              <w:rPr>
                <w:sz w:val="22"/>
                <w:szCs w:val="22"/>
                <w:lang w:val="en-GB"/>
              </w:rPr>
              <w:t xml:space="preserve">Proposal for a REGULATION OF THE EUROPEAN PARLIAMENT AND OF THE COUNCIL </w:t>
            </w:r>
            <w:r w:rsidRPr="000C7F62">
              <w:rPr>
                <w:b/>
                <w:bCs/>
                <w:sz w:val="22"/>
                <w:szCs w:val="22"/>
                <w:lang w:val="en-GB"/>
              </w:rPr>
              <w:t>on packaging and packaging waste</w:t>
            </w:r>
            <w:r w:rsidRPr="0018245B">
              <w:rPr>
                <w:sz w:val="22"/>
                <w:szCs w:val="22"/>
                <w:lang w:val="en-GB"/>
              </w:rPr>
              <w:t xml:space="preserve">, amending Regulation (EU) 2019/1020 and Directive (EU) 2019/904, and repealing Directive 94/62/EC [15581/22 - </w:t>
            </w:r>
            <w:proofErr w:type="gramStart"/>
            <w:r w:rsidRPr="0018245B">
              <w:rPr>
                <w:sz w:val="22"/>
                <w:szCs w:val="22"/>
                <w:lang w:val="en-GB"/>
              </w:rPr>
              <w:t>COM(</w:t>
            </w:r>
            <w:proofErr w:type="gramEnd"/>
            <w:r w:rsidRPr="0018245B">
              <w:rPr>
                <w:sz w:val="22"/>
                <w:szCs w:val="22"/>
                <w:lang w:val="en-GB"/>
              </w:rPr>
              <w:t>2022) 677 final] ? Opinion on the application of the Principles of Subsidiarity and Proportionality - The Polish Senate</w:t>
            </w:r>
            <w:r w:rsidRPr="0018245B">
              <w:rPr>
                <w:sz w:val="22"/>
                <w:szCs w:val="22"/>
                <w:lang w:val="en-GB"/>
              </w:rPr>
              <w:br/>
            </w:r>
          </w:p>
        </w:tc>
      </w:tr>
      <w:tr w:rsidR="00E2585E" w:rsidRPr="00C824C0" w14:paraId="539C4F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7C261DA" w14:textId="4937ED8A" w:rsidR="00E2585E" w:rsidRPr="006B3148" w:rsidRDefault="00E2585E" w:rsidP="00E2585E">
            <w:pPr>
              <w:rPr>
                <w:b/>
                <w:bCs/>
                <w:sz w:val="22"/>
                <w:szCs w:val="22"/>
              </w:rPr>
            </w:pPr>
            <w:r w:rsidRPr="000B3702">
              <w:rPr>
                <w:sz w:val="22"/>
                <w:szCs w:val="22"/>
                <w:lang w:val="en-GB"/>
              </w:rPr>
              <w:t>ST 10479/23</w:t>
            </w:r>
          </w:p>
        </w:tc>
        <w:tc>
          <w:tcPr>
            <w:tcW w:w="8874" w:type="dxa"/>
            <w:gridSpan w:val="5"/>
            <w:shd w:val="clear" w:color="auto" w:fill="auto"/>
            <w:vAlign w:val="center"/>
          </w:tcPr>
          <w:p w14:paraId="6730BBAA" w14:textId="51C0501B" w:rsidR="00E2585E" w:rsidRPr="002C489F" w:rsidRDefault="00E2585E" w:rsidP="00E2585E">
            <w:pPr>
              <w:rPr>
                <w:b/>
                <w:bCs/>
                <w:color w:val="000000"/>
                <w:sz w:val="22"/>
                <w:szCs w:val="22"/>
              </w:rPr>
            </w:pPr>
            <w:r w:rsidRPr="00133340">
              <w:rPr>
                <w:sz w:val="22"/>
                <w:szCs w:val="22"/>
                <w:lang w:val="en-GB"/>
              </w:rPr>
              <w:t xml:space="preserve">Proposal for a DIRECTIVE OF THE EUROPEAN PARLIAMENT AND OF THE COUNCIL </w:t>
            </w:r>
            <w:r w:rsidRPr="00F5001B">
              <w:rPr>
                <w:b/>
                <w:bCs/>
                <w:sz w:val="22"/>
                <w:szCs w:val="22"/>
                <w:lang w:val="en-GB"/>
              </w:rPr>
              <w:t>on ambient air quality and cleaner air for Europe</w:t>
            </w:r>
            <w:r w:rsidRPr="00133340">
              <w:rPr>
                <w:sz w:val="22"/>
                <w:szCs w:val="22"/>
                <w:lang w:val="en-GB"/>
              </w:rPr>
              <w:t xml:space="preserve"> (recast) [14217/22 - COM (2022) 542] - Opinion on the application of the Principles of Subsidiarity and Proportionality - Italian Senate </w:t>
            </w:r>
            <w:r w:rsidRPr="00133340">
              <w:rPr>
                <w:sz w:val="22"/>
                <w:szCs w:val="22"/>
                <w:lang w:val="en-GB"/>
              </w:rPr>
              <w:br/>
            </w:r>
          </w:p>
        </w:tc>
      </w:tr>
      <w:tr w:rsidR="00E2585E" w:rsidRPr="00C824C0" w14:paraId="676CD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B3623C" w14:textId="5D1DE733" w:rsidR="00E2585E" w:rsidRPr="002C489F" w:rsidRDefault="00E2585E" w:rsidP="00E2585E">
            <w:pPr>
              <w:rPr>
                <w:bCs/>
                <w:sz w:val="22"/>
                <w:szCs w:val="22"/>
              </w:rPr>
            </w:pPr>
            <w:r>
              <w:rPr>
                <w:b/>
                <w:bCs/>
                <w:sz w:val="22"/>
                <w:szCs w:val="22"/>
              </w:rPr>
              <w:t>Förutsedda punkter på kommissionens dagordning</w:t>
            </w:r>
          </w:p>
        </w:tc>
        <w:tc>
          <w:tcPr>
            <w:tcW w:w="8874" w:type="dxa"/>
            <w:gridSpan w:val="5"/>
            <w:shd w:val="clear" w:color="auto" w:fill="auto"/>
            <w:vAlign w:val="center"/>
          </w:tcPr>
          <w:p w14:paraId="32CC6C8B" w14:textId="77777777" w:rsidR="00E2585E" w:rsidRPr="006B3148" w:rsidRDefault="00E2585E" w:rsidP="00E2585E">
            <w:pPr>
              <w:rPr>
                <w:b/>
                <w:bCs/>
                <w:color w:val="000000"/>
                <w:sz w:val="22"/>
                <w:szCs w:val="22"/>
              </w:rPr>
            </w:pPr>
          </w:p>
        </w:tc>
      </w:tr>
      <w:tr w:rsidR="00E2585E" w:rsidRPr="00C824C0" w14:paraId="138831E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2AF5081" w14:textId="77777777" w:rsidR="00E2585E" w:rsidRDefault="00E2585E" w:rsidP="00E2585E">
            <w:pPr>
              <w:rPr>
                <w:b/>
                <w:bCs/>
                <w:sz w:val="22"/>
                <w:szCs w:val="22"/>
              </w:rPr>
            </w:pPr>
          </w:p>
        </w:tc>
        <w:tc>
          <w:tcPr>
            <w:tcW w:w="8874" w:type="dxa"/>
            <w:gridSpan w:val="5"/>
            <w:shd w:val="clear" w:color="auto" w:fill="auto"/>
            <w:vAlign w:val="center"/>
          </w:tcPr>
          <w:p w14:paraId="5EFB8DDC" w14:textId="77777777" w:rsidR="00E2585E" w:rsidRDefault="00E2585E" w:rsidP="00E2585E">
            <w:pPr>
              <w:rPr>
                <w:b/>
                <w:bCs/>
                <w:color w:val="000000"/>
                <w:sz w:val="22"/>
                <w:szCs w:val="22"/>
              </w:rPr>
            </w:pPr>
            <w:r>
              <w:rPr>
                <w:b/>
                <w:bCs/>
                <w:color w:val="000000"/>
              </w:rPr>
              <w:t>28 juni</w:t>
            </w:r>
          </w:p>
          <w:p w14:paraId="737E0942" w14:textId="77777777" w:rsidR="00E2585E" w:rsidRDefault="00E2585E" w:rsidP="00E2585E">
            <w:pPr>
              <w:pStyle w:val="Liststycke"/>
              <w:widowControl/>
              <w:numPr>
                <w:ilvl w:val="0"/>
                <w:numId w:val="5"/>
              </w:numPr>
            </w:pPr>
            <w:r>
              <w:rPr>
                <w:color w:val="000000"/>
              </w:rPr>
              <w:t xml:space="preserve">Gemensamt meddelande om klimatförändringar, miljöförstöring, säkerhet och försvar </w:t>
            </w:r>
            <w:r>
              <w:rPr>
                <w:b/>
                <w:bCs/>
                <w:color w:val="000000"/>
              </w:rPr>
              <w:t xml:space="preserve">(FöU/MJU) </w:t>
            </w:r>
          </w:p>
          <w:p w14:paraId="45362F19" w14:textId="77777777" w:rsidR="00E2585E" w:rsidRDefault="00E2585E" w:rsidP="00E2585E">
            <w:pPr>
              <w:rPr>
                <w:sz w:val="22"/>
                <w:szCs w:val="22"/>
              </w:rPr>
            </w:pPr>
          </w:p>
          <w:p w14:paraId="4AB9B151" w14:textId="77777777" w:rsidR="00E2585E" w:rsidRDefault="00E2585E" w:rsidP="00E2585E">
            <w:pPr>
              <w:rPr>
                <w:b/>
                <w:bCs/>
                <w:color w:val="000000"/>
                <w:sz w:val="22"/>
                <w:szCs w:val="22"/>
              </w:rPr>
            </w:pPr>
            <w:r>
              <w:rPr>
                <w:b/>
                <w:bCs/>
                <w:color w:val="000000"/>
              </w:rPr>
              <w:t>5 juli</w:t>
            </w:r>
          </w:p>
          <w:p w14:paraId="50D44518" w14:textId="77777777" w:rsidR="00E2585E" w:rsidRDefault="00E2585E" w:rsidP="00E2585E">
            <w:pPr>
              <w:pStyle w:val="Liststycke"/>
              <w:widowControl/>
              <w:numPr>
                <w:ilvl w:val="0"/>
                <w:numId w:val="6"/>
              </w:numPr>
              <w:rPr>
                <w:b/>
                <w:bCs/>
                <w:color w:val="000000"/>
              </w:rPr>
            </w:pPr>
            <w:r>
              <w:rPr>
                <w:color w:val="000000"/>
              </w:rPr>
              <w:t>Paketet för livsmedel och biologisk mångfald</w:t>
            </w:r>
          </w:p>
          <w:p w14:paraId="7A6B8D4C" w14:textId="77777777" w:rsidR="00E2585E" w:rsidRDefault="00E2585E" w:rsidP="00E2585E">
            <w:pPr>
              <w:pStyle w:val="Liststycke"/>
              <w:widowControl/>
              <w:numPr>
                <w:ilvl w:val="1"/>
                <w:numId w:val="6"/>
              </w:numPr>
              <w:rPr>
                <w:b/>
                <w:bCs/>
                <w:color w:val="000000"/>
              </w:rPr>
            </w:pPr>
            <w:r>
              <w:rPr>
                <w:color w:val="000000"/>
              </w:rPr>
              <w:t xml:space="preserve">Lagstiftning om frisk mark </w:t>
            </w:r>
            <w:r>
              <w:rPr>
                <w:b/>
                <w:bCs/>
                <w:color w:val="000000"/>
              </w:rPr>
              <w:t xml:space="preserve">(MJU) </w:t>
            </w:r>
          </w:p>
          <w:p w14:paraId="0B1885D0" w14:textId="77777777" w:rsidR="00E2585E" w:rsidRDefault="00E2585E" w:rsidP="00E2585E">
            <w:pPr>
              <w:pStyle w:val="Liststycke"/>
              <w:widowControl/>
              <w:numPr>
                <w:ilvl w:val="1"/>
                <w:numId w:val="6"/>
              </w:numPr>
              <w:rPr>
                <w:b/>
                <w:bCs/>
                <w:color w:val="000000"/>
              </w:rPr>
            </w:pPr>
            <w:r>
              <w:rPr>
                <w:color w:val="000000"/>
              </w:rPr>
              <w:t xml:space="preserve">Förordning om växter som framställs med vissa nya genomiska metoder </w:t>
            </w:r>
            <w:r>
              <w:rPr>
                <w:b/>
                <w:bCs/>
                <w:color w:val="000000"/>
              </w:rPr>
              <w:t xml:space="preserve">(MJU) </w:t>
            </w:r>
          </w:p>
          <w:p w14:paraId="46D230F0" w14:textId="77777777" w:rsidR="00E2585E" w:rsidRDefault="00E2585E" w:rsidP="00E2585E">
            <w:pPr>
              <w:pStyle w:val="Liststycke"/>
              <w:widowControl/>
              <w:numPr>
                <w:ilvl w:val="1"/>
                <w:numId w:val="6"/>
              </w:numPr>
              <w:rPr>
                <w:color w:val="000000"/>
              </w:rPr>
            </w:pPr>
            <w:r>
              <w:rPr>
                <w:color w:val="000000"/>
              </w:rPr>
              <w:t xml:space="preserve">Översyn av regler om livsmedelsavfall och textilier i EU:s ramdirektiv om avfall </w:t>
            </w:r>
            <w:r>
              <w:rPr>
                <w:b/>
                <w:bCs/>
                <w:color w:val="000000"/>
              </w:rPr>
              <w:t>(MJU)</w:t>
            </w:r>
          </w:p>
          <w:p w14:paraId="08AC3FC2" w14:textId="77777777" w:rsidR="00E2585E" w:rsidRDefault="00E2585E" w:rsidP="00E2585E">
            <w:pPr>
              <w:pStyle w:val="Liststycke"/>
              <w:widowControl/>
              <w:numPr>
                <w:ilvl w:val="1"/>
                <w:numId w:val="6"/>
              </w:numPr>
              <w:rPr>
                <w:color w:val="000000"/>
              </w:rPr>
            </w:pPr>
            <w:r>
              <w:rPr>
                <w:color w:val="000000"/>
              </w:rPr>
              <w:t xml:space="preserve">Översyn av lagstiftning om växtförökningsmaterial och skogsodlingsmaterial </w:t>
            </w:r>
            <w:r>
              <w:rPr>
                <w:b/>
                <w:bCs/>
                <w:color w:val="000000"/>
              </w:rPr>
              <w:t>(MJU)</w:t>
            </w:r>
          </w:p>
          <w:p w14:paraId="53169D6A" w14:textId="77777777" w:rsidR="00E2585E" w:rsidRDefault="00E2585E" w:rsidP="00E2585E">
            <w:pPr>
              <w:rPr>
                <w:color w:val="000000"/>
              </w:rPr>
            </w:pPr>
          </w:p>
          <w:p w14:paraId="25A1BE3B" w14:textId="77777777" w:rsidR="00E2585E" w:rsidRDefault="00E2585E" w:rsidP="00E2585E">
            <w:pPr>
              <w:pStyle w:val="Liststycke"/>
              <w:widowControl/>
              <w:numPr>
                <w:ilvl w:val="0"/>
                <w:numId w:val="7"/>
              </w:numPr>
              <w:rPr>
                <w:color w:val="000000"/>
                <w:sz w:val="22"/>
                <w:szCs w:val="22"/>
              </w:rPr>
            </w:pPr>
            <w:r>
              <w:rPr>
                <w:color w:val="70AD47"/>
              </w:rPr>
              <w:t xml:space="preserve">Svar på det europeiska medborgarinitiativet ”Stoppa </w:t>
            </w:r>
            <w:proofErr w:type="spellStart"/>
            <w:r>
              <w:rPr>
                <w:color w:val="70AD47"/>
              </w:rPr>
              <w:t>hajfensfisket</w:t>
            </w:r>
            <w:proofErr w:type="spellEnd"/>
            <w:r>
              <w:rPr>
                <w:color w:val="70AD47"/>
              </w:rPr>
              <w:t xml:space="preserve"> – stoppa handeln” </w:t>
            </w:r>
            <w:r>
              <w:rPr>
                <w:b/>
                <w:bCs/>
                <w:color w:val="000000"/>
              </w:rPr>
              <w:t>(MJU)</w:t>
            </w:r>
          </w:p>
          <w:p w14:paraId="3AB02BAC" w14:textId="77777777" w:rsidR="00E2585E" w:rsidRPr="006B3148" w:rsidRDefault="00E2585E" w:rsidP="00E2585E">
            <w:pPr>
              <w:rPr>
                <w:b/>
                <w:bCs/>
                <w:color w:val="000000"/>
                <w:sz w:val="22"/>
                <w:szCs w:val="22"/>
              </w:rPr>
            </w:pPr>
          </w:p>
        </w:tc>
      </w:tr>
      <w:tr w:rsidR="00E2585E" w:rsidRPr="00C824C0" w14:paraId="0663480D" w14:textId="77777777" w:rsidTr="00E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CB51757" w14:textId="3F73245E" w:rsidR="00E2585E" w:rsidRPr="008A243B" w:rsidRDefault="00E2585E" w:rsidP="00E2585E">
            <w:pPr>
              <w:rPr>
                <w:bCs/>
                <w:sz w:val="22"/>
                <w:szCs w:val="22"/>
              </w:rPr>
            </w:pPr>
            <w:r w:rsidRPr="00E2585E">
              <w:rPr>
                <w:b/>
                <w:bCs/>
                <w:sz w:val="22"/>
                <w:szCs w:val="22"/>
              </w:rPr>
              <w:t>Fakta-PM</w:t>
            </w:r>
          </w:p>
        </w:tc>
        <w:tc>
          <w:tcPr>
            <w:tcW w:w="8874" w:type="dxa"/>
            <w:gridSpan w:val="5"/>
            <w:shd w:val="clear" w:color="auto" w:fill="auto"/>
            <w:vAlign w:val="center"/>
          </w:tcPr>
          <w:p w14:paraId="7A4D6687" w14:textId="77777777" w:rsidR="00E2585E" w:rsidRPr="008A243B" w:rsidRDefault="00E2585E" w:rsidP="00E2585E">
            <w:pPr>
              <w:rPr>
                <w:sz w:val="22"/>
                <w:szCs w:val="22"/>
              </w:rPr>
            </w:pPr>
          </w:p>
        </w:tc>
      </w:tr>
      <w:tr w:rsidR="00E2585E" w:rsidRPr="00C824C0" w14:paraId="2100DA1B" w14:textId="77777777" w:rsidTr="00E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82FE131" w14:textId="0D3A8061" w:rsidR="00E2585E" w:rsidRPr="008A243B" w:rsidRDefault="00E2585E" w:rsidP="00E2585E">
            <w:pPr>
              <w:rPr>
                <w:bCs/>
                <w:sz w:val="22"/>
                <w:szCs w:val="22"/>
              </w:rPr>
            </w:pPr>
            <w:r w:rsidRPr="000B3702">
              <w:rPr>
                <w:sz w:val="22"/>
                <w:szCs w:val="22"/>
              </w:rPr>
              <w:t>2022/</w:t>
            </w:r>
            <w:proofErr w:type="gramStart"/>
            <w:r w:rsidRPr="000B3702">
              <w:rPr>
                <w:sz w:val="22"/>
                <w:szCs w:val="22"/>
              </w:rPr>
              <w:t>23:FPM</w:t>
            </w:r>
            <w:proofErr w:type="gramEnd"/>
            <w:r w:rsidRPr="000B3702">
              <w:rPr>
                <w:sz w:val="22"/>
                <w:szCs w:val="22"/>
              </w:rPr>
              <w:t>88</w:t>
            </w:r>
          </w:p>
        </w:tc>
        <w:tc>
          <w:tcPr>
            <w:tcW w:w="8874" w:type="dxa"/>
            <w:gridSpan w:val="5"/>
            <w:shd w:val="clear" w:color="auto" w:fill="auto"/>
            <w:vAlign w:val="center"/>
          </w:tcPr>
          <w:p w14:paraId="7FDECA39" w14:textId="4A28518B" w:rsidR="00E2585E" w:rsidRPr="008A243B" w:rsidRDefault="00E2585E" w:rsidP="00E2585E">
            <w:pPr>
              <w:rPr>
                <w:sz w:val="22"/>
                <w:szCs w:val="22"/>
              </w:rPr>
            </w:pPr>
            <w:r w:rsidRPr="00CF3687">
              <w:rPr>
                <w:sz w:val="22"/>
                <w:szCs w:val="22"/>
              </w:rPr>
              <w:t xml:space="preserve">Ändring av de s.k. </w:t>
            </w:r>
            <w:r w:rsidRPr="004C0692">
              <w:rPr>
                <w:b/>
                <w:bCs/>
                <w:sz w:val="22"/>
                <w:szCs w:val="22"/>
              </w:rPr>
              <w:t xml:space="preserve">frukostdirektiven </w:t>
            </w:r>
            <w:r w:rsidRPr="00CF3687">
              <w:rPr>
                <w:sz w:val="22"/>
                <w:szCs w:val="22"/>
              </w:rPr>
              <w:t>om honung, sylt och gelé, fruktjuice och hållbarhetsbehandlad mjölk</w:t>
            </w:r>
            <w:r w:rsidRPr="00CF3687">
              <w:rPr>
                <w:sz w:val="22"/>
                <w:szCs w:val="22"/>
              </w:rPr>
              <w:br/>
            </w:r>
          </w:p>
        </w:tc>
      </w:tr>
      <w:tr w:rsidR="00E2585E" w:rsidRPr="00C824C0" w14:paraId="4C4CCB32" w14:textId="77777777" w:rsidTr="00E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8804142" w14:textId="121BB8E4" w:rsidR="00E2585E" w:rsidRPr="008A243B" w:rsidRDefault="00E2585E" w:rsidP="00E2585E">
            <w:pPr>
              <w:rPr>
                <w:bCs/>
                <w:sz w:val="22"/>
                <w:szCs w:val="22"/>
              </w:rPr>
            </w:pPr>
            <w:r w:rsidRPr="000B3702">
              <w:rPr>
                <w:sz w:val="22"/>
                <w:szCs w:val="22"/>
              </w:rPr>
              <w:t>2022/</w:t>
            </w:r>
            <w:proofErr w:type="gramStart"/>
            <w:r w:rsidRPr="000B3702">
              <w:rPr>
                <w:sz w:val="22"/>
                <w:szCs w:val="22"/>
              </w:rPr>
              <w:t>23:FPM</w:t>
            </w:r>
            <w:proofErr w:type="gramEnd"/>
            <w:r w:rsidRPr="000B3702">
              <w:rPr>
                <w:sz w:val="22"/>
                <w:szCs w:val="22"/>
              </w:rPr>
              <w:t>89</w:t>
            </w:r>
          </w:p>
        </w:tc>
        <w:tc>
          <w:tcPr>
            <w:tcW w:w="8874" w:type="dxa"/>
            <w:gridSpan w:val="5"/>
            <w:shd w:val="clear" w:color="auto" w:fill="auto"/>
            <w:vAlign w:val="center"/>
          </w:tcPr>
          <w:p w14:paraId="5B544E4D" w14:textId="6120351D" w:rsidR="00E2585E" w:rsidRPr="008A243B" w:rsidRDefault="00E2585E" w:rsidP="00E2585E">
            <w:pPr>
              <w:rPr>
                <w:sz w:val="22"/>
                <w:szCs w:val="22"/>
              </w:rPr>
            </w:pPr>
            <w:r w:rsidRPr="00E5714E">
              <w:rPr>
                <w:sz w:val="22"/>
                <w:szCs w:val="22"/>
              </w:rPr>
              <w:t xml:space="preserve">Förordning om </w:t>
            </w:r>
            <w:r w:rsidRPr="00E5714E">
              <w:rPr>
                <w:b/>
                <w:bCs/>
                <w:sz w:val="22"/>
                <w:szCs w:val="22"/>
              </w:rPr>
              <w:t>tvätt- och rengöringsmedel</w:t>
            </w:r>
            <w:r w:rsidRPr="00E5714E">
              <w:rPr>
                <w:sz w:val="22"/>
                <w:szCs w:val="22"/>
              </w:rPr>
              <w:br/>
            </w:r>
          </w:p>
        </w:tc>
      </w:tr>
      <w:tr w:rsidR="00E2585E" w:rsidRPr="00C824C0" w14:paraId="5E69B435" w14:textId="77777777" w:rsidTr="00E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1295822" w14:textId="036266B1" w:rsidR="00E2585E" w:rsidRDefault="00E2585E" w:rsidP="00E2585E">
            <w:r w:rsidRPr="00C824C0">
              <w:rPr>
                <w:b/>
                <w:bCs/>
                <w:sz w:val="22"/>
                <w:szCs w:val="22"/>
              </w:rPr>
              <w:t>Övrigt</w:t>
            </w:r>
          </w:p>
        </w:tc>
        <w:tc>
          <w:tcPr>
            <w:tcW w:w="8874" w:type="dxa"/>
            <w:gridSpan w:val="5"/>
            <w:shd w:val="clear" w:color="auto" w:fill="auto"/>
            <w:vAlign w:val="center"/>
          </w:tcPr>
          <w:p w14:paraId="1A26D297" w14:textId="77777777" w:rsidR="00E2585E" w:rsidRPr="00E5714E" w:rsidRDefault="00E2585E" w:rsidP="00E2585E">
            <w:pPr>
              <w:rPr>
                <w:sz w:val="22"/>
                <w:szCs w:val="22"/>
              </w:rPr>
            </w:pPr>
          </w:p>
        </w:tc>
      </w:tr>
      <w:tr w:rsidR="00E2585E" w:rsidRPr="00C824C0" w14:paraId="3D2C5B8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6367A363" w14:textId="000F35EB" w:rsidR="00E2585E" w:rsidRPr="00C824C0" w:rsidRDefault="00E2585E" w:rsidP="00E2585E">
            <w:pPr>
              <w:rPr>
                <w:b/>
                <w:bCs/>
                <w:sz w:val="22"/>
                <w:szCs w:val="22"/>
              </w:rPr>
            </w:pPr>
            <w:r w:rsidRPr="00E5714E">
              <w:rPr>
                <w:bCs/>
                <w:sz w:val="22"/>
                <w:szCs w:val="22"/>
              </w:rPr>
              <w:t xml:space="preserve">EU-domstolens mål C-82/23 </w:t>
            </w:r>
          </w:p>
        </w:tc>
        <w:tc>
          <w:tcPr>
            <w:tcW w:w="8874" w:type="dxa"/>
            <w:gridSpan w:val="5"/>
            <w:tcBorders>
              <w:bottom w:val="single" w:sz="4" w:space="0" w:color="auto"/>
            </w:tcBorders>
            <w:shd w:val="clear" w:color="auto" w:fill="auto"/>
            <w:vAlign w:val="center"/>
          </w:tcPr>
          <w:p w14:paraId="19F3E888" w14:textId="67008C52" w:rsidR="00E2585E" w:rsidRPr="00E5714E" w:rsidRDefault="00E2585E" w:rsidP="00E2585E">
            <w:pPr>
              <w:rPr>
                <w:sz w:val="22"/>
                <w:szCs w:val="22"/>
              </w:rPr>
            </w:pPr>
            <w:r w:rsidRPr="00E5714E">
              <w:rPr>
                <w:b/>
                <w:bCs/>
                <w:sz w:val="22"/>
                <w:szCs w:val="22"/>
              </w:rPr>
              <w:t>Svarsskrivelse i mål C-82/23</w:t>
            </w:r>
            <w:r w:rsidRPr="00E5714E">
              <w:rPr>
                <w:sz w:val="22"/>
                <w:szCs w:val="22"/>
              </w:rPr>
              <w:t xml:space="preserve"> P om överklagande av tribunalens dom den 23 november 2022 i de förenade målen T-279/20 CWS </w:t>
            </w:r>
            <w:proofErr w:type="spellStart"/>
            <w:r w:rsidRPr="00E5714E">
              <w:rPr>
                <w:sz w:val="22"/>
                <w:szCs w:val="22"/>
              </w:rPr>
              <w:t>Powder</w:t>
            </w:r>
            <w:proofErr w:type="spellEnd"/>
            <w:r w:rsidRPr="00E5714E">
              <w:rPr>
                <w:sz w:val="22"/>
                <w:szCs w:val="22"/>
              </w:rPr>
              <w:t xml:space="preserve"> </w:t>
            </w:r>
            <w:proofErr w:type="spellStart"/>
            <w:r w:rsidRPr="00E5714E">
              <w:rPr>
                <w:sz w:val="22"/>
                <w:szCs w:val="22"/>
              </w:rPr>
              <w:t>Coatings</w:t>
            </w:r>
            <w:proofErr w:type="spellEnd"/>
            <w:r w:rsidRPr="00E5714E">
              <w:rPr>
                <w:sz w:val="22"/>
                <w:szCs w:val="22"/>
              </w:rPr>
              <w:t xml:space="preserve"> GmbH mot kommissionen, T-288/20 </w:t>
            </w:r>
            <w:proofErr w:type="spellStart"/>
            <w:r w:rsidRPr="00E5714E">
              <w:rPr>
                <w:sz w:val="22"/>
                <w:szCs w:val="22"/>
              </w:rPr>
              <w:t>Brillux</w:t>
            </w:r>
            <w:proofErr w:type="spellEnd"/>
            <w:r w:rsidRPr="00E5714E">
              <w:rPr>
                <w:sz w:val="22"/>
                <w:szCs w:val="22"/>
              </w:rPr>
              <w:t xml:space="preserve"> GmbH och </w:t>
            </w:r>
            <w:proofErr w:type="spellStart"/>
            <w:r w:rsidRPr="00E5714E">
              <w:rPr>
                <w:sz w:val="22"/>
                <w:szCs w:val="22"/>
              </w:rPr>
              <w:t>Daw</w:t>
            </w:r>
            <w:proofErr w:type="spellEnd"/>
            <w:r w:rsidRPr="00E5714E">
              <w:rPr>
                <w:sz w:val="22"/>
                <w:szCs w:val="22"/>
              </w:rPr>
              <w:t xml:space="preserve"> SE mot kommissionen samt i mål T-283/20 Billions </w:t>
            </w:r>
            <w:proofErr w:type="spellStart"/>
            <w:r w:rsidRPr="00E5714E">
              <w:rPr>
                <w:sz w:val="22"/>
                <w:szCs w:val="22"/>
              </w:rPr>
              <w:t>Europe</w:t>
            </w:r>
            <w:proofErr w:type="spellEnd"/>
            <w:r w:rsidRPr="00E5714E">
              <w:rPr>
                <w:sz w:val="22"/>
                <w:szCs w:val="22"/>
              </w:rPr>
              <w:t xml:space="preserve"> Ltd m.fl. mot kommissionen</w:t>
            </w:r>
            <w:r w:rsidRPr="00E5714E">
              <w:rPr>
                <w:sz w:val="22"/>
                <w:szCs w:val="22"/>
              </w:rPr>
              <w:br/>
            </w:r>
            <w:r w:rsidRPr="000B3702">
              <w:rPr>
                <w:sz w:val="22"/>
                <w:szCs w:val="22"/>
              </w:rPr>
              <w:t>EU-domstolens mål C-82/23 P</w:t>
            </w:r>
            <w:r w:rsidRPr="00E5714E">
              <w:rPr>
                <w:sz w:val="22"/>
                <w:szCs w:val="22"/>
              </w:rPr>
              <w:br/>
            </w:r>
          </w:p>
        </w:tc>
      </w:tr>
      <w:tr w:rsidR="00E2585E" w:rsidRPr="00C824C0" w14:paraId="3C121D1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9BAA702" w14:textId="1DF325E5" w:rsidR="00E2585E" w:rsidRPr="00E5714E" w:rsidRDefault="00E2585E" w:rsidP="00E2585E">
            <w:pPr>
              <w:rPr>
                <w:bCs/>
                <w:sz w:val="22"/>
                <w:szCs w:val="22"/>
              </w:rPr>
            </w:pPr>
            <w:r w:rsidRPr="00E5714E">
              <w:rPr>
                <w:bCs/>
                <w:sz w:val="22"/>
                <w:szCs w:val="22"/>
              </w:rPr>
              <w:t xml:space="preserve">EU-domstolens mål C-71/23 </w:t>
            </w:r>
          </w:p>
        </w:tc>
        <w:tc>
          <w:tcPr>
            <w:tcW w:w="8874" w:type="dxa"/>
            <w:gridSpan w:val="5"/>
            <w:tcBorders>
              <w:bottom w:val="single" w:sz="4" w:space="0" w:color="auto"/>
            </w:tcBorders>
            <w:shd w:val="clear" w:color="auto" w:fill="auto"/>
            <w:vAlign w:val="center"/>
          </w:tcPr>
          <w:p w14:paraId="68A5CF64" w14:textId="6BB818D6" w:rsidR="00E2585E" w:rsidRPr="00E5714E" w:rsidRDefault="00E2585E" w:rsidP="00E2585E">
            <w:pPr>
              <w:rPr>
                <w:b/>
                <w:bCs/>
                <w:sz w:val="22"/>
                <w:szCs w:val="22"/>
              </w:rPr>
            </w:pPr>
            <w:r w:rsidRPr="00E5714E">
              <w:rPr>
                <w:b/>
                <w:bCs/>
                <w:sz w:val="22"/>
                <w:szCs w:val="22"/>
              </w:rPr>
              <w:t>Svarsskrivelse i mål C-71/23</w:t>
            </w:r>
            <w:r w:rsidRPr="00E5714E">
              <w:rPr>
                <w:sz w:val="22"/>
                <w:szCs w:val="22"/>
              </w:rPr>
              <w:t xml:space="preserve"> P vid EU-domstolen gällande överklagande av tribunalens dom den 23 november 2022 i de förenade målen T-279/20 CWS </w:t>
            </w:r>
            <w:proofErr w:type="spellStart"/>
            <w:r w:rsidRPr="00E5714E">
              <w:rPr>
                <w:sz w:val="22"/>
                <w:szCs w:val="22"/>
              </w:rPr>
              <w:t>Powder</w:t>
            </w:r>
            <w:proofErr w:type="spellEnd"/>
            <w:r w:rsidRPr="00E5714E">
              <w:rPr>
                <w:sz w:val="22"/>
                <w:szCs w:val="22"/>
              </w:rPr>
              <w:t xml:space="preserve"> </w:t>
            </w:r>
            <w:proofErr w:type="spellStart"/>
            <w:r w:rsidRPr="00E5714E">
              <w:rPr>
                <w:sz w:val="22"/>
                <w:szCs w:val="22"/>
              </w:rPr>
              <w:t>Coatings</w:t>
            </w:r>
            <w:proofErr w:type="spellEnd"/>
            <w:r w:rsidRPr="00E5714E">
              <w:rPr>
                <w:sz w:val="22"/>
                <w:szCs w:val="22"/>
              </w:rPr>
              <w:t xml:space="preserve"> GmbH mot kommissionen, T-288/20 </w:t>
            </w:r>
            <w:proofErr w:type="spellStart"/>
            <w:r w:rsidRPr="00E5714E">
              <w:rPr>
                <w:sz w:val="22"/>
                <w:szCs w:val="22"/>
              </w:rPr>
              <w:t>Brillux</w:t>
            </w:r>
            <w:proofErr w:type="spellEnd"/>
            <w:r w:rsidRPr="00E5714E">
              <w:rPr>
                <w:sz w:val="22"/>
                <w:szCs w:val="22"/>
              </w:rPr>
              <w:t xml:space="preserve"> GmbH och </w:t>
            </w:r>
            <w:proofErr w:type="spellStart"/>
            <w:r w:rsidRPr="00E5714E">
              <w:rPr>
                <w:sz w:val="22"/>
                <w:szCs w:val="22"/>
              </w:rPr>
              <w:t>Daw</w:t>
            </w:r>
            <w:proofErr w:type="spellEnd"/>
            <w:r w:rsidRPr="00E5714E">
              <w:rPr>
                <w:sz w:val="22"/>
                <w:szCs w:val="22"/>
              </w:rPr>
              <w:t xml:space="preserve"> SE mot kommissionen samt i mål T-283/20 Billions </w:t>
            </w:r>
            <w:proofErr w:type="spellStart"/>
            <w:r w:rsidRPr="00E5714E">
              <w:rPr>
                <w:sz w:val="22"/>
                <w:szCs w:val="22"/>
              </w:rPr>
              <w:t>Europe</w:t>
            </w:r>
            <w:proofErr w:type="spellEnd"/>
            <w:r w:rsidRPr="00E5714E">
              <w:rPr>
                <w:sz w:val="22"/>
                <w:szCs w:val="22"/>
              </w:rPr>
              <w:t xml:space="preserve"> Ltd m.fl. mot kommissionen</w:t>
            </w:r>
            <w:r w:rsidRPr="00E5714E">
              <w:rPr>
                <w:sz w:val="22"/>
                <w:szCs w:val="22"/>
              </w:rPr>
              <w:br/>
            </w:r>
            <w:r w:rsidRPr="000B3702">
              <w:rPr>
                <w:sz w:val="22"/>
                <w:szCs w:val="22"/>
              </w:rPr>
              <w:lastRenderedPageBreak/>
              <w:t>EU-domstolens mål C-71/23 P</w:t>
            </w:r>
            <w:r w:rsidRPr="00E5714E">
              <w:rPr>
                <w:sz w:val="22"/>
                <w:szCs w:val="22"/>
              </w:rPr>
              <w:br/>
            </w:r>
          </w:p>
        </w:tc>
      </w:tr>
      <w:tr w:rsidR="00E2585E" w:rsidRPr="00C824C0" w14:paraId="4F08E07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229896B1" w14:textId="77777777" w:rsidR="00E2585E" w:rsidRPr="00E5714E" w:rsidRDefault="00E2585E" w:rsidP="00E2585E">
            <w:pPr>
              <w:rPr>
                <w:sz w:val="22"/>
                <w:szCs w:val="22"/>
                <w:lang w:eastAsia="en-US"/>
              </w:rPr>
            </w:pPr>
            <w:r w:rsidRPr="00E5714E">
              <w:rPr>
                <w:sz w:val="22"/>
                <w:szCs w:val="22"/>
                <w:lang w:eastAsia="en-US"/>
              </w:rPr>
              <w:lastRenderedPageBreak/>
              <w:t>”Kom med synpunkter”/</w:t>
            </w:r>
          </w:p>
          <w:p w14:paraId="19458AEE" w14:textId="52D9CD21" w:rsidR="00E2585E" w:rsidRPr="00E5714E" w:rsidRDefault="00E2585E" w:rsidP="00E2585E">
            <w:pPr>
              <w:rPr>
                <w:bCs/>
                <w:sz w:val="22"/>
                <w:szCs w:val="22"/>
              </w:rPr>
            </w:pPr>
            <w:r w:rsidRPr="00E5714E">
              <w:rPr>
                <w:sz w:val="22"/>
                <w:szCs w:val="22"/>
                <w:lang w:eastAsia="en-US"/>
              </w:rPr>
              <w:t>”</w:t>
            </w:r>
            <w:proofErr w:type="spellStart"/>
            <w:r w:rsidRPr="00E5714E">
              <w:rPr>
                <w:sz w:val="22"/>
                <w:szCs w:val="22"/>
                <w:lang w:eastAsia="en-US"/>
              </w:rPr>
              <w:t>Have</w:t>
            </w:r>
            <w:proofErr w:type="spellEnd"/>
            <w:r w:rsidRPr="00E5714E">
              <w:rPr>
                <w:sz w:val="22"/>
                <w:szCs w:val="22"/>
                <w:lang w:eastAsia="en-US"/>
              </w:rPr>
              <w:t xml:space="preserve"> </w:t>
            </w:r>
            <w:proofErr w:type="spellStart"/>
            <w:r w:rsidRPr="00E5714E">
              <w:rPr>
                <w:sz w:val="22"/>
                <w:szCs w:val="22"/>
                <w:lang w:eastAsia="en-US"/>
              </w:rPr>
              <w:t>your</w:t>
            </w:r>
            <w:proofErr w:type="spellEnd"/>
            <w:r w:rsidRPr="00E5714E">
              <w:rPr>
                <w:sz w:val="22"/>
                <w:szCs w:val="22"/>
                <w:lang w:eastAsia="en-US"/>
              </w:rPr>
              <w:t xml:space="preserve"> </w:t>
            </w:r>
            <w:proofErr w:type="spellStart"/>
            <w:r w:rsidRPr="00E5714E">
              <w:rPr>
                <w:sz w:val="22"/>
                <w:szCs w:val="22"/>
                <w:lang w:eastAsia="en-US"/>
              </w:rPr>
              <w:t>say</w:t>
            </w:r>
            <w:proofErr w:type="spellEnd"/>
            <w:r w:rsidRPr="00E5714E">
              <w:rPr>
                <w:sz w:val="22"/>
                <w:szCs w:val="22"/>
                <w:lang w:eastAsia="en-US"/>
              </w:rPr>
              <w:t>”</w:t>
            </w:r>
          </w:p>
        </w:tc>
        <w:tc>
          <w:tcPr>
            <w:tcW w:w="8874" w:type="dxa"/>
            <w:gridSpan w:val="5"/>
            <w:tcBorders>
              <w:bottom w:val="single" w:sz="4" w:space="0" w:color="auto"/>
            </w:tcBorders>
            <w:shd w:val="clear" w:color="auto" w:fill="auto"/>
            <w:vAlign w:val="center"/>
          </w:tcPr>
          <w:p w14:paraId="089F5A1C" w14:textId="77777777" w:rsidR="00E2585E" w:rsidRPr="00E5714E" w:rsidRDefault="00E2585E" w:rsidP="00E2585E">
            <w:pPr>
              <w:rPr>
                <w:sz w:val="22"/>
                <w:szCs w:val="22"/>
              </w:rPr>
            </w:pPr>
          </w:p>
          <w:p w14:paraId="6450A5F5" w14:textId="0D429E27" w:rsidR="00E2585E" w:rsidRPr="00E5714E" w:rsidRDefault="00E2585E" w:rsidP="00E2585E">
            <w:pPr>
              <w:rPr>
                <w:sz w:val="22"/>
                <w:szCs w:val="22"/>
                <w:lang w:val="en-GB"/>
              </w:rPr>
            </w:pPr>
            <w:r w:rsidRPr="000B3702">
              <w:rPr>
                <w:sz w:val="22"/>
                <w:szCs w:val="22"/>
                <w:lang w:val="en-GB"/>
              </w:rPr>
              <w:t>Circular economy – monitoring framework (revision)</w:t>
            </w:r>
          </w:p>
          <w:p w14:paraId="04FB9447" w14:textId="77777777" w:rsidR="00E2585E" w:rsidRPr="00E5714E" w:rsidRDefault="00E2585E" w:rsidP="00E2585E">
            <w:pPr>
              <w:rPr>
                <w:sz w:val="22"/>
                <w:szCs w:val="22"/>
                <w:lang w:val="en-GB"/>
              </w:rPr>
            </w:pPr>
          </w:p>
          <w:p w14:paraId="42742D54" w14:textId="2E831591" w:rsidR="00E2585E" w:rsidRPr="00E5714E" w:rsidRDefault="00E2585E" w:rsidP="00E2585E">
            <w:pPr>
              <w:rPr>
                <w:color w:val="303030"/>
                <w:sz w:val="22"/>
                <w:szCs w:val="22"/>
                <w:lang w:val="en-GB"/>
              </w:rPr>
            </w:pPr>
            <w:r w:rsidRPr="000B3702">
              <w:rPr>
                <w:sz w:val="22"/>
                <w:szCs w:val="22"/>
                <w:lang w:val="en-GB"/>
              </w:rPr>
              <w:t>Electrical equipment – lead in polyvinyl chloride for sensors used in diagnostic medical devices (RoHS exemption)</w:t>
            </w:r>
          </w:p>
          <w:p w14:paraId="7DFBB891" w14:textId="77777777" w:rsidR="00E2585E" w:rsidRPr="00E5714E" w:rsidRDefault="00E2585E" w:rsidP="00E2585E">
            <w:pPr>
              <w:rPr>
                <w:color w:val="303030"/>
                <w:sz w:val="22"/>
                <w:szCs w:val="22"/>
                <w:lang w:val="en-GB"/>
              </w:rPr>
            </w:pPr>
          </w:p>
          <w:p w14:paraId="3CE496B3" w14:textId="0E5FC2C7" w:rsidR="00E2585E" w:rsidRPr="00E5714E" w:rsidRDefault="00E2585E" w:rsidP="00E2585E">
            <w:pPr>
              <w:rPr>
                <w:sz w:val="22"/>
                <w:szCs w:val="22"/>
                <w:lang w:val="en-GB"/>
              </w:rPr>
            </w:pPr>
            <w:r w:rsidRPr="000B3702">
              <w:rPr>
                <w:sz w:val="22"/>
                <w:szCs w:val="22"/>
                <w:lang w:val="en-GB"/>
              </w:rPr>
              <w:t>Imports of organic products – amended requirements for control bodies</w:t>
            </w:r>
          </w:p>
          <w:p w14:paraId="28762CF7" w14:textId="77777777" w:rsidR="00E2585E" w:rsidRPr="00E5714E" w:rsidRDefault="00E2585E" w:rsidP="00E2585E">
            <w:pPr>
              <w:rPr>
                <w:sz w:val="22"/>
                <w:szCs w:val="22"/>
                <w:lang w:val="en-GB"/>
              </w:rPr>
            </w:pPr>
          </w:p>
          <w:p w14:paraId="58A7D4B3" w14:textId="015F8A47" w:rsidR="00E2585E" w:rsidRPr="00E5714E" w:rsidRDefault="00E2585E" w:rsidP="00E2585E">
            <w:pPr>
              <w:rPr>
                <w:color w:val="000000"/>
                <w:sz w:val="22"/>
                <w:szCs w:val="22"/>
                <w:lang w:val="en-GB"/>
              </w:rPr>
            </w:pPr>
            <w:r w:rsidRPr="000B3702">
              <w:rPr>
                <w:sz w:val="22"/>
                <w:szCs w:val="22"/>
                <w:lang w:val="en-GB"/>
              </w:rPr>
              <w:t>Aarhus Convention Compliance Committee case on State aid: implications/options</w:t>
            </w:r>
          </w:p>
          <w:p w14:paraId="3997B01E" w14:textId="77777777" w:rsidR="00E2585E" w:rsidRPr="00E5714E" w:rsidRDefault="00E2585E" w:rsidP="00E2585E">
            <w:pPr>
              <w:rPr>
                <w:color w:val="000000"/>
                <w:sz w:val="22"/>
                <w:szCs w:val="22"/>
                <w:lang w:val="en-GB"/>
              </w:rPr>
            </w:pPr>
          </w:p>
          <w:p w14:paraId="0B4C479E" w14:textId="7E27494D" w:rsidR="00E2585E" w:rsidRPr="00E5714E" w:rsidRDefault="00E2585E" w:rsidP="00E2585E">
            <w:pPr>
              <w:rPr>
                <w:sz w:val="22"/>
                <w:szCs w:val="22"/>
                <w:lang w:val="en-GB"/>
              </w:rPr>
            </w:pPr>
            <w:r w:rsidRPr="000B3702">
              <w:rPr>
                <w:sz w:val="22"/>
                <w:szCs w:val="22"/>
                <w:lang w:val="en-GB"/>
              </w:rPr>
              <w:t>Restrictions on bisphenol A (BPA) and other bisphenols in food contact materials</w:t>
            </w:r>
          </w:p>
          <w:p w14:paraId="08642E47" w14:textId="77777777" w:rsidR="00E2585E" w:rsidRPr="00E5714E" w:rsidRDefault="00E2585E" w:rsidP="00E2585E">
            <w:pPr>
              <w:rPr>
                <w:sz w:val="22"/>
                <w:szCs w:val="22"/>
                <w:lang w:val="en-GB"/>
              </w:rPr>
            </w:pPr>
          </w:p>
          <w:p w14:paraId="064FFDEA" w14:textId="1E05CE33" w:rsidR="00E2585E" w:rsidRPr="00247F8C" w:rsidRDefault="00E2585E" w:rsidP="00E2585E">
            <w:pPr>
              <w:rPr>
                <w:color w:val="303030"/>
                <w:sz w:val="22"/>
                <w:szCs w:val="22"/>
                <w:lang w:val="en-GB"/>
              </w:rPr>
            </w:pPr>
            <w:r w:rsidRPr="000B3702">
              <w:rPr>
                <w:sz w:val="22"/>
                <w:szCs w:val="22"/>
                <w:lang w:val="en-GB"/>
              </w:rPr>
              <w:t>Food safety - authorised uses of glues (epoxy silanes) in food contact materials</w:t>
            </w:r>
          </w:p>
          <w:p w14:paraId="45CC9C40" w14:textId="77777777" w:rsidR="00E2585E" w:rsidRPr="00247F8C" w:rsidRDefault="00E2585E" w:rsidP="00E2585E">
            <w:pPr>
              <w:rPr>
                <w:color w:val="303030"/>
                <w:sz w:val="22"/>
                <w:szCs w:val="22"/>
                <w:lang w:val="en-GB"/>
              </w:rPr>
            </w:pPr>
          </w:p>
          <w:p w14:paraId="55931D76" w14:textId="08222021" w:rsidR="00E2585E" w:rsidRPr="00247F8C" w:rsidRDefault="00E2585E" w:rsidP="00E2585E">
            <w:pPr>
              <w:rPr>
                <w:color w:val="303030"/>
                <w:sz w:val="22"/>
                <w:szCs w:val="22"/>
                <w:lang w:val="en-GB"/>
              </w:rPr>
            </w:pPr>
            <w:r w:rsidRPr="000B3702">
              <w:rPr>
                <w:sz w:val="22"/>
                <w:szCs w:val="22"/>
                <w:lang w:val="en-GB"/>
              </w:rPr>
              <w:t>Olive oil marketing standards – revision of conformity checks</w:t>
            </w:r>
          </w:p>
          <w:p w14:paraId="07DE2C62" w14:textId="77777777" w:rsidR="00E2585E" w:rsidRPr="00247F8C" w:rsidRDefault="00E2585E" w:rsidP="00E2585E">
            <w:pPr>
              <w:rPr>
                <w:color w:val="303030"/>
                <w:sz w:val="22"/>
                <w:szCs w:val="22"/>
                <w:lang w:val="en-GB"/>
              </w:rPr>
            </w:pPr>
          </w:p>
          <w:p w14:paraId="71597062" w14:textId="0299219B" w:rsidR="00E2585E" w:rsidRPr="00247F8C" w:rsidRDefault="00E2585E" w:rsidP="00E2585E">
            <w:pPr>
              <w:rPr>
                <w:color w:val="303030"/>
                <w:sz w:val="22"/>
                <w:szCs w:val="22"/>
                <w:lang w:val="en-GB"/>
              </w:rPr>
            </w:pPr>
            <w:r w:rsidRPr="000B3702">
              <w:rPr>
                <w:sz w:val="22"/>
                <w:szCs w:val="22"/>
                <w:lang w:val="en-GB"/>
              </w:rPr>
              <w:t>Evaluation of the information policy on the Common Agricultural Policy</w:t>
            </w:r>
          </w:p>
          <w:p w14:paraId="0F395611" w14:textId="77777777" w:rsidR="00E2585E" w:rsidRPr="00247F8C" w:rsidRDefault="00E2585E" w:rsidP="00E2585E">
            <w:pPr>
              <w:rPr>
                <w:color w:val="303030"/>
                <w:sz w:val="22"/>
                <w:szCs w:val="22"/>
                <w:lang w:val="en-GB"/>
              </w:rPr>
            </w:pPr>
          </w:p>
          <w:p w14:paraId="25A78466" w14:textId="03400FB9" w:rsidR="00E2585E" w:rsidRPr="00247F8C" w:rsidRDefault="00E2585E" w:rsidP="00E2585E">
            <w:pPr>
              <w:rPr>
                <w:color w:val="303030"/>
                <w:sz w:val="22"/>
                <w:szCs w:val="22"/>
                <w:lang w:val="en-GB"/>
              </w:rPr>
            </w:pPr>
            <w:r w:rsidRPr="000B3702">
              <w:rPr>
                <w:sz w:val="22"/>
                <w:szCs w:val="22"/>
                <w:lang w:val="en-GB"/>
              </w:rPr>
              <w:t>Rules for the reporting of aggregated emissions data at shipping company level</w:t>
            </w:r>
          </w:p>
          <w:p w14:paraId="268EF5B4" w14:textId="77777777" w:rsidR="00E2585E" w:rsidRPr="00247F8C" w:rsidRDefault="00E2585E" w:rsidP="00E2585E">
            <w:pPr>
              <w:rPr>
                <w:color w:val="303030"/>
                <w:sz w:val="22"/>
                <w:szCs w:val="22"/>
                <w:lang w:val="en-GB"/>
              </w:rPr>
            </w:pPr>
          </w:p>
          <w:p w14:paraId="5574BA27" w14:textId="02E9867E" w:rsidR="00E2585E" w:rsidRPr="00247F8C" w:rsidRDefault="00E2585E" w:rsidP="00E2585E">
            <w:pPr>
              <w:rPr>
                <w:color w:val="303030"/>
                <w:sz w:val="22"/>
                <w:szCs w:val="22"/>
                <w:lang w:val="en-GB"/>
              </w:rPr>
            </w:pPr>
            <w:r w:rsidRPr="000B3702">
              <w:rPr>
                <w:sz w:val="22"/>
                <w:szCs w:val="22"/>
                <w:lang w:val="en-GB"/>
              </w:rPr>
              <w:t>Sewage sludge use in farming – evaluation</w:t>
            </w:r>
          </w:p>
          <w:p w14:paraId="7A165A1C" w14:textId="77777777" w:rsidR="00E2585E" w:rsidRPr="00247F8C" w:rsidRDefault="00E2585E" w:rsidP="00E2585E">
            <w:pPr>
              <w:rPr>
                <w:color w:val="303030"/>
                <w:sz w:val="22"/>
                <w:szCs w:val="22"/>
                <w:lang w:val="en-GB"/>
              </w:rPr>
            </w:pPr>
          </w:p>
          <w:p w14:paraId="468BCC3F" w14:textId="51C7967C" w:rsidR="00E2585E" w:rsidRPr="00247F8C" w:rsidRDefault="00E2585E" w:rsidP="00E2585E">
            <w:pPr>
              <w:rPr>
                <w:rStyle w:val="Hyperlnk"/>
                <w:sz w:val="22"/>
                <w:szCs w:val="22"/>
                <w:lang w:val="en-GB"/>
              </w:rPr>
            </w:pPr>
            <w:r w:rsidRPr="000B3702">
              <w:rPr>
                <w:sz w:val="22"/>
                <w:szCs w:val="22"/>
                <w:lang w:val="en-GB"/>
              </w:rPr>
              <w:t>Preventing terrorism – new rules on the marketing and use of high-risk chemicals</w:t>
            </w:r>
          </w:p>
          <w:p w14:paraId="7C277243" w14:textId="77777777" w:rsidR="00E2585E" w:rsidRPr="00247F8C" w:rsidRDefault="00E2585E" w:rsidP="00E2585E">
            <w:pPr>
              <w:rPr>
                <w:rStyle w:val="Hyperlnk"/>
                <w:sz w:val="22"/>
                <w:szCs w:val="22"/>
                <w:lang w:val="en-GB"/>
              </w:rPr>
            </w:pPr>
          </w:p>
          <w:p w14:paraId="10576B54" w14:textId="17EAE2F4" w:rsidR="00E2585E" w:rsidRPr="0029106B" w:rsidRDefault="00E2585E" w:rsidP="00E2585E">
            <w:pPr>
              <w:rPr>
                <w:sz w:val="22"/>
                <w:szCs w:val="22"/>
                <w:lang w:val="en-GB"/>
              </w:rPr>
            </w:pPr>
            <w:r w:rsidRPr="000B3702">
              <w:rPr>
                <w:sz w:val="22"/>
                <w:szCs w:val="22"/>
                <w:lang w:val="en-GB"/>
              </w:rPr>
              <w:t xml:space="preserve">Notification of arrival of certain goods entering the Union </w:t>
            </w:r>
            <w:r w:rsidRPr="0029106B">
              <w:rPr>
                <w:sz w:val="22"/>
                <w:szCs w:val="22"/>
                <w:lang w:val="en-GB"/>
              </w:rPr>
              <w:br/>
            </w:r>
          </w:p>
          <w:p w14:paraId="04BD3A14" w14:textId="1A0F79AD" w:rsidR="00E2585E" w:rsidRPr="00247F8C" w:rsidRDefault="00E2585E" w:rsidP="00E2585E">
            <w:pPr>
              <w:rPr>
                <w:color w:val="000000"/>
                <w:sz w:val="22"/>
                <w:szCs w:val="22"/>
                <w:lang w:val="en-GB"/>
              </w:rPr>
            </w:pPr>
            <w:r w:rsidRPr="000B3702">
              <w:rPr>
                <w:sz w:val="22"/>
                <w:szCs w:val="22"/>
                <w:lang w:val="en-GB"/>
              </w:rPr>
              <w:t>Olive oil marketing standards – revision</w:t>
            </w:r>
          </w:p>
          <w:p w14:paraId="6A69CC75" w14:textId="77777777" w:rsidR="00E2585E" w:rsidRPr="00837657" w:rsidRDefault="00E2585E" w:rsidP="00E2585E">
            <w:pPr>
              <w:rPr>
                <w:color w:val="000000"/>
                <w:sz w:val="22"/>
                <w:szCs w:val="22"/>
                <w:lang w:val="en-GB"/>
              </w:rPr>
            </w:pPr>
          </w:p>
          <w:p w14:paraId="77D5915F" w14:textId="609DFD51" w:rsidR="00E2585E" w:rsidRPr="00837657" w:rsidRDefault="00E2585E" w:rsidP="00E2585E">
            <w:pPr>
              <w:rPr>
                <w:sz w:val="22"/>
                <w:szCs w:val="22"/>
                <w:lang w:val="en-GB"/>
              </w:rPr>
            </w:pPr>
            <w:r w:rsidRPr="000B3702">
              <w:rPr>
                <w:sz w:val="22"/>
                <w:szCs w:val="22"/>
                <w:lang w:val="en-GB"/>
              </w:rPr>
              <w:t xml:space="preserve">Rules establishing the CHED-N format and instructions for its presentation and use </w:t>
            </w:r>
          </w:p>
          <w:p w14:paraId="5736E6CA" w14:textId="705BD905" w:rsidR="00E2585E" w:rsidRPr="00350A98" w:rsidRDefault="00E2585E" w:rsidP="00E2585E">
            <w:pPr>
              <w:rPr>
                <w:color w:val="303030"/>
                <w:sz w:val="22"/>
                <w:szCs w:val="22"/>
                <w:lang w:val="en-GB"/>
              </w:rPr>
            </w:pPr>
            <w:r w:rsidRPr="000B3702">
              <w:rPr>
                <w:sz w:val="22"/>
                <w:szCs w:val="22"/>
                <w:lang w:val="en-GB"/>
              </w:rPr>
              <w:t>Reusing wastewater in agriculture – technical specifications for risk management plans</w:t>
            </w:r>
          </w:p>
          <w:p w14:paraId="7040C832" w14:textId="77777777" w:rsidR="00E2585E" w:rsidRPr="00350A98" w:rsidRDefault="00E2585E" w:rsidP="00E2585E">
            <w:pPr>
              <w:rPr>
                <w:color w:val="303030"/>
                <w:sz w:val="22"/>
                <w:szCs w:val="22"/>
                <w:lang w:val="en-GB"/>
              </w:rPr>
            </w:pPr>
          </w:p>
          <w:p w14:paraId="004D06D3" w14:textId="67EFF1C9" w:rsidR="00E2585E" w:rsidRPr="00837657" w:rsidRDefault="00E2585E" w:rsidP="00E2585E">
            <w:pPr>
              <w:rPr>
                <w:color w:val="303030"/>
                <w:sz w:val="22"/>
                <w:szCs w:val="22"/>
                <w:lang w:val="en-GB"/>
              </w:rPr>
            </w:pPr>
            <w:r w:rsidRPr="000B3702">
              <w:rPr>
                <w:sz w:val="22"/>
                <w:szCs w:val="22"/>
                <w:lang w:val="en-GB"/>
              </w:rPr>
              <w:t>Adaptation of the rules for geographical indications in the wine sector</w:t>
            </w:r>
          </w:p>
          <w:p w14:paraId="260B8C6B" w14:textId="77777777" w:rsidR="00E2585E" w:rsidRPr="00837657" w:rsidRDefault="00E2585E" w:rsidP="00E2585E">
            <w:pPr>
              <w:rPr>
                <w:color w:val="303030"/>
                <w:sz w:val="22"/>
                <w:szCs w:val="22"/>
                <w:lang w:val="en-GB"/>
              </w:rPr>
            </w:pPr>
          </w:p>
          <w:p w14:paraId="2416AE74" w14:textId="6CF057CD" w:rsidR="00E2585E" w:rsidRDefault="00E2585E" w:rsidP="00E2585E">
            <w:pPr>
              <w:rPr>
                <w:rStyle w:val="Hyperlnk"/>
                <w:sz w:val="22"/>
                <w:szCs w:val="22"/>
                <w:lang w:val="en-GB"/>
              </w:rPr>
            </w:pPr>
            <w:r w:rsidRPr="000B3702">
              <w:rPr>
                <w:sz w:val="22"/>
                <w:szCs w:val="22"/>
                <w:lang w:val="en-GB"/>
              </w:rPr>
              <w:t>Fertilisers – list of animal by-products to be used without further official controls (update)</w:t>
            </w:r>
          </w:p>
          <w:p w14:paraId="152F683E" w14:textId="77777777" w:rsidR="00E2585E" w:rsidRPr="00350A98" w:rsidRDefault="00E2585E" w:rsidP="00E2585E">
            <w:pPr>
              <w:rPr>
                <w:color w:val="303030"/>
                <w:sz w:val="22"/>
                <w:szCs w:val="22"/>
                <w:lang w:val="en-GB"/>
              </w:rPr>
            </w:pPr>
          </w:p>
          <w:p w14:paraId="56BECCAB" w14:textId="77777777" w:rsidR="00E2585E" w:rsidRPr="00350A98" w:rsidRDefault="00E2585E" w:rsidP="00E2585E">
            <w:pPr>
              <w:rPr>
                <w:color w:val="303030"/>
                <w:sz w:val="22"/>
                <w:szCs w:val="22"/>
                <w:lang w:val="en-GB"/>
              </w:rPr>
            </w:pPr>
          </w:p>
          <w:p w14:paraId="70BE9429" w14:textId="59D1DF63" w:rsidR="00E2585E" w:rsidRPr="00350A98" w:rsidRDefault="00E2585E" w:rsidP="00E2585E">
            <w:pPr>
              <w:rPr>
                <w:color w:val="303030"/>
                <w:sz w:val="22"/>
                <w:szCs w:val="22"/>
                <w:lang w:val="en-GB"/>
              </w:rPr>
            </w:pPr>
            <w:r w:rsidRPr="000B3702">
              <w:rPr>
                <w:sz w:val="22"/>
                <w:szCs w:val="22"/>
                <w:lang w:val="en-GB"/>
              </w:rPr>
              <w:t xml:space="preserve">Persistent organic pollutants – </w:t>
            </w:r>
            <w:proofErr w:type="spellStart"/>
            <w:r w:rsidRPr="000B3702">
              <w:rPr>
                <w:sz w:val="22"/>
                <w:szCs w:val="22"/>
                <w:lang w:val="en-GB"/>
              </w:rPr>
              <w:t>perfluorohexane</w:t>
            </w:r>
            <w:proofErr w:type="spellEnd"/>
            <w:r w:rsidRPr="000B3702">
              <w:rPr>
                <w:sz w:val="22"/>
                <w:szCs w:val="22"/>
                <w:lang w:val="en-GB"/>
              </w:rPr>
              <w:t xml:space="preserve"> sulfonic acid (</w:t>
            </w:r>
            <w:proofErr w:type="spellStart"/>
            <w:r w:rsidRPr="000B3702">
              <w:rPr>
                <w:sz w:val="22"/>
                <w:szCs w:val="22"/>
                <w:lang w:val="en-GB"/>
              </w:rPr>
              <w:t>PFHxS</w:t>
            </w:r>
            <w:proofErr w:type="spellEnd"/>
            <w:r w:rsidRPr="000B3702">
              <w:rPr>
                <w:sz w:val="22"/>
                <w:szCs w:val="22"/>
                <w:lang w:val="en-GB"/>
              </w:rPr>
              <w:t>)</w:t>
            </w:r>
          </w:p>
          <w:p w14:paraId="5A46D324" w14:textId="77777777" w:rsidR="00E2585E" w:rsidRPr="00350A98" w:rsidRDefault="00E2585E" w:rsidP="00E2585E">
            <w:pPr>
              <w:rPr>
                <w:color w:val="303030"/>
                <w:sz w:val="22"/>
                <w:szCs w:val="22"/>
                <w:lang w:val="en-GB"/>
              </w:rPr>
            </w:pPr>
          </w:p>
          <w:p w14:paraId="6A1EFBCB" w14:textId="68B3799A" w:rsidR="00E2585E" w:rsidRDefault="00E2585E" w:rsidP="00E2585E">
            <w:pPr>
              <w:rPr>
                <w:rStyle w:val="Hyperlnk"/>
                <w:sz w:val="22"/>
                <w:szCs w:val="22"/>
                <w:lang w:val="en-GB"/>
              </w:rPr>
            </w:pPr>
            <w:r w:rsidRPr="000B3702">
              <w:rPr>
                <w:sz w:val="22"/>
                <w:szCs w:val="22"/>
                <w:lang w:val="en-GB"/>
              </w:rPr>
              <w:t>Indication of wine ingredients and adaptation of the rules for geographical indications in the wine sector</w:t>
            </w:r>
          </w:p>
          <w:p w14:paraId="41AE9448" w14:textId="77777777" w:rsidR="00E2585E" w:rsidRPr="00350A98" w:rsidRDefault="00E2585E" w:rsidP="00E2585E">
            <w:pPr>
              <w:rPr>
                <w:rStyle w:val="Hyperlnk"/>
                <w:sz w:val="22"/>
                <w:szCs w:val="22"/>
                <w:lang w:val="en-GB"/>
              </w:rPr>
            </w:pPr>
          </w:p>
          <w:p w14:paraId="617B5975" w14:textId="4A00DB0B" w:rsidR="00E2585E" w:rsidRPr="008E67BE" w:rsidRDefault="00E2585E" w:rsidP="00E2585E">
            <w:pPr>
              <w:rPr>
                <w:color w:val="303030"/>
                <w:sz w:val="22"/>
                <w:szCs w:val="22"/>
                <w:lang w:val="en-GB"/>
              </w:rPr>
            </w:pPr>
            <w:r w:rsidRPr="000B3702">
              <w:rPr>
                <w:sz w:val="22"/>
                <w:szCs w:val="22"/>
                <w:lang w:val="en-GB"/>
              </w:rPr>
              <w:t>EU-Côte d'Ivoire fisheries agreement – negotiation mandate for a new protocol</w:t>
            </w:r>
          </w:p>
          <w:p w14:paraId="5423CC66" w14:textId="77777777" w:rsidR="00E2585E" w:rsidRPr="008E67BE" w:rsidRDefault="00E2585E" w:rsidP="00E2585E">
            <w:pPr>
              <w:rPr>
                <w:color w:val="303030"/>
                <w:sz w:val="22"/>
                <w:szCs w:val="22"/>
                <w:lang w:val="en-GB"/>
              </w:rPr>
            </w:pPr>
          </w:p>
          <w:p w14:paraId="7C65384C" w14:textId="37979A10" w:rsidR="00E2585E" w:rsidRPr="008E67BE" w:rsidRDefault="00E2585E" w:rsidP="00E2585E">
            <w:pPr>
              <w:rPr>
                <w:color w:val="303030"/>
                <w:sz w:val="22"/>
                <w:szCs w:val="22"/>
                <w:lang w:val="en-GB"/>
              </w:rPr>
            </w:pPr>
            <w:r w:rsidRPr="000B3702">
              <w:rPr>
                <w:sz w:val="22"/>
                <w:szCs w:val="22"/>
                <w:lang w:val="en-GB"/>
              </w:rPr>
              <w:t xml:space="preserve">Detailed procedures for the in-service verification of CO2 emissions from heavy-duty vehicles </w:t>
            </w:r>
          </w:p>
          <w:p w14:paraId="522DB43E" w14:textId="77777777" w:rsidR="00E2585E" w:rsidRPr="00BB482A" w:rsidRDefault="00E2585E" w:rsidP="00E2585E">
            <w:pPr>
              <w:rPr>
                <w:color w:val="303030"/>
                <w:sz w:val="22"/>
                <w:szCs w:val="22"/>
                <w:lang w:val="en-GB"/>
              </w:rPr>
            </w:pPr>
          </w:p>
          <w:p w14:paraId="3E689972" w14:textId="290924C5" w:rsidR="00E2585E" w:rsidRPr="002C60B0" w:rsidRDefault="00E2585E" w:rsidP="00E2585E">
            <w:pPr>
              <w:rPr>
                <w:color w:val="303030"/>
                <w:sz w:val="22"/>
                <w:szCs w:val="22"/>
                <w:lang w:val="en-GB"/>
              </w:rPr>
            </w:pPr>
            <w:r w:rsidRPr="000B3702">
              <w:rPr>
                <w:sz w:val="22"/>
                <w:szCs w:val="22"/>
                <w:lang w:val="en-GB"/>
              </w:rPr>
              <w:t>CO2 emissions – calculation and monitoring methods for multi-stage vans (update)</w:t>
            </w:r>
          </w:p>
          <w:p w14:paraId="4DD38BF8" w14:textId="77777777" w:rsidR="00E2585E" w:rsidRPr="002C60B0" w:rsidRDefault="00E2585E" w:rsidP="00E2585E">
            <w:pPr>
              <w:rPr>
                <w:color w:val="303030"/>
                <w:sz w:val="22"/>
                <w:szCs w:val="22"/>
                <w:lang w:val="en-GB"/>
              </w:rPr>
            </w:pPr>
          </w:p>
          <w:p w14:paraId="47AD95F7" w14:textId="12238A98" w:rsidR="00E2585E" w:rsidRPr="002C60B0" w:rsidRDefault="00E2585E" w:rsidP="00E2585E">
            <w:pPr>
              <w:rPr>
                <w:color w:val="303030"/>
                <w:sz w:val="22"/>
                <w:szCs w:val="22"/>
                <w:lang w:val="en-GB"/>
              </w:rPr>
            </w:pPr>
            <w:r w:rsidRPr="000B3702">
              <w:rPr>
                <w:sz w:val="22"/>
                <w:szCs w:val="22"/>
                <w:lang w:val="en-GB"/>
              </w:rPr>
              <w:t>Farm Accountancy Data Network (FADN) – recording data on farm production</w:t>
            </w:r>
          </w:p>
          <w:p w14:paraId="695EFBA5" w14:textId="77777777" w:rsidR="00E2585E" w:rsidRPr="002C60B0" w:rsidRDefault="00E2585E" w:rsidP="00E2585E">
            <w:pPr>
              <w:rPr>
                <w:color w:val="303030"/>
                <w:sz w:val="22"/>
                <w:szCs w:val="22"/>
                <w:lang w:val="en-GB"/>
              </w:rPr>
            </w:pPr>
          </w:p>
          <w:p w14:paraId="7BE8DDC0" w14:textId="2B970E59" w:rsidR="00E2585E" w:rsidRPr="002C60B0" w:rsidRDefault="00E2585E" w:rsidP="00E2585E">
            <w:pPr>
              <w:rPr>
                <w:color w:val="303030"/>
                <w:sz w:val="22"/>
                <w:szCs w:val="22"/>
                <w:lang w:val="en-GB"/>
              </w:rPr>
            </w:pPr>
            <w:r w:rsidRPr="000B3702">
              <w:rPr>
                <w:sz w:val="22"/>
                <w:szCs w:val="22"/>
                <w:lang w:val="en-GB"/>
              </w:rPr>
              <w:t>Reference quantity rules extended to rice TRQs and certificates of origin for Brazilian products issued electronically</w:t>
            </w:r>
          </w:p>
          <w:p w14:paraId="2F9015C6" w14:textId="77777777" w:rsidR="00E2585E" w:rsidRPr="002C60B0" w:rsidRDefault="00E2585E" w:rsidP="00E2585E">
            <w:pPr>
              <w:rPr>
                <w:color w:val="303030"/>
                <w:sz w:val="22"/>
                <w:szCs w:val="22"/>
                <w:lang w:val="en-GB"/>
              </w:rPr>
            </w:pPr>
          </w:p>
          <w:p w14:paraId="45A00CB2" w14:textId="03BE84AA" w:rsidR="00E2585E" w:rsidRPr="00BB482A" w:rsidRDefault="00E2585E" w:rsidP="00E2585E">
            <w:pPr>
              <w:rPr>
                <w:color w:val="303030"/>
                <w:sz w:val="22"/>
                <w:szCs w:val="22"/>
                <w:lang w:val="en-GB"/>
              </w:rPr>
            </w:pPr>
            <w:r w:rsidRPr="000B3702">
              <w:rPr>
                <w:sz w:val="22"/>
                <w:szCs w:val="22"/>
                <w:lang w:val="en-GB"/>
              </w:rPr>
              <w:t>EU plant variety rights – amendment to the fees payable to the Community Plant Variety Office</w:t>
            </w:r>
          </w:p>
          <w:p w14:paraId="2813D23F" w14:textId="77777777" w:rsidR="00E2585E" w:rsidRDefault="00E2585E" w:rsidP="00E2585E">
            <w:pPr>
              <w:rPr>
                <w:sz w:val="22"/>
                <w:szCs w:val="22"/>
                <w:lang w:val="en-GB"/>
              </w:rPr>
            </w:pPr>
          </w:p>
          <w:p w14:paraId="1B757C9A" w14:textId="38CDF3E6" w:rsidR="00E2585E" w:rsidRPr="00133340" w:rsidRDefault="00E2585E" w:rsidP="00E2585E">
            <w:pPr>
              <w:rPr>
                <w:sz w:val="22"/>
                <w:szCs w:val="22"/>
                <w:lang w:val="en-GB"/>
              </w:rPr>
            </w:pPr>
            <w:r w:rsidRPr="000B3702">
              <w:rPr>
                <w:sz w:val="22"/>
                <w:szCs w:val="22"/>
                <w:lang w:val="en-GB"/>
              </w:rPr>
              <w:lastRenderedPageBreak/>
              <w:t>Waste management - early warning report</w:t>
            </w:r>
          </w:p>
          <w:p w14:paraId="0539DEE4" w14:textId="77777777" w:rsidR="00E2585E" w:rsidRDefault="00E2585E" w:rsidP="00E2585E">
            <w:pPr>
              <w:rPr>
                <w:sz w:val="22"/>
                <w:szCs w:val="22"/>
                <w:lang w:val="en-GB"/>
              </w:rPr>
            </w:pPr>
          </w:p>
          <w:p w14:paraId="1828741F" w14:textId="38212C9C" w:rsidR="00E2585E" w:rsidRPr="00133340" w:rsidRDefault="00E2585E" w:rsidP="00E2585E">
            <w:pPr>
              <w:rPr>
                <w:color w:val="303030"/>
                <w:sz w:val="22"/>
                <w:szCs w:val="22"/>
                <w:lang w:val="en-GB"/>
              </w:rPr>
            </w:pPr>
            <w:r w:rsidRPr="00E27C73">
              <w:rPr>
                <w:sz w:val="22"/>
                <w:szCs w:val="22"/>
                <w:lang w:val="en-GB"/>
              </w:rPr>
              <w:t>Selective devices for fishing in the Baltic Sea (new detailed rules)</w:t>
            </w:r>
          </w:p>
          <w:p w14:paraId="62FB91F1" w14:textId="77777777" w:rsidR="00E2585E" w:rsidRPr="00133340" w:rsidRDefault="00E2585E" w:rsidP="00E2585E">
            <w:pPr>
              <w:rPr>
                <w:color w:val="303030"/>
                <w:sz w:val="22"/>
                <w:szCs w:val="22"/>
                <w:lang w:val="en-GB"/>
              </w:rPr>
            </w:pPr>
          </w:p>
          <w:p w14:paraId="681AABBB" w14:textId="3964C8AC" w:rsidR="00E2585E" w:rsidRPr="00133340" w:rsidRDefault="00E2585E" w:rsidP="00E2585E">
            <w:pPr>
              <w:rPr>
                <w:color w:val="303030"/>
                <w:sz w:val="22"/>
                <w:szCs w:val="22"/>
                <w:lang w:val="en-GB"/>
              </w:rPr>
            </w:pPr>
            <w:r w:rsidRPr="00E27C73">
              <w:rPr>
                <w:sz w:val="22"/>
                <w:szCs w:val="22"/>
                <w:lang w:val="en-GB"/>
              </w:rPr>
              <w:t>Templates for monitoring plans, emissions reports and documents of compliance in relation to GHG emissions from shipping</w:t>
            </w:r>
          </w:p>
          <w:p w14:paraId="623B1553" w14:textId="77777777" w:rsidR="00E2585E" w:rsidRPr="00133340" w:rsidRDefault="00E2585E" w:rsidP="00E2585E">
            <w:pPr>
              <w:rPr>
                <w:color w:val="303030"/>
                <w:sz w:val="22"/>
                <w:szCs w:val="22"/>
                <w:lang w:val="en-GB"/>
              </w:rPr>
            </w:pPr>
          </w:p>
          <w:p w14:paraId="0FADFCAD" w14:textId="6068CF54" w:rsidR="00E2585E" w:rsidRPr="00133340" w:rsidRDefault="00E2585E" w:rsidP="00E2585E">
            <w:pPr>
              <w:rPr>
                <w:color w:val="303030"/>
                <w:sz w:val="22"/>
                <w:szCs w:val="22"/>
                <w:lang w:val="en-GB"/>
              </w:rPr>
            </w:pPr>
            <w:r w:rsidRPr="00E27C73">
              <w:rPr>
                <w:sz w:val="22"/>
                <w:szCs w:val="22"/>
                <w:lang w:val="en-GB"/>
              </w:rPr>
              <w:t xml:space="preserve">Amendment of the EU ETS Monitoring and Reporting Regulation (MRR) in response to the ETS revision/Fit For 55 </w:t>
            </w:r>
          </w:p>
          <w:p w14:paraId="20C3456D" w14:textId="77777777" w:rsidR="00E2585E" w:rsidRPr="00133340" w:rsidRDefault="00E2585E" w:rsidP="00E2585E">
            <w:pPr>
              <w:rPr>
                <w:color w:val="303030"/>
                <w:sz w:val="22"/>
                <w:szCs w:val="22"/>
                <w:lang w:val="en-GB"/>
              </w:rPr>
            </w:pPr>
          </w:p>
          <w:p w14:paraId="7E4B327F" w14:textId="3EE4A26B" w:rsidR="00E2585E" w:rsidRPr="00133340" w:rsidRDefault="00E2585E" w:rsidP="00E2585E">
            <w:pPr>
              <w:rPr>
                <w:color w:val="303030"/>
                <w:sz w:val="22"/>
                <w:szCs w:val="22"/>
                <w:lang w:val="en-GB"/>
              </w:rPr>
            </w:pPr>
            <w:r w:rsidRPr="00E27C73">
              <w:rPr>
                <w:sz w:val="22"/>
                <w:szCs w:val="22"/>
                <w:lang w:val="en-GB"/>
              </w:rPr>
              <w:t>List of neighbouring container transhipment ports for the purposes of the EU Emissions Trading System (ETS) Directive</w:t>
            </w:r>
          </w:p>
          <w:p w14:paraId="25DD326A" w14:textId="77777777" w:rsidR="00E2585E" w:rsidRPr="00133340" w:rsidRDefault="00E2585E" w:rsidP="00E2585E">
            <w:pPr>
              <w:rPr>
                <w:color w:val="303030"/>
                <w:sz w:val="22"/>
                <w:szCs w:val="22"/>
                <w:lang w:val="en-GB"/>
              </w:rPr>
            </w:pPr>
          </w:p>
          <w:p w14:paraId="31E3E526" w14:textId="4AC512FA" w:rsidR="00E2585E" w:rsidRPr="00EA37E0" w:rsidRDefault="00E2585E" w:rsidP="00E2585E">
            <w:pPr>
              <w:rPr>
                <w:color w:val="303030"/>
                <w:sz w:val="22"/>
                <w:szCs w:val="22"/>
                <w:lang w:val="en-GB"/>
              </w:rPr>
            </w:pPr>
            <w:r w:rsidRPr="00E27C73">
              <w:rPr>
                <w:sz w:val="22"/>
                <w:szCs w:val="22"/>
                <w:lang w:val="en-GB"/>
              </w:rPr>
              <w:t xml:space="preserve">Amendment to Registry Regulation in response to the ETS revision/Fit For 55 </w:t>
            </w:r>
          </w:p>
          <w:p w14:paraId="0EDAB814" w14:textId="77777777" w:rsidR="00E2585E" w:rsidRPr="00EA37E0" w:rsidRDefault="00E2585E" w:rsidP="00E2585E">
            <w:pPr>
              <w:rPr>
                <w:color w:val="303030"/>
                <w:sz w:val="22"/>
                <w:szCs w:val="22"/>
                <w:lang w:val="en-GB"/>
              </w:rPr>
            </w:pPr>
          </w:p>
          <w:p w14:paraId="77D47F80" w14:textId="1574D584" w:rsidR="00E2585E" w:rsidRPr="00133340" w:rsidRDefault="00E2585E" w:rsidP="00E2585E">
            <w:pPr>
              <w:rPr>
                <w:color w:val="303030"/>
                <w:sz w:val="22"/>
                <w:szCs w:val="22"/>
                <w:lang w:val="en-GB"/>
              </w:rPr>
            </w:pPr>
            <w:r w:rsidRPr="00E27C73">
              <w:rPr>
                <w:sz w:val="22"/>
                <w:szCs w:val="22"/>
                <w:lang w:val="en-GB"/>
              </w:rPr>
              <w:t>Rules for the administration of shipping companies by administering authorities under the EU Emissions Trading System</w:t>
            </w:r>
          </w:p>
          <w:p w14:paraId="2E2C4018" w14:textId="77777777" w:rsidR="00E2585E" w:rsidRPr="00133340" w:rsidRDefault="00E2585E" w:rsidP="00E2585E">
            <w:pPr>
              <w:rPr>
                <w:color w:val="303030"/>
                <w:sz w:val="22"/>
                <w:szCs w:val="22"/>
                <w:lang w:val="en-GB"/>
              </w:rPr>
            </w:pPr>
          </w:p>
          <w:p w14:paraId="72A3B674" w14:textId="512D4B55" w:rsidR="00E2585E" w:rsidRPr="00133340" w:rsidRDefault="00E2585E" w:rsidP="00E2585E">
            <w:pPr>
              <w:rPr>
                <w:color w:val="303030"/>
                <w:sz w:val="22"/>
                <w:szCs w:val="22"/>
                <w:lang w:val="en-GB"/>
              </w:rPr>
            </w:pPr>
            <w:r w:rsidRPr="00E27C73">
              <w:rPr>
                <w:sz w:val="22"/>
                <w:szCs w:val="22"/>
                <w:lang w:val="en-GB"/>
              </w:rPr>
              <w:t>Rules and methods for monitoring and reporting greenhouse gas emissions and other relevant information for shipping</w:t>
            </w:r>
          </w:p>
          <w:p w14:paraId="0D9B62E6" w14:textId="77777777" w:rsidR="00E2585E" w:rsidRPr="00133340" w:rsidRDefault="00E2585E" w:rsidP="00E2585E">
            <w:pPr>
              <w:rPr>
                <w:color w:val="303030"/>
                <w:sz w:val="22"/>
                <w:szCs w:val="22"/>
                <w:lang w:val="en-GB"/>
              </w:rPr>
            </w:pPr>
          </w:p>
          <w:p w14:paraId="1D2DD49E" w14:textId="64B4A256" w:rsidR="00E2585E" w:rsidRPr="00133340" w:rsidRDefault="00E2585E" w:rsidP="00E2585E">
            <w:pPr>
              <w:rPr>
                <w:color w:val="303030"/>
                <w:sz w:val="22"/>
                <w:szCs w:val="22"/>
                <w:lang w:val="en-GB"/>
              </w:rPr>
            </w:pPr>
            <w:r w:rsidRPr="00E27C73">
              <w:rPr>
                <w:sz w:val="22"/>
                <w:szCs w:val="22"/>
                <w:lang w:val="en-GB"/>
              </w:rPr>
              <w:t>Rules on approval and verification activities and accreditation of verifiers in relation to maritime transport emissions</w:t>
            </w:r>
          </w:p>
          <w:p w14:paraId="02427AAF" w14:textId="77777777" w:rsidR="00E2585E" w:rsidRPr="00133340" w:rsidRDefault="00E2585E" w:rsidP="00E2585E">
            <w:pPr>
              <w:rPr>
                <w:color w:val="303030"/>
                <w:sz w:val="22"/>
                <w:szCs w:val="22"/>
                <w:lang w:val="en-GB"/>
              </w:rPr>
            </w:pPr>
          </w:p>
          <w:p w14:paraId="4B69316A" w14:textId="15515F59" w:rsidR="00E2585E" w:rsidRPr="00133340" w:rsidRDefault="00E2585E" w:rsidP="00E2585E">
            <w:pPr>
              <w:rPr>
                <w:color w:val="303030"/>
                <w:sz w:val="22"/>
                <w:szCs w:val="22"/>
                <w:lang w:val="en-GB"/>
              </w:rPr>
            </w:pPr>
            <w:r w:rsidRPr="00E27C73">
              <w:rPr>
                <w:sz w:val="22"/>
                <w:szCs w:val="22"/>
                <w:lang w:val="en-GB"/>
              </w:rPr>
              <w:t xml:space="preserve">Amendment of the free allocation rules in response to the ETS revision/Fit For 55 </w:t>
            </w:r>
          </w:p>
          <w:p w14:paraId="1D997EF0" w14:textId="77777777" w:rsidR="00E2585E" w:rsidRPr="00133340" w:rsidRDefault="00E2585E" w:rsidP="00E2585E">
            <w:pPr>
              <w:rPr>
                <w:color w:val="303030"/>
                <w:sz w:val="22"/>
                <w:szCs w:val="22"/>
                <w:lang w:val="en-GB"/>
              </w:rPr>
            </w:pPr>
          </w:p>
          <w:p w14:paraId="24A775FC" w14:textId="05CF1268" w:rsidR="00E2585E" w:rsidRPr="00133340" w:rsidRDefault="00E2585E" w:rsidP="00E2585E">
            <w:pPr>
              <w:rPr>
                <w:color w:val="303030"/>
                <w:sz w:val="22"/>
                <w:szCs w:val="22"/>
                <w:lang w:val="en-GB"/>
              </w:rPr>
            </w:pPr>
            <w:r w:rsidRPr="00E27C73">
              <w:rPr>
                <w:sz w:val="22"/>
                <w:szCs w:val="22"/>
                <w:lang w:val="en-GB"/>
              </w:rPr>
              <w:t>Tariff quotas – amendments to quantities agreed between the EU and the USA</w:t>
            </w:r>
          </w:p>
          <w:p w14:paraId="4766123F" w14:textId="77777777" w:rsidR="00E2585E" w:rsidRPr="00133340" w:rsidRDefault="00E2585E" w:rsidP="00E2585E">
            <w:pPr>
              <w:rPr>
                <w:color w:val="303030"/>
                <w:sz w:val="22"/>
                <w:szCs w:val="22"/>
                <w:lang w:val="en-GB"/>
              </w:rPr>
            </w:pPr>
          </w:p>
          <w:p w14:paraId="31D6E297" w14:textId="043226BD" w:rsidR="00E2585E" w:rsidRPr="00EA37E0" w:rsidRDefault="00E2585E" w:rsidP="00E2585E">
            <w:pPr>
              <w:rPr>
                <w:color w:val="303030"/>
                <w:sz w:val="22"/>
                <w:szCs w:val="22"/>
                <w:lang w:val="en-GB"/>
              </w:rPr>
            </w:pPr>
            <w:r w:rsidRPr="00E27C73">
              <w:rPr>
                <w:sz w:val="22"/>
                <w:szCs w:val="22"/>
                <w:lang w:val="en-GB"/>
              </w:rPr>
              <w:t>Plant and forest reproductive material (revised rules)</w:t>
            </w:r>
          </w:p>
          <w:p w14:paraId="1BBF7D52" w14:textId="77777777" w:rsidR="00E2585E" w:rsidRPr="00EA37E0" w:rsidRDefault="00E2585E" w:rsidP="00E2585E">
            <w:pPr>
              <w:rPr>
                <w:color w:val="303030"/>
                <w:sz w:val="22"/>
                <w:szCs w:val="22"/>
                <w:lang w:val="en-GB"/>
              </w:rPr>
            </w:pPr>
          </w:p>
          <w:p w14:paraId="1C376AB0" w14:textId="3D677C13" w:rsidR="00E2585E" w:rsidRPr="00133340" w:rsidRDefault="00E2585E" w:rsidP="00E2585E">
            <w:pPr>
              <w:rPr>
                <w:color w:val="303030"/>
                <w:sz w:val="22"/>
                <w:szCs w:val="22"/>
                <w:lang w:val="en-GB"/>
              </w:rPr>
            </w:pPr>
            <w:r w:rsidRPr="00E27C73">
              <w:rPr>
                <w:sz w:val="22"/>
                <w:szCs w:val="22"/>
                <w:lang w:val="en-GB"/>
              </w:rPr>
              <w:t>Sustainable fishing in the EU: state of play and orientations for 2024</w:t>
            </w:r>
          </w:p>
          <w:p w14:paraId="1504A8BF" w14:textId="77777777" w:rsidR="00E2585E" w:rsidRPr="00133340" w:rsidRDefault="00E2585E" w:rsidP="00E2585E">
            <w:pPr>
              <w:rPr>
                <w:color w:val="303030"/>
                <w:sz w:val="22"/>
                <w:szCs w:val="22"/>
                <w:lang w:val="en-GB"/>
              </w:rPr>
            </w:pPr>
          </w:p>
          <w:p w14:paraId="6ECA73D0" w14:textId="63E49E67" w:rsidR="00E2585E" w:rsidRPr="00EA37E0" w:rsidRDefault="00E2585E" w:rsidP="00E2585E">
            <w:pPr>
              <w:rPr>
                <w:sz w:val="22"/>
                <w:szCs w:val="22"/>
                <w:lang w:val="en-GB"/>
              </w:rPr>
            </w:pPr>
            <w:r w:rsidRPr="00E27C73">
              <w:rPr>
                <w:sz w:val="22"/>
                <w:szCs w:val="22"/>
                <w:lang w:val="en-GB"/>
              </w:rPr>
              <w:t>School fruit, vegetables &amp; milk scheme (amended rules on the payment of aid)</w:t>
            </w:r>
          </w:p>
          <w:p w14:paraId="1BEF8688" w14:textId="77777777" w:rsidR="00E2585E" w:rsidRPr="00E5714E" w:rsidRDefault="00E2585E" w:rsidP="00E2585E">
            <w:pPr>
              <w:rPr>
                <w:b/>
                <w:bCs/>
                <w:sz w:val="22"/>
                <w:szCs w:val="22"/>
              </w:rPr>
            </w:pPr>
          </w:p>
        </w:tc>
      </w:tr>
    </w:tbl>
    <w:p w14:paraId="29CFC9B4" w14:textId="77777777" w:rsidR="003A2D61" w:rsidRDefault="003A2D61">
      <w:pPr>
        <w:widowControl/>
        <w:rPr>
          <w:sz w:val="22"/>
          <w:szCs w:val="22"/>
        </w:rPr>
      </w:pPr>
    </w:p>
    <w:p w14:paraId="762B8E21" w14:textId="3D10D8C1" w:rsidR="003A2D61" w:rsidRPr="00FD58DB" w:rsidRDefault="003A2D61" w:rsidP="00E27C73">
      <w:pPr>
        <w:widowControl/>
        <w:rPr>
          <w:sz w:val="22"/>
          <w:szCs w:val="22"/>
        </w:rPr>
      </w:pPr>
      <w:bookmarkStart w:id="1" w:name="_Hlk135035590"/>
      <w:bookmarkEnd w:id="0"/>
    </w:p>
    <w:p w14:paraId="7FF87468" w14:textId="77777777" w:rsidR="003A2D61" w:rsidRPr="00FD58DB" w:rsidRDefault="003A2D61" w:rsidP="003A2D61">
      <w:pPr>
        <w:rPr>
          <w:sz w:val="22"/>
          <w:szCs w:val="22"/>
        </w:rPr>
      </w:pPr>
    </w:p>
    <w:bookmarkEnd w:id="1"/>
    <w:p w14:paraId="7996B3B0"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0C6CE5"/>
    <w:multiLevelType w:val="hybridMultilevel"/>
    <w:tmpl w:val="83C0F48E"/>
    <w:lvl w:ilvl="0" w:tplc="9CF03C78">
      <w:start w:val="1"/>
      <w:numFmt w:val="bullet"/>
      <w:lvlText w:val=""/>
      <w:lvlJc w:val="left"/>
      <w:pPr>
        <w:ind w:left="720" w:hanging="360"/>
      </w:pPr>
      <w:rPr>
        <w:rFonts w:ascii="Symbol" w:hAnsi="Symbol"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8BC3579"/>
    <w:multiLevelType w:val="hybridMultilevel"/>
    <w:tmpl w:val="846A6D90"/>
    <w:lvl w:ilvl="0" w:tplc="5C64DDC8">
      <w:start w:val="1"/>
      <w:numFmt w:val="bullet"/>
      <w:lvlText w:val=""/>
      <w:lvlJc w:val="left"/>
      <w:pPr>
        <w:ind w:left="720" w:hanging="360"/>
      </w:pPr>
      <w:rPr>
        <w:rFonts w:ascii="Symbol" w:hAnsi="Symbol" w:hint="default"/>
        <w:color w:val="000000"/>
      </w:rPr>
    </w:lvl>
    <w:lvl w:ilvl="1" w:tplc="265AC74E">
      <w:start w:val="1"/>
      <w:numFmt w:val="bullet"/>
      <w:lvlText w:val="o"/>
      <w:lvlJc w:val="left"/>
      <w:pPr>
        <w:ind w:left="1440" w:hanging="360"/>
      </w:pPr>
      <w:rPr>
        <w:rFonts w:ascii="Courier New" w:hAnsi="Courier New" w:cs="Courier New" w:hint="default"/>
        <w:color w:val="000000"/>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825B2B"/>
    <w:multiLevelType w:val="hybridMultilevel"/>
    <w:tmpl w:val="BBB225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5824"/>
    <w:rsid w:val="00022E0C"/>
    <w:rsid w:val="000310B4"/>
    <w:rsid w:val="00033928"/>
    <w:rsid w:val="000340CE"/>
    <w:rsid w:val="0003479D"/>
    <w:rsid w:val="00034F00"/>
    <w:rsid w:val="00040A3C"/>
    <w:rsid w:val="00041991"/>
    <w:rsid w:val="000459DE"/>
    <w:rsid w:val="000467A5"/>
    <w:rsid w:val="000604E3"/>
    <w:rsid w:val="00061437"/>
    <w:rsid w:val="00061872"/>
    <w:rsid w:val="00064523"/>
    <w:rsid w:val="00070A5C"/>
    <w:rsid w:val="00071FBC"/>
    <w:rsid w:val="00076BDD"/>
    <w:rsid w:val="00086A67"/>
    <w:rsid w:val="00087ADB"/>
    <w:rsid w:val="00091EA6"/>
    <w:rsid w:val="000A29E4"/>
    <w:rsid w:val="000B3702"/>
    <w:rsid w:val="000D4425"/>
    <w:rsid w:val="000D7777"/>
    <w:rsid w:val="000E402E"/>
    <w:rsid w:val="000E777E"/>
    <w:rsid w:val="000F0EE3"/>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B3A62"/>
    <w:rsid w:val="002C1D92"/>
    <w:rsid w:val="002C2D78"/>
    <w:rsid w:val="002C5FED"/>
    <w:rsid w:val="002C7E1A"/>
    <w:rsid w:val="002D06F9"/>
    <w:rsid w:val="002D20B8"/>
    <w:rsid w:val="002D5CC4"/>
    <w:rsid w:val="002E536D"/>
    <w:rsid w:val="002F25FD"/>
    <w:rsid w:val="00302EBE"/>
    <w:rsid w:val="00305501"/>
    <w:rsid w:val="003100F5"/>
    <w:rsid w:val="00311886"/>
    <w:rsid w:val="003127B4"/>
    <w:rsid w:val="003220D7"/>
    <w:rsid w:val="00322167"/>
    <w:rsid w:val="003348AA"/>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2B85"/>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177FB"/>
    <w:rsid w:val="00523D80"/>
    <w:rsid w:val="005249C1"/>
    <w:rsid w:val="00530BD4"/>
    <w:rsid w:val="0055441A"/>
    <w:rsid w:val="005654CA"/>
    <w:rsid w:val="00573E17"/>
    <w:rsid w:val="00573F9E"/>
    <w:rsid w:val="00575332"/>
    <w:rsid w:val="005855D5"/>
    <w:rsid w:val="005957E5"/>
    <w:rsid w:val="005A3A0A"/>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597E"/>
    <w:rsid w:val="006A49EA"/>
    <w:rsid w:val="006A63A7"/>
    <w:rsid w:val="006C1A38"/>
    <w:rsid w:val="006C1EB7"/>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359C"/>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074C0"/>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59C1"/>
    <w:rsid w:val="008D692B"/>
    <w:rsid w:val="008D6CA6"/>
    <w:rsid w:val="008E1864"/>
    <w:rsid w:val="008E6B40"/>
    <w:rsid w:val="008F4883"/>
    <w:rsid w:val="008F4D6D"/>
    <w:rsid w:val="00910C8E"/>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41B58"/>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1D2D"/>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2585E"/>
    <w:rsid w:val="00E27C73"/>
    <w:rsid w:val="00E32CDB"/>
    <w:rsid w:val="00E43C72"/>
    <w:rsid w:val="00E44E30"/>
    <w:rsid w:val="00E47577"/>
    <w:rsid w:val="00E53E73"/>
    <w:rsid w:val="00E54E79"/>
    <w:rsid w:val="00E60AE8"/>
    <w:rsid w:val="00E66CF4"/>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2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mur.riksdagen.se/?dokumentId=41568"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3588</Words>
  <Characters>22408</Characters>
  <Application>Microsoft Office Word</Application>
  <DocSecurity>0</DocSecurity>
  <Lines>1318</Lines>
  <Paragraphs>387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20</cp:revision>
  <cp:lastPrinted>2023-06-20T11:35:00Z</cp:lastPrinted>
  <dcterms:created xsi:type="dcterms:W3CDTF">2023-06-08T10:43:00Z</dcterms:created>
  <dcterms:modified xsi:type="dcterms:W3CDTF">2023-09-14T10:12:00Z</dcterms:modified>
</cp:coreProperties>
</file>