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3A486C" w:rsidP="007242A3">
            <w:pPr>
              <w:framePr w:w="5035" w:h="1644" w:wrap="notBeside" w:vAnchor="page" w:hAnchor="page" w:x="6573" w:y="721"/>
              <w:rPr>
                <w:sz w:val="20"/>
              </w:rPr>
            </w:pPr>
            <w:r>
              <w:rPr>
                <w:sz w:val="20"/>
              </w:rPr>
              <w:t>Dnr N2016/03204</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3A486C" w:rsidP="001B46CF">
            <w:pPr>
              <w:pStyle w:val="Avsndare"/>
              <w:framePr w:h="2483" w:wrap="notBeside" w:x="1497" w:y="1933"/>
              <w:rPr>
                <w:b/>
                <w:i w:val="0"/>
                <w:sz w:val="22"/>
              </w:rPr>
            </w:pPr>
            <w:r>
              <w:rPr>
                <w:b/>
                <w:i w:val="0"/>
                <w:sz w:val="22"/>
              </w:rPr>
              <w:t>Näringsdepartementet</w:t>
            </w:r>
          </w:p>
        </w:tc>
      </w:tr>
      <w:tr w:rsidR="006E4E11">
        <w:trPr>
          <w:trHeight w:val="284"/>
        </w:trPr>
        <w:tc>
          <w:tcPr>
            <w:tcW w:w="4911" w:type="dxa"/>
          </w:tcPr>
          <w:p w:rsidR="006E4E11" w:rsidRDefault="003A486C" w:rsidP="001B46CF">
            <w:pPr>
              <w:pStyle w:val="Avsndare"/>
              <w:framePr w:h="2483" w:wrap="notBeside" w:x="1497" w:y="1933"/>
              <w:rPr>
                <w:bCs/>
                <w:iCs/>
              </w:rPr>
            </w:pPr>
            <w:r>
              <w:rPr>
                <w:bCs/>
                <w:iCs/>
              </w:rPr>
              <w:t>Närings- och innovationsministern</w:t>
            </w:r>
          </w:p>
        </w:tc>
      </w:tr>
      <w:tr w:rsidR="006E4E11">
        <w:trPr>
          <w:trHeight w:val="284"/>
        </w:trPr>
        <w:tc>
          <w:tcPr>
            <w:tcW w:w="4911" w:type="dxa"/>
          </w:tcPr>
          <w:p w:rsidR="006E4E11" w:rsidRDefault="006E4E11" w:rsidP="001B46CF">
            <w:pPr>
              <w:pStyle w:val="Avsndare"/>
              <w:framePr w:h="2483" w:wrap="notBeside" w:x="1497" w:y="1933"/>
              <w:rPr>
                <w:bCs/>
                <w:iCs/>
              </w:rPr>
            </w:pPr>
          </w:p>
        </w:tc>
      </w:tr>
      <w:tr w:rsidR="006E4E11">
        <w:trPr>
          <w:trHeight w:val="284"/>
        </w:trPr>
        <w:tc>
          <w:tcPr>
            <w:tcW w:w="4911" w:type="dxa"/>
          </w:tcPr>
          <w:p w:rsidR="006E4E11" w:rsidRDefault="006E4E11" w:rsidP="00280821">
            <w:pPr>
              <w:pStyle w:val="Avsndare"/>
              <w:framePr w:h="2483" w:wrap="notBeside" w:x="1497" w:y="1933"/>
              <w:rPr>
                <w:bCs/>
                <w:iCs/>
              </w:rPr>
            </w:pPr>
          </w:p>
        </w:tc>
      </w:tr>
      <w:tr w:rsidR="006E4E11">
        <w:trPr>
          <w:trHeight w:val="284"/>
        </w:trPr>
        <w:tc>
          <w:tcPr>
            <w:tcW w:w="4911" w:type="dxa"/>
          </w:tcPr>
          <w:p w:rsidR="006E4E11" w:rsidRDefault="006E4E11" w:rsidP="001B46CF">
            <w:pPr>
              <w:pStyle w:val="Avsndare"/>
              <w:framePr w:h="2483" w:wrap="notBeside" w:x="1497" w:y="1933"/>
              <w:rPr>
                <w:bCs/>
                <w:iCs/>
              </w:rPr>
            </w:pPr>
          </w:p>
        </w:tc>
      </w:tr>
      <w:tr w:rsidR="006E4E11">
        <w:trPr>
          <w:trHeight w:val="284"/>
        </w:trPr>
        <w:tc>
          <w:tcPr>
            <w:tcW w:w="4911" w:type="dxa"/>
          </w:tcPr>
          <w:p w:rsidR="006E4E11" w:rsidRDefault="006E4E11" w:rsidP="001B46CF">
            <w:pPr>
              <w:pStyle w:val="Avsndare"/>
              <w:framePr w:h="2483" w:wrap="notBeside" w:x="1497" w:y="1933"/>
              <w:rPr>
                <w:bCs/>
                <w:iCs/>
              </w:rPr>
            </w:pPr>
          </w:p>
        </w:tc>
      </w:tr>
      <w:tr w:rsidR="006E4E11">
        <w:trPr>
          <w:trHeight w:val="284"/>
        </w:trPr>
        <w:tc>
          <w:tcPr>
            <w:tcW w:w="4911" w:type="dxa"/>
          </w:tcPr>
          <w:p w:rsidR="006E4E11" w:rsidRDefault="006E4E11" w:rsidP="001B46CF">
            <w:pPr>
              <w:pStyle w:val="Avsndare"/>
              <w:framePr w:h="2483" w:wrap="notBeside" w:x="1497" w:y="1933"/>
              <w:rPr>
                <w:bCs/>
                <w:iCs/>
              </w:rPr>
            </w:pPr>
          </w:p>
        </w:tc>
      </w:tr>
      <w:tr w:rsidR="006E4E11">
        <w:trPr>
          <w:trHeight w:val="284"/>
        </w:trPr>
        <w:tc>
          <w:tcPr>
            <w:tcW w:w="4911" w:type="dxa"/>
          </w:tcPr>
          <w:p w:rsidR="006E4E11" w:rsidRDefault="006E4E11" w:rsidP="001B46CF">
            <w:pPr>
              <w:pStyle w:val="Avsndare"/>
              <w:framePr w:h="2483" w:wrap="notBeside" w:x="1497" w:y="1933"/>
              <w:rPr>
                <w:bCs/>
                <w:iCs/>
              </w:rPr>
            </w:pPr>
          </w:p>
        </w:tc>
      </w:tr>
      <w:tr w:rsidR="006E4E11">
        <w:trPr>
          <w:trHeight w:val="284"/>
        </w:trPr>
        <w:tc>
          <w:tcPr>
            <w:tcW w:w="4911" w:type="dxa"/>
          </w:tcPr>
          <w:p w:rsidR="006E4E11" w:rsidRDefault="006E4E11" w:rsidP="001B46CF">
            <w:pPr>
              <w:pStyle w:val="Avsndare"/>
              <w:framePr w:h="2483" w:wrap="notBeside" w:x="1497" w:y="1933"/>
              <w:rPr>
                <w:bCs/>
                <w:iCs/>
              </w:rPr>
            </w:pPr>
          </w:p>
        </w:tc>
      </w:tr>
    </w:tbl>
    <w:p w:rsidR="006E4E11" w:rsidRDefault="003A486C">
      <w:pPr>
        <w:framePr w:w="4400" w:h="2523" w:wrap="notBeside" w:vAnchor="page" w:hAnchor="page" w:x="6453" w:y="2445"/>
        <w:ind w:left="142"/>
      </w:pPr>
      <w:r>
        <w:t>Till riksdagen</w:t>
      </w:r>
    </w:p>
    <w:p w:rsidR="00280821" w:rsidRDefault="00280821">
      <w:pPr>
        <w:framePr w:w="4400" w:h="2523" w:wrap="notBeside" w:vAnchor="page" w:hAnchor="page" w:x="6453" w:y="2445"/>
        <w:ind w:left="142"/>
      </w:pPr>
    </w:p>
    <w:p w:rsidR="006E4E11" w:rsidRDefault="003A486C" w:rsidP="003A486C">
      <w:pPr>
        <w:pStyle w:val="RKrubrik"/>
        <w:pBdr>
          <w:bottom w:val="single" w:sz="4" w:space="1" w:color="auto"/>
        </w:pBdr>
        <w:spacing w:before="0" w:after="0"/>
      </w:pPr>
      <w:r>
        <w:t>Svar på fråga 2015/16:1168 av Jörgen Warborn (M) Styrning av myndigheter för ett bättre företagsklimat</w:t>
      </w:r>
    </w:p>
    <w:p w:rsidR="006E4E11" w:rsidRDefault="006E4E11">
      <w:pPr>
        <w:pStyle w:val="RKnormal"/>
      </w:pPr>
    </w:p>
    <w:p w:rsidR="006E4E11" w:rsidRDefault="003A486C">
      <w:pPr>
        <w:pStyle w:val="RKnormal"/>
      </w:pPr>
      <w:r>
        <w:t>Jörgen Warborn har frågat mig om vad regeringen avser att vidta för åtgärder för att styra myndigheter för att minska regelkrånglet</w:t>
      </w:r>
      <w:r w:rsidR="002C7D2D">
        <w:t>.</w:t>
      </w:r>
    </w:p>
    <w:p w:rsidR="003A486C" w:rsidRDefault="003A486C">
      <w:pPr>
        <w:pStyle w:val="RKnormal"/>
      </w:pPr>
    </w:p>
    <w:p w:rsidR="001B46CF" w:rsidRPr="00EF7229" w:rsidRDefault="003A486C" w:rsidP="00EF7229">
      <w:r>
        <w:t xml:space="preserve">Regeringen styr i huvudsak sina myndigheter genom respektive myndighets instruktion </w:t>
      </w:r>
      <w:r w:rsidR="005D1174">
        <w:t xml:space="preserve">och </w:t>
      </w:r>
      <w:r>
        <w:t xml:space="preserve">regleringsbrev eller genom särskilda </w:t>
      </w:r>
      <w:r w:rsidRPr="00EF7229">
        <w:t>regerings</w:t>
      </w:r>
      <w:r w:rsidR="00563E75" w:rsidRPr="00EF7229">
        <w:t>beslut</w:t>
      </w:r>
      <w:r w:rsidRPr="00EF7229">
        <w:t>. Inom regelförenklingsområdet kan nämnas att myndigheter som har mycket kontakter med företag</w:t>
      </w:r>
      <w:r w:rsidR="006B0E91" w:rsidRPr="00EF7229">
        <w:t>,</w:t>
      </w:r>
      <w:r w:rsidRPr="00EF7229">
        <w:t xml:space="preserve"> generellt också har någon form av förenklingsuppdrag i sin instruktion</w:t>
      </w:r>
      <w:r w:rsidR="0066185D">
        <w:t>,</w:t>
      </w:r>
      <w:r w:rsidRPr="00EF7229">
        <w:t xml:space="preserve"> regleringsbrev</w:t>
      </w:r>
      <w:r w:rsidR="0066185D">
        <w:t xml:space="preserve"> eller särskilt regerings</w:t>
      </w:r>
      <w:r w:rsidR="00EF4BB1">
        <w:t>u</w:t>
      </w:r>
      <w:r w:rsidR="0066185D">
        <w:t>ppdrag</w:t>
      </w:r>
      <w:r w:rsidRPr="00EF7229">
        <w:t xml:space="preserve">. </w:t>
      </w:r>
      <w:r w:rsidR="00EF7229" w:rsidRPr="00EF7229">
        <w:t xml:space="preserve">Till exempel </w:t>
      </w:r>
      <w:r w:rsidRPr="00EF7229">
        <w:t xml:space="preserve">har </w:t>
      </w:r>
      <w:r w:rsidR="0066185D">
        <w:t xml:space="preserve">19 myndigheter att arbeta för att målen för förenklingsarbetet nås. </w:t>
      </w:r>
      <w:r w:rsidRPr="00EF7229">
        <w:t xml:space="preserve">Skogsstyrelsen </w:t>
      </w:r>
      <w:r w:rsidR="0066185D">
        <w:t xml:space="preserve">har </w:t>
      </w:r>
      <w:r w:rsidRPr="00EF7229">
        <w:t>i uppdrag att</w:t>
      </w:r>
      <w:r w:rsidR="00EF7229" w:rsidRPr="00EF7229">
        <w:t xml:space="preserve"> utforma sina </w:t>
      </w:r>
      <w:r w:rsidRPr="00EF7229">
        <w:t xml:space="preserve">föreskrifter, allmänna råd och andra vägledande dokument </w:t>
      </w:r>
      <w:r w:rsidR="00EF7229" w:rsidRPr="00EF7229">
        <w:t xml:space="preserve">så </w:t>
      </w:r>
      <w:r w:rsidRPr="00EF7229">
        <w:t xml:space="preserve">att de är kostnadseffektiva och enkla att följa och förstå för företagen. </w:t>
      </w:r>
      <w:r w:rsidR="00EF7229" w:rsidRPr="00EF7229">
        <w:t xml:space="preserve">Även </w:t>
      </w:r>
      <w:r w:rsidRPr="00EF7229">
        <w:t xml:space="preserve">Transportstyrelsen, </w:t>
      </w:r>
      <w:r w:rsidR="006B0E91" w:rsidRPr="00EF7229">
        <w:t>Försäkringskassan och Bolagsverket</w:t>
      </w:r>
      <w:r w:rsidR="00EF7229" w:rsidRPr="00EF7229">
        <w:t xml:space="preserve"> har liknande uppdrag</w:t>
      </w:r>
      <w:r w:rsidR="006B0E91" w:rsidRPr="00EF7229">
        <w:t xml:space="preserve">. </w:t>
      </w:r>
    </w:p>
    <w:p w:rsidR="001B46CF" w:rsidRPr="00EF7229" w:rsidRDefault="001B46CF" w:rsidP="00EF7229"/>
    <w:p w:rsidR="001B46CF" w:rsidRPr="00EF7229" w:rsidRDefault="006B0E91" w:rsidP="00EF7229">
      <w:r w:rsidRPr="00EF7229">
        <w:t>Skatteverket har i sitt regleringsbrev i uppdrag att</w:t>
      </w:r>
      <w:r w:rsidR="00EF7229" w:rsidRPr="00EF7229">
        <w:t xml:space="preserve"> </w:t>
      </w:r>
      <w:r w:rsidRPr="00EF7229">
        <w:t>gör</w:t>
      </w:r>
      <w:r w:rsidR="00EF7229" w:rsidRPr="00EF7229">
        <w:t>a</w:t>
      </w:r>
      <w:r w:rsidRPr="00EF7229">
        <w:t xml:space="preserve"> information och service mer behovsanpassad, lättillgänglig och kvalificerad</w:t>
      </w:r>
      <w:r w:rsidR="00EF7229" w:rsidRPr="00EF7229">
        <w:t xml:space="preserve"> samt bedöma hur de</w:t>
      </w:r>
      <w:r w:rsidRPr="00EF7229">
        <w:t xml:space="preserve"> </w:t>
      </w:r>
      <w:r w:rsidR="00EF7229" w:rsidRPr="00EF7229">
        <w:t xml:space="preserve">bidrar </w:t>
      </w:r>
      <w:r w:rsidRPr="00EF7229">
        <w:t>till att uppfylla regeringens mål att förenkla för företag. Andra myndigheter med liknande uppdrag i regleringsbrev är Tullverket</w:t>
      </w:r>
      <w:r w:rsidR="003149A1" w:rsidRPr="00EF7229">
        <w:t xml:space="preserve"> och</w:t>
      </w:r>
      <w:r w:rsidR="002C7D2D">
        <w:t xml:space="preserve"> Statistiska c</w:t>
      </w:r>
      <w:r w:rsidRPr="00EF7229">
        <w:t xml:space="preserve">entralbyrån. </w:t>
      </w:r>
    </w:p>
    <w:p w:rsidR="001B46CF" w:rsidRPr="00EF7229" w:rsidRDefault="001B46CF" w:rsidP="00EF7229"/>
    <w:p w:rsidR="001B46CF" w:rsidRPr="00EF7229" w:rsidRDefault="00EF7229" w:rsidP="00EF7229">
      <w:r w:rsidRPr="00EF7229">
        <w:t xml:space="preserve">Tillväxtverket har </w:t>
      </w:r>
      <w:r w:rsidR="001B46CF" w:rsidRPr="00EF7229">
        <w:t xml:space="preserve">i sin instruktion i uppdrag att </w:t>
      </w:r>
      <w:r w:rsidRPr="00EF7229">
        <w:t>bland annat s</w:t>
      </w:r>
      <w:r w:rsidR="001B46CF" w:rsidRPr="00EF7229">
        <w:t xml:space="preserve">tödja och samordna förenklingsarbetet hos </w:t>
      </w:r>
      <w:r w:rsidRPr="00EF7229">
        <w:t xml:space="preserve">de </w:t>
      </w:r>
      <w:r w:rsidR="001B46CF" w:rsidRPr="00EF7229">
        <w:t xml:space="preserve">myndigheter som har omfattande verksamhet riktad till företag. </w:t>
      </w:r>
    </w:p>
    <w:p w:rsidR="001B46CF" w:rsidRDefault="001B46CF">
      <w:pPr>
        <w:pStyle w:val="RKnormal"/>
        <w:rPr>
          <w:i/>
        </w:rPr>
      </w:pPr>
    </w:p>
    <w:p w:rsidR="00A624D1" w:rsidRPr="00E15454" w:rsidRDefault="00A624D1" w:rsidP="00AD07A7">
      <w:r w:rsidRPr="00E15454">
        <w:t>Regeringen arbetar aktivt med att digital</w:t>
      </w:r>
      <w:r w:rsidR="0066185D" w:rsidRPr="00E15454">
        <w:t>a lösningar ska göra kontakte</w:t>
      </w:r>
      <w:r w:rsidR="00EF4BB1" w:rsidRPr="00E15454">
        <w:t>r</w:t>
      </w:r>
      <w:r w:rsidR="0066185D" w:rsidRPr="00E15454">
        <w:t xml:space="preserve"> mellan företag och myndigheter enklare och att det </w:t>
      </w:r>
      <w:r w:rsidRPr="00E15454">
        <w:t xml:space="preserve">ska vara förstahandsvalet för företagens kontakter med myndigheter. Exempelvis har Bolagsverket i sitt regleringsbrev att utforma digitala tjänster, så långt det är möjligt och där det är relevant, så att dessa är </w:t>
      </w:r>
      <w:r w:rsidRPr="00E15454">
        <w:lastRenderedPageBreak/>
        <w:t>förstahandsvalet i medborgares, organisationers och företags kontakter med Bolagsverket.</w:t>
      </w:r>
    </w:p>
    <w:p w:rsidR="00A624D1" w:rsidRPr="00E15454" w:rsidRDefault="00A624D1" w:rsidP="00A624D1"/>
    <w:p w:rsidR="00A624D1" w:rsidRPr="00637E55" w:rsidRDefault="00A624D1" w:rsidP="00A624D1">
      <w:r w:rsidRPr="00637E55">
        <w:t>Regeringen har undertecknat en överenskommelse med Sveriges Kommuner och Landsting om en samlad digital plattform och digitala lösningar så att det ska bli enklare att starta och driva restaurangföretag. Bolagsverket och Tillväxtverket är några av de myndigheter som fått regeringens uppdrag att med hjälp av nya gemensamma nationella digitala lösningar förenkla för</w:t>
      </w:r>
      <w:r w:rsidR="0066185D">
        <w:t>, i ett första steg,</w:t>
      </w:r>
      <w:r w:rsidRPr="00637E55">
        <w:t xml:space="preserve"> restaurangbranschen</w:t>
      </w:r>
      <w:r w:rsidR="002C7D2D">
        <w:softHyphen/>
      </w:r>
      <w:r w:rsidR="00D71F9E">
        <w:t xml:space="preserve"> </w:t>
      </w:r>
      <w:r w:rsidR="00D71F9E">
        <w:rPr>
          <w:rFonts w:ascii="Times New Roman" w:hAnsi="Times New Roman"/>
        </w:rPr>
        <w:t xml:space="preserve">– </w:t>
      </w:r>
      <w:r w:rsidRPr="00637E55">
        <w:t xml:space="preserve">en regeltung bransch som kräver omfattande kontakt med myndigheter och kommuner. </w:t>
      </w:r>
    </w:p>
    <w:p w:rsidR="001A6E9F" w:rsidRPr="001B46CF" w:rsidRDefault="001A6E9F">
      <w:pPr>
        <w:pStyle w:val="RKnormal"/>
        <w:rPr>
          <w:i/>
        </w:rPr>
      </w:pPr>
    </w:p>
    <w:p w:rsidR="005D1174" w:rsidRDefault="005D1174">
      <w:pPr>
        <w:pStyle w:val="RKnormal"/>
      </w:pPr>
      <w:r>
        <w:t xml:space="preserve">Regeringen </w:t>
      </w:r>
      <w:r w:rsidR="005C212C">
        <w:t>ser</w:t>
      </w:r>
      <w:r>
        <w:t xml:space="preserve"> </w:t>
      </w:r>
      <w:r w:rsidR="00EF7229">
        <w:t xml:space="preserve">dessutom </w:t>
      </w:r>
      <w:r>
        <w:t xml:space="preserve">ständigt </w:t>
      </w:r>
      <w:r w:rsidR="005C212C">
        <w:t xml:space="preserve">över behovet av att ge </w:t>
      </w:r>
      <w:r>
        <w:t>fler myndigheter</w:t>
      </w:r>
      <w:r w:rsidR="005C212C">
        <w:t xml:space="preserve"> i uppdrag </w:t>
      </w:r>
      <w:r>
        <w:t>att arbeta med förenklingsfrågor för företag.</w:t>
      </w:r>
    </w:p>
    <w:p w:rsidR="003A486C" w:rsidRDefault="003A486C">
      <w:pPr>
        <w:pStyle w:val="RKnormal"/>
      </w:pPr>
    </w:p>
    <w:p w:rsidR="003A486C" w:rsidRDefault="00A624D1">
      <w:pPr>
        <w:pStyle w:val="RKnormal"/>
      </w:pPr>
      <w:r>
        <w:t>Stockholm den 10</w:t>
      </w:r>
      <w:r w:rsidR="003A486C">
        <w:t xml:space="preserve"> maj 2016</w:t>
      </w:r>
    </w:p>
    <w:p w:rsidR="003A486C" w:rsidRDefault="003A486C">
      <w:pPr>
        <w:pStyle w:val="RKnormal"/>
      </w:pPr>
    </w:p>
    <w:p w:rsidR="003A486C" w:rsidRDefault="003A486C">
      <w:pPr>
        <w:pStyle w:val="RKnormal"/>
      </w:pPr>
    </w:p>
    <w:p w:rsidR="003A486C" w:rsidRDefault="003A486C">
      <w:pPr>
        <w:pStyle w:val="RKnormal"/>
      </w:pPr>
      <w:r>
        <w:t>Mikael Damberg</w:t>
      </w:r>
    </w:p>
    <w:sectPr w:rsidR="003A486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6C" w:rsidRDefault="003A486C">
      <w:r>
        <w:separator/>
      </w:r>
    </w:p>
  </w:endnote>
  <w:endnote w:type="continuationSeparator" w:id="0">
    <w:p w:rsidR="003A486C" w:rsidRDefault="003A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6C" w:rsidRDefault="003A486C">
      <w:r>
        <w:separator/>
      </w:r>
    </w:p>
  </w:footnote>
  <w:footnote w:type="continuationSeparator" w:id="0">
    <w:p w:rsidR="003A486C" w:rsidRDefault="003A4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5FB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C5FB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6C" w:rsidRDefault="005D1174">
    <w:pPr>
      <w:framePr w:w="2948" w:h="1321" w:hRule="exact" w:wrap="notBeside" w:vAnchor="page" w:hAnchor="page" w:x="1362" w:y="653"/>
    </w:pPr>
    <w:r>
      <w:rPr>
        <w:noProof/>
        <w:lang w:eastAsia="sv-SE"/>
      </w:rPr>
      <w:drawing>
        <wp:inline distT="0" distB="0" distL="0" distR="0">
          <wp:extent cx="1872615" cy="836295"/>
          <wp:effectExtent l="0" t="0" r="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629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86C"/>
    <w:rsid w:val="00150384"/>
    <w:rsid w:val="001532F0"/>
    <w:rsid w:val="00160901"/>
    <w:rsid w:val="001805B7"/>
    <w:rsid w:val="001A6E9F"/>
    <w:rsid w:val="001B46CF"/>
    <w:rsid w:val="00280821"/>
    <w:rsid w:val="002C7D2D"/>
    <w:rsid w:val="003149A1"/>
    <w:rsid w:val="00316C58"/>
    <w:rsid w:val="00367B1C"/>
    <w:rsid w:val="003A486C"/>
    <w:rsid w:val="004A328D"/>
    <w:rsid w:val="00563E75"/>
    <w:rsid w:val="0058762B"/>
    <w:rsid w:val="005C212C"/>
    <w:rsid w:val="005D1174"/>
    <w:rsid w:val="00637E55"/>
    <w:rsid w:val="0066185D"/>
    <w:rsid w:val="00661906"/>
    <w:rsid w:val="006B0E91"/>
    <w:rsid w:val="006E4E11"/>
    <w:rsid w:val="007242A3"/>
    <w:rsid w:val="007A6855"/>
    <w:rsid w:val="007F73E0"/>
    <w:rsid w:val="0092027A"/>
    <w:rsid w:val="00955E31"/>
    <w:rsid w:val="00992E72"/>
    <w:rsid w:val="00A624D1"/>
    <w:rsid w:val="00AD07A7"/>
    <w:rsid w:val="00AF26D1"/>
    <w:rsid w:val="00D133D7"/>
    <w:rsid w:val="00D71F9E"/>
    <w:rsid w:val="00E00E3D"/>
    <w:rsid w:val="00E15454"/>
    <w:rsid w:val="00E80146"/>
    <w:rsid w:val="00E904D0"/>
    <w:rsid w:val="00EC25F9"/>
    <w:rsid w:val="00ED583F"/>
    <w:rsid w:val="00EF4BB1"/>
    <w:rsid w:val="00EF7229"/>
    <w:rsid w:val="00FC5FBB"/>
    <w:rsid w:val="00FF0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149A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149A1"/>
    <w:rPr>
      <w:rFonts w:ascii="Tahoma" w:hAnsi="Tahoma" w:cs="Tahoma"/>
      <w:sz w:val="16"/>
      <w:szCs w:val="16"/>
      <w:lang w:eastAsia="en-US"/>
    </w:rPr>
  </w:style>
  <w:style w:type="character" w:styleId="Kommentarsreferens">
    <w:name w:val="annotation reference"/>
    <w:basedOn w:val="Standardstycketeckensnitt"/>
    <w:rsid w:val="001A6E9F"/>
    <w:rPr>
      <w:sz w:val="16"/>
      <w:szCs w:val="16"/>
    </w:rPr>
  </w:style>
  <w:style w:type="paragraph" w:styleId="Kommentarer">
    <w:name w:val="annotation text"/>
    <w:basedOn w:val="Normal"/>
    <w:link w:val="KommentarerChar"/>
    <w:rsid w:val="001A6E9F"/>
    <w:pPr>
      <w:spacing w:line="240" w:lineRule="auto"/>
    </w:pPr>
    <w:rPr>
      <w:sz w:val="20"/>
    </w:rPr>
  </w:style>
  <w:style w:type="character" w:customStyle="1" w:styleId="KommentarerChar">
    <w:name w:val="Kommentarer Char"/>
    <w:basedOn w:val="Standardstycketeckensnitt"/>
    <w:link w:val="Kommentarer"/>
    <w:rsid w:val="001A6E9F"/>
    <w:rPr>
      <w:rFonts w:ascii="OrigGarmnd BT" w:hAnsi="OrigGarmnd BT"/>
      <w:lang w:eastAsia="en-US"/>
    </w:rPr>
  </w:style>
  <w:style w:type="paragraph" w:styleId="Kommentarsmne">
    <w:name w:val="annotation subject"/>
    <w:basedOn w:val="Kommentarer"/>
    <w:next w:val="Kommentarer"/>
    <w:link w:val="KommentarsmneChar"/>
    <w:rsid w:val="001A6E9F"/>
    <w:rPr>
      <w:b/>
      <w:bCs/>
    </w:rPr>
  </w:style>
  <w:style w:type="character" w:customStyle="1" w:styleId="KommentarsmneChar">
    <w:name w:val="Kommentarsämne Char"/>
    <w:basedOn w:val="KommentarerChar"/>
    <w:link w:val="Kommentarsmne"/>
    <w:rsid w:val="001A6E9F"/>
    <w:rPr>
      <w:rFonts w:ascii="OrigGarmnd BT" w:hAnsi="OrigGarmnd BT"/>
      <w:b/>
      <w:bCs/>
      <w:lang w:eastAsia="en-US"/>
    </w:rPr>
  </w:style>
  <w:style w:type="character" w:styleId="Hyperlnk">
    <w:name w:val="Hyperlink"/>
    <w:basedOn w:val="Standardstycketeckensnitt"/>
    <w:rsid w:val="002808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149A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149A1"/>
    <w:rPr>
      <w:rFonts w:ascii="Tahoma" w:hAnsi="Tahoma" w:cs="Tahoma"/>
      <w:sz w:val="16"/>
      <w:szCs w:val="16"/>
      <w:lang w:eastAsia="en-US"/>
    </w:rPr>
  </w:style>
  <w:style w:type="character" w:styleId="Kommentarsreferens">
    <w:name w:val="annotation reference"/>
    <w:basedOn w:val="Standardstycketeckensnitt"/>
    <w:rsid w:val="001A6E9F"/>
    <w:rPr>
      <w:sz w:val="16"/>
      <w:szCs w:val="16"/>
    </w:rPr>
  </w:style>
  <w:style w:type="paragraph" w:styleId="Kommentarer">
    <w:name w:val="annotation text"/>
    <w:basedOn w:val="Normal"/>
    <w:link w:val="KommentarerChar"/>
    <w:rsid w:val="001A6E9F"/>
    <w:pPr>
      <w:spacing w:line="240" w:lineRule="auto"/>
    </w:pPr>
    <w:rPr>
      <w:sz w:val="20"/>
    </w:rPr>
  </w:style>
  <w:style w:type="character" w:customStyle="1" w:styleId="KommentarerChar">
    <w:name w:val="Kommentarer Char"/>
    <w:basedOn w:val="Standardstycketeckensnitt"/>
    <w:link w:val="Kommentarer"/>
    <w:rsid w:val="001A6E9F"/>
    <w:rPr>
      <w:rFonts w:ascii="OrigGarmnd BT" w:hAnsi="OrigGarmnd BT"/>
      <w:lang w:eastAsia="en-US"/>
    </w:rPr>
  </w:style>
  <w:style w:type="paragraph" w:styleId="Kommentarsmne">
    <w:name w:val="annotation subject"/>
    <w:basedOn w:val="Kommentarer"/>
    <w:next w:val="Kommentarer"/>
    <w:link w:val="KommentarsmneChar"/>
    <w:rsid w:val="001A6E9F"/>
    <w:rPr>
      <w:b/>
      <w:bCs/>
    </w:rPr>
  </w:style>
  <w:style w:type="character" w:customStyle="1" w:styleId="KommentarsmneChar">
    <w:name w:val="Kommentarsämne Char"/>
    <w:basedOn w:val="KommentarerChar"/>
    <w:link w:val="Kommentarsmne"/>
    <w:rsid w:val="001A6E9F"/>
    <w:rPr>
      <w:rFonts w:ascii="OrigGarmnd BT" w:hAnsi="OrigGarmnd BT"/>
      <w:b/>
      <w:bCs/>
      <w:lang w:eastAsia="en-US"/>
    </w:rPr>
  </w:style>
  <w:style w:type="character" w:styleId="Hyperlnk">
    <w:name w:val="Hyperlink"/>
    <w:basedOn w:val="Standardstycketeckensnitt"/>
    <w:rsid w:val="00280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5838e817-4cee-4f2b-910e-dc8d0eff6585</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FEEDF-5F5C-4565-8963-EE491B595C95}"/>
</file>

<file path=customXml/itemProps2.xml><?xml version="1.0" encoding="utf-8"?>
<ds:datastoreItem xmlns:ds="http://schemas.openxmlformats.org/officeDocument/2006/customXml" ds:itemID="{7FD200B7-FD82-4F1F-A4F5-65D96270DDA0}"/>
</file>

<file path=customXml/itemProps3.xml><?xml version="1.0" encoding="utf-8"?>
<ds:datastoreItem xmlns:ds="http://schemas.openxmlformats.org/officeDocument/2006/customXml" ds:itemID="{22857496-3823-470C-A27E-67FAC36C9AF0}"/>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2295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Kristensson</dc:creator>
  <cp:lastModifiedBy>Elisabeth Kristensson</cp:lastModifiedBy>
  <cp:revision>3</cp:revision>
  <cp:lastPrinted>2016-05-10T09:02:00Z</cp:lastPrinted>
  <dcterms:created xsi:type="dcterms:W3CDTF">2016-05-10T09:01:00Z</dcterms:created>
  <dcterms:modified xsi:type="dcterms:W3CDTF">2016-05-10T09:04:00Z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