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53B308F436F4924BF8A469DADCD387C"/>
        </w:placeholder>
        <w15:appearance w15:val="hidden"/>
        <w:text/>
      </w:sdtPr>
      <w:sdtEndPr/>
      <w:sdtContent>
        <w:p w:rsidRPr="009B062B" w:rsidR="00AF30DD" w:rsidP="009B062B" w:rsidRDefault="00AF30DD" w14:paraId="1C8FB4C9" w14:textId="77777777">
          <w:pPr>
            <w:pStyle w:val="RubrikFrslagTIllRiksdagsbeslut"/>
          </w:pPr>
          <w:r w:rsidRPr="009B062B">
            <w:t>Förslag till riksdagsbeslut</w:t>
          </w:r>
        </w:p>
      </w:sdtContent>
    </w:sdt>
    <w:sdt>
      <w:sdtPr>
        <w:alias w:val="Yrkande 1"/>
        <w:tag w:val="0b09d861-5fdd-4c4f-bad2-1677555fffa6"/>
        <w:id w:val="-2027013238"/>
        <w:lock w:val="sdtLocked"/>
      </w:sdtPr>
      <w:sdtEndPr/>
      <w:sdtContent>
        <w:p w:rsidR="00917C81" w:rsidRDefault="00EC3E79" w14:paraId="1C8FB4CA" w14:textId="77777777">
          <w:pPr>
            <w:pStyle w:val="Frslagstext"/>
            <w:numPr>
              <w:ilvl w:val="0"/>
              <w:numId w:val="0"/>
            </w:numPr>
          </w:pPr>
          <w:r>
            <w:t>Riksdagen beslutar att vapenlagen (1996:67) och lagen (2010:1011) om brandfarliga och explosiva varor ändras i enlighet med vad som anges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45A522F1C43347AFB51327A847537F32"/>
        </w:placeholder>
        <w15:appearance w15:val="hidden"/>
        <w:text/>
      </w:sdtPr>
      <w:sdtEndPr/>
      <w:sdtContent>
        <w:p w:rsidRPr="009B062B" w:rsidR="006D79C9" w:rsidP="00333E95" w:rsidRDefault="006D79C9" w14:paraId="1C8FB4CB" w14:textId="77777777">
          <w:pPr>
            <w:pStyle w:val="Rubrik1"/>
          </w:pPr>
          <w:r>
            <w:t>Motivering</w:t>
          </w:r>
        </w:p>
      </w:sdtContent>
    </w:sdt>
    <w:p w:rsidR="00652B73" w:rsidP="00B53D64" w:rsidRDefault="00CC3054" w14:paraId="1C8FB4CC" w14:textId="6A10F8C7">
      <w:pPr>
        <w:pStyle w:val="Normalutanindragellerluft"/>
      </w:pPr>
      <w:r>
        <w:t>Antalet mord med skjutvap</w:t>
      </w:r>
      <w:r w:rsidR="002D7189">
        <w:t>en och skottlossningar har ökat;</w:t>
      </w:r>
      <w:r>
        <w:t xml:space="preserve"> gängskjutningar</w:t>
      </w:r>
      <w:r w:rsidR="002D7189">
        <w:t xml:space="preserve"> och handgranat</w:t>
      </w:r>
      <w:r w:rsidR="00894CF7">
        <w:t>attacker</w:t>
      </w:r>
      <w:r>
        <w:t xml:space="preserve"> </w:t>
      </w:r>
      <w:r w:rsidR="003E7056">
        <w:t>är numera en</w:t>
      </w:r>
      <w:r>
        <w:t xml:space="preserve"> del av vardagen på många platser i Sverige</w:t>
      </w:r>
      <w:r w:rsidR="002D7189">
        <w:t>. Det krävs ett flertal</w:t>
      </w:r>
      <w:r w:rsidR="003E7056">
        <w:t xml:space="preserve"> åtgärder för att komma till rätta med den organiserade brottslighe</w:t>
      </w:r>
      <w:r w:rsidR="007C1181">
        <w:t>te</w:t>
      </w:r>
      <w:r w:rsidR="002D7189">
        <w:t>n och det våld som den medför:</w:t>
      </w:r>
      <w:r w:rsidR="003E7056">
        <w:t xml:space="preserve"> en av dessa är skärpt straff för olaga vapeninnehav</w:t>
      </w:r>
      <w:r w:rsidR="00894CF7">
        <w:t xml:space="preserve"> och brott mot tillståndsplikten för explosiva varor</w:t>
      </w:r>
      <w:r w:rsidR="003E7056">
        <w:t>.</w:t>
      </w:r>
    </w:p>
    <w:p w:rsidR="003E7056" w:rsidP="003E7056" w:rsidRDefault="003E7056" w14:paraId="1C8FB4CD" w14:textId="2269EC00">
      <w:r>
        <w:t>Sverigedemokraterna har under mandatperioden föreslagit kraftigt skärpta straff för vapenbrott</w:t>
      </w:r>
      <w:r w:rsidR="002D7189">
        <w:t>,</w:t>
      </w:r>
      <w:r>
        <w:t xml:space="preserve"> och medan vi nu kan se at</w:t>
      </w:r>
      <w:r w:rsidR="002D7189">
        <w:t>t regeringen har tvingats</w:t>
      </w:r>
      <w:r>
        <w:t xml:space="preserve"> att agera i frågan </w:t>
      </w:r>
      <w:r w:rsidR="00882E4C">
        <w:t>menar vi att den aktuella propositionen inte är tillräckligt långtgående.</w:t>
      </w:r>
    </w:p>
    <w:p w:rsidRPr="003E7056" w:rsidR="003E7056" w:rsidP="00882E4C" w:rsidRDefault="00882E4C" w14:paraId="1C8FB4CE" w14:textId="1E8ECDB8">
      <w:r>
        <w:lastRenderedPageBreak/>
        <w:t>Vi anser att</w:t>
      </w:r>
      <w:r w:rsidR="003E7056">
        <w:t xml:space="preserve"> </w:t>
      </w:r>
      <w:r w:rsidR="002D7189">
        <w:t xml:space="preserve">den </w:t>
      </w:r>
      <w:r w:rsidR="003E7056">
        <w:t xml:space="preserve">svenska lagstiftningen mot vapenbrott </w:t>
      </w:r>
      <w:r>
        <w:t xml:space="preserve">och brott mot tillståndsplikten för explosiva varor </w:t>
      </w:r>
      <w:r w:rsidR="003E7056">
        <w:t>bör vara utformad för att möjliggöra utöka</w:t>
      </w:r>
      <w:r>
        <w:t>de möjligheter till tvångsmedel.</w:t>
      </w:r>
      <w:r w:rsidR="003E7056">
        <w:t xml:space="preserve"> </w:t>
      </w:r>
      <w:r>
        <w:t>En uppjustering av minimis</w:t>
      </w:r>
      <w:r w:rsidR="002D7189">
        <w:t>traffen bör dock kompletteras</w:t>
      </w:r>
      <w:r>
        <w:t xml:space="preserve"> </w:t>
      </w:r>
      <w:r w:rsidR="003E7056">
        <w:t xml:space="preserve">med en </w:t>
      </w:r>
      <w:r>
        <w:t>u</w:t>
      </w:r>
      <w:r w:rsidR="00894CF7">
        <w:t>ppjustering</w:t>
      </w:r>
      <w:r w:rsidR="003E7056">
        <w:t xml:space="preserve"> av straffmaximum för att</w:t>
      </w:r>
      <w:r w:rsidR="002D7189">
        <w:t xml:space="preserve"> straffskalan inte ska bli allt</w:t>
      </w:r>
      <w:r w:rsidR="003E7056">
        <w:t>för snäv.</w:t>
      </w:r>
    </w:p>
    <w:p w:rsidR="00B61F66" w:rsidP="002D7189" w:rsidRDefault="00B61F66" w14:paraId="40825628" w14:textId="77777777">
      <w:pPr>
        <w:pStyle w:val="Rubrik2"/>
      </w:pPr>
    </w:p>
    <w:p w:rsidRPr="002D7189" w:rsidR="004639CF" w:rsidP="002D7189" w:rsidRDefault="00B61F66" w14:paraId="1C8FB4CF" w14:textId="63300835">
      <w:pPr>
        <w:pStyle w:val="Rubrik2"/>
      </w:pPr>
      <w:r>
        <w:br w:type="column"/>
      </w:r>
      <w:r w:rsidRPr="002D7189" w:rsidR="002D7189">
        <w:t>Förslag till</w:t>
      </w:r>
      <w:r w:rsidRPr="002D7189" w:rsidR="00C23D33">
        <w:t xml:space="preserve"> ändring i vapenlagen (1996:67)</w:t>
      </w:r>
    </w:p>
    <w:p w:rsidRPr="002D7189" w:rsidR="00724C30" w:rsidP="002D7189" w:rsidRDefault="004639CF" w14:paraId="1C8FB4D0" w14:textId="77777777">
      <w:pPr>
        <w:spacing w:before="80"/>
      </w:pPr>
      <w:r w:rsidRPr="002D7189">
        <w:t>Härigenom föreskrivs att 9 kap. 1 och 1 a §§ vapenlagen (1996:67) ska ha följande lydelse.</w:t>
      </w:r>
    </w:p>
    <w:tbl>
      <w:tblPr>
        <w:tblW w:w="0" w:type="auto"/>
        <w:tblLayout w:type="fixed"/>
        <w:tblCellMar>
          <w:left w:w="70" w:type="dxa"/>
          <w:right w:w="70" w:type="dxa"/>
        </w:tblCellMar>
        <w:tblLook w:val="0000" w:firstRow="0" w:lastRow="0" w:firstColumn="0" w:lastColumn="0" w:noHBand="0" w:noVBand="0"/>
      </w:tblPr>
      <w:tblGrid>
        <w:gridCol w:w="4252"/>
        <w:gridCol w:w="4252"/>
      </w:tblGrid>
      <w:tr w:rsidR="00724C30" w:rsidTr="00724C30" w14:paraId="1C8FB4D3" w14:textId="77777777">
        <w:tc>
          <w:tcPr>
            <w:tcW w:w="4252" w:type="dxa"/>
            <w:shd w:val="clear" w:color="auto" w:fill="auto"/>
          </w:tcPr>
          <w:p w:rsidRPr="002D7189" w:rsidR="00724C30" w:rsidP="00724C30" w:rsidRDefault="00724C30" w14:paraId="1C8FB4D1" w14:textId="77777777">
            <w:pPr>
              <w:pStyle w:val="Lagtextrubrik"/>
              <w:rPr>
                <w:rFonts w:cstheme="minorHAnsi"/>
              </w:rPr>
            </w:pPr>
            <w:r w:rsidRPr="002D7189">
              <w:rPr>
                <w:rFonts w:cstheme="minorHAnsi"/>
              </w:rPr>
              <w:t>Nuvarande lydelse</w:t>
            </w:r>
          </w:p>
        </w:tc>
        <w:tc>
          <w:tcPr>
            <w:tcW w:w="4252" w:type="dxa"/>
            <w:shd w:val="clear" w:color="auto" w:fill="auto"/>
          </w:tcPr>
          <w:p w:rsidRPr="002D7189" w:rsidR="00724C30" w:rsidP="00724C30" w:rsidRDefault="00724C30" w14:paraId="1C8FB4D2" w14:textId="77777777">
            <w:pPr>
              <w:pStyle w:val="Lagtextrubrik"/>
              <w:rPr>
                <w:rFonts w:cstheme="minorHAnsi"/>
              </w:rPr>
            </w:pPr>
            <w:r w:rsidRPr="002D7189">
              <w:rPr>
                <w:rFonts w:cstheme="minorHAnsi"/>
              </w:rPr>
              <w:t>Föreslagen lydelse</w:t>
            </w:r>
          </w:p>
        </w:tc>
      </w:tr>
      <w:tr w:rsidR="00724C30" w:rsidTr="00936E43" w14:paraId="1C8FB4D6" w14:textId="77777777">
        <w:tc>
          <w:tcPr>
            <w:tcW w:w="8504" w:type="dxa"/>
            <w:gridSpan w:val="2"/>
            <w:shd w:val="clear" w:color="auto" w:fill="auto"/>
          </w:tcPr>
          <w:p w:rsidR="00724C30" w:rsidP="00724C30" w:rsidRDefault="00724C30" w14:paraId="1C8FB4D4" w14:textId="77777777">
            <w:pPr>
              <w:pStyle w:val="Lagtext"/>
              <w:jc w:val="center"/>
              <w:rPr>
                <w:b/>
              </w:rPr>
            </w:pPr>
            <w:r>
              <w:rPr>
                <w:b/>
              </w:rPr>
              <w:t>9 kap.</w:t>
            </w:r>
          </w:p>
          <w:p w:rsidRPr="00724C30" w:rsidR="00724C30" w:rsidP="00724C30" w:rsidRDefault="00724C30" w14:paraId="1C8FB4D5" w14:textId="77777777">
            <w:pPr>
              <w:pStyle w:val="Lagtextindrag"/>
              <w:jc w:val="center"/>
            </w:pPr>
            <w:r>
              <w:t>1</w:t>
            </w:r>
            <w:r w:rsidR="00D417D0">
              <w:t xml:space="preserve"> §</w:t>
            </w:r>
            <w:r w:rsidR="00A87A80">
              <w:rPr>
                <w:rStyle w:val="Fotnotsreferens"/>
              </w:rPr>
              <w:footnoteReference w:id="1"/>
            </w:r>
          </w:p>
        </w:tc>
      </w:tr>
      <w:tr w:rsidR="00D417D0" w:rsidTr="00724C30" w14:paraId="1C8FB4DB" w14:textId="77777777">
        <w:tc>
          <w:tcPr>
            <w:tcW w:w="4252" w:type="dxa"/>
            <w:shd w:val="clear" w:color="auto" w:fill="auto"/>
          </w:tcPr>
          <w:p w:rsidRPr="00D9596C" w:rsidR="0080450A" w:rsidP="00D9596C" w:rsidRDefault="0080450A" w14:paraId="1C8FB4D7" w14:textId="77777777">
            <w:r w:rsidRPr="00D9596C">
              <w:t xml:space="preserve">Den som uppsåtligen innehar ett skjutvapen utan att ha rätt till det eller överlåter eller lånar ut ett skjutvapen till någon som inte har rätt att inneha vapnet döms för </w:t>
            </w:r>
            <w:r w:rsidRPr="00423639">
              <w:rPr>
                <w:i/>
                <w:u w:val="single"/>
              </w:rPr>
              <w:t>vapenbrott</w:t>
            </w:r>
            <w:r w:rsidRPr="00D9596C">
              <w:t xml:space="preserve"> till fängelse i högst </w:t>
            </w:r>
            <w:r w:rsidRPr="00423639">
              <w:rPr>
                <w:i/>
              </w:rPr>
              <w:t>två</w:t>
            </w:r>
            <w:r w:rsidRPr="00D9596C">
              <w:t xml:space="preserve"> år.</w:t>
            </w:r>
          </w:p>
          <w:p w:rsidRPr="00D9596C" w:rsidR="00D417D0" w:rsidP="00D9596C" w:rsidRDefault="00D417D0" w14:paraId="1C8FB4D8" w14:textId="77777777">
            <w:r w:rsidRPr="00D9596C">
              <w:t>Om gärningen har begåtts av oaktsamhet eller om brottet är ringa, döms till böter eller fängelse i högst sex månader.</w:t>
            </w:r>
          </w:p>
        </w:tc>
        <w:tc>
          <w:tcPr>
            <w:tcW w:w="4252" w:type="dxa"/>
            <w:shd w:val="clear" w:color="auto" w:fill="auto"/>
          </w:tcPr>
          <w:p w:rsidRPr="00D9596C" w:rsidR="0080450A" w:rsidP="00D9596C" w:rsidRDefault="0080450A" w14:paraId="1C8FB4D9" w14:textId="77777777">
            <w:r w:rsidRPr="00D9596C">
              <w:t xml:space="preserve">Den som uppsåtligen innehar ett skjutvapen utan att ha rätt till det eller överlåter eller lånar ut ett skjutvapen till någon som inte har rätt att inneha vapnet döms för </w:t>
            </w:r>
            <w:r w:rsidRPr="00423639">
              <w:rPr>
                <w:i/>
                <w:u w:val="single"/>
              </w:rPr>
              <w:t>vapenbrott</w:t>
            </w:r>
            <w:r w:rsidRPr="00D9596C">
              <w:t xml:space="preserve"> till fängelse i högst </w:t>
            </w:r>
            <w:r w:rsidRPr="00423639">
              <w:rPr>
                <w:i/>
              </w:rPr>
              <w:t>tre</w:t>
            </w:r>
            <w:r w:rsidRPr="00D9596C">
              <w:t xml:space="preserve"> år.</w:t>
            </w:r>
          </w:p>
          <w:p w:rsidRPr="00D9596C" w:rsidR="00D417D0" w:rsidP="00D9596C" w:rsidRDefault="00D417D0" w14:paraId="1C8FB4DA" w14:textId="77777777">
            <w:r w:rsidRPr="00D9596C">
              <w:t>Om gärningen har begåtts av oaktsamhet eller om brottet är ringa, döms till böter eller fängelse i högst nio månader.</w:t>
            </w:r>
          </w:p>
        </w:tc>
      </w:tr>
      <w:tr w:rsidR="00D417D0" w:rsidTr="00AD5AFF" w14:paraId="1C8FB4DD" w14:textId="77777777">
        <w:tc>
          <w:tcPr>
            <w:tcW w:w="8504" w:type="dxa"/>
            <w:gridSpan w:val="2"/>
            <w:shd w:val="clear" w:color="auto" w:fill="auto"/>
          </w:tcPr>
          <w:p w:rsidRPr="00D417D0" w:rsidR="00D417D0" w:rsidP="00D417D0" w:rsidRDefault="00D417D0" w14:paraId="1C8FB4DC" w14:textId="77777777">
            <w:pPr>
              <w:pStyle w:val="Lagtext"/>
              <w:jc w:val="center"/>
            </w:pPr>
            <w:r>
              <w:t>1 a §</w:t>
            </w:r>
            <w:r w:rsidR="00A87A80">
              <w:rPr>
                <w:rStyle w:val="Fotnotsreferens"/>
              </w:rPr>
              <w:footnoteReference w:id="2"/>
            </w:r>
          </w:p>
        </w:tc>
      </w:tr>
      <w:tr w:rsidR="00724C30" w:rsidTr="00724C30" w14:paraId="1C8FB4E0" w14:textId="77777777">
        <w:tc>
          <w:tcPr>
            <w:tcW w:w="4252" w:type="dxa"/>
            <w:shd w:val="clear" w:color="auto" w:fill="auto"/>
          </w:tcPr>
          <w:p w:rsidRPr="00D9596C" w:rsidR="0080450A" w:rsidP="00D9596C" w:rsidRDefault="0080450A" w14:paraId="1C8FB4DE" w14:textId="77777777">
            <w:r w:rsidRPr="00D9596C">
              <w:lastRenderedPageBreak/>
              <w:t xml:space="preserve">Om brott som avses i 1 § första stycket är grovt, döms för </w:t>
            </w:r>
            <w:r w:rsidRPr="00423639">
              <w:rPr>
                <w:i/>
                <w:u w:val="single"/>
              </w:rPr>
              <w:t>grovt vapenbrott</w:t>
            </w:r>
            <w:r w:rsidRPr="00D9596C">
              <w:t xml:space="preserve"> till fängelse i lägst </w:t>
            </w:r>
            <w:r w:rsidRPr="00423639">
              <w:rPr>
                <w:i/>
              </w:rPr>
              <w:t>ett</w:t>
            </w:r>
            <w:r w:rsidRPr="00D9596C">
              <w:t xml:space="preserve"> och högst </w:t>
            </w:r>
            <w:r w:rsidRPr="00423639">
              <w:rPr>
                <w:i/>
              </w:rPr>
              <w:t>fyra</w:t>
            </w:r>
            <w:r w:rsidRPr="00D9596C">
              <w:t xml:space="preserve"> år. Vid bedömningen av om brottet är grovt ska det särskilt beaktas om </w:t>
            </w:r>
          </w:p>
        </w:tc>
        <w:tc>
          <w:tcPr>
            <w:tcW w:w="4252" w:type="dxa"/>
            <w:shd w:val="clear" w:color="auto" w:fill="auto"/>
          </w:tcPr>
          <w:p w:rsidRPr="00D9596C" w:rsidR="00724C30" w:rsidP="00D9596C" w:rsidRDefault="0080450A" w14:paraId="1C8FB4DF" w14:textId="77777777">
            <w:r w:rsidRPr="00D9596C">
              <w:t xml:space="preserve">Om brott som avses i 1 § första stycket är grovt, döms för </w:t>
            </w:r>
            <w:r w:rsidRPr="00423639">
              <w:rPr>
                <w:i/>
                <w:u w:val="single"/>
              </w:rPr>
              <w:t>grovt vapenbrott</w:t>
            </w:r>
            <w:r w:rsidRPr="00D9596C">
              <w:t xml:space="preserve"> till fängelse i lägst </w:t>
            </w:r>
            <w:r w:rsidRPr="00423639">
              <w:rPr>
                <w:i/>
              </w:rPr>
              <w:t>två</w:t>
            </w:r>
            <w:r w:rsidRPr="00D9596C">
              <w:t xml:space="preserve"> och högst </w:t>
            </w:r>
            <w:r w:rsidRPr="00423639">
              <w:rPr>
                <w:i/>
              </w:rPr>
              <w:t>sex</w:t>
            </w:r>
            <w:r w:rsidRPr="00D9596C">
              <w:t xml:space="preserve"> år. Vid bedömningen av om brottet är grovt ska det särskilt beaktas om </w:t>
            </w:r>
          </w:p>
        </w:tc>
      </w:tr>
      <w:tr w:rsidR="00D417D0" w:rsidTr="006A1DCB" w14:paraId="1C8FB4E5" w14:textId="77777777">
        <w:tc>
          <w:tcPr>
            <w:tcW w:w="8504" w:type="dxa"/>
            <w:gridSpan w:val="2"/>
            <w:shd w:val="clear" w:color="auto" w:fill="auto"/>
          </w:tcPr>
          <w:p w:rsidRPr="00D9596C" w:rsidR="003B4FE6" w:rsidP="00D9596C" w:rsidRDefault="003B4FE6" w14:paraId="1C8FB4E1" w14:textId="77777777">
            <w:r w:rsidRPr="00D9596C">
              <w:t>1. vapnet har innehafts på allmän plats eller på annan plats där människor brukar samlas eller har samlats eller i ett fordon på en sådan plats,</w:t>
            </w:r>
          </w:p>
          <w:p w:rsidRPr="00D9596C" w:rsidR="003B4FE6" w:rsidP="00D9596C" w:rsidRDefault="003B4FE6" w14:paraId="1C8FB4E2" w14:textId="77777777">
            <w:r w:rsidRPr="00D9596C">
              <w:t>2. vapnet har varit av särskilt farlig beskaffenhet,</w:t>
            </w:r>
          </w:p>
          <w:p w:rsidRPr="00D9596C" w:rsidR="003B4FE6" w:rsidP="00D9596C" w:rsidRDefault="003B4FE6" w14:paraId="1C8FB4E3" w14:textId="77777777">
            <w:r w:rsidRPr="00D9596C">
              <w:t>3. innehavet, överlåtelsen eller utlåningen har avsett flera vapen, eller</w:t>
            </w:r>
          </w:p>
          <w:p w:rsidRPr="00D9596C" w:rsidR="00D417D0" w:rsidP="00D9596C" w:rsidRDefault="003B4FE6" w14:paraId="1C8FB4E4" w14:textId="77777777">
            <w:r w:rsidRPr="00D9596C">
              <w:t>4. gärningen annars har varit av särskilt farlig art.</w:t>
            </w:r>
          </w:p>
        </w:tc>
      </w:tr>
      <w:tr w:rsidR="00D417D0" w:rsidTr="00724C30" w14:paraId="1C8FB4E9" w14:textId="77777777">
        <w:tc>
          <w:tcPr>
            <w:tcW w:w="4252" w:type="dxa"/>
            <w:shd w:val="clear" w:color="auto" w:fill="auto"/>
          </w:tcPr>
          <w:p w:rsidRPr="00D9596C" w:rsidR="0080450A" w:rsidP="00D9596C" w:rsidRDefault="0080450A" w14:paraId="1C8FB4E6" w14:textId="77777777">
            <w:r w:rsidRPr="00D9596C">
              <w:t xml:space="preserve">Om brott som avses i 1 § första stycket är synnerligen grovt, döms för </w:t>
            </w:r>
            <w:r w:rsidRPr="00423639">
              <w:rPr>
                <w:i/>
                <w:u w:val="single"/>
              </w:rPr>
              <w:t>synnerligen grovt vapenbrott</w:t>
            </w:r>
            <w:r w:rsidRPr="00D9596C">
              <w:t xml:space="preserve"> till fängelse i lägst </w:t>
            </w:r>
            <w:r w:rsidRPr="00423639">
              <w:rPr>
                <w:i/>
              </w:rPr>
              <w:t>tre</w:t>
            </w:r>
            <w:r w:rsidRPr="00D9596C">
              <w:t xml:space="preserve"> och högst </w:t>
            </w:r>
            <w:r w:rsidRPr="00423639">
              <w:rPr>
                <w:i/>
              </w:rPr>
              <w:t>sex</w:t>
            </w:r>
            <w:r w:rsidRPr="00D9596C">
              <w:t xml:space="preserve"> år. Vid bedömningen av om brottet är synnerligen grovt ska det särskilt beaktas om innehavet, överlåtelsen eller utlåningen har avsett ett stort antal vapen.</w:t>
            </w:r>
          </w:p>
          <w:p w:rsidRPr="00D9596C" w:rsidR="00D417D0" w:rsidP="00D9596C" w:rsidRDefault="00D417D0" w14:paraId="1C8FB4E7" w14:textId="77777777"/>
        </w:tc>
        <w:tc>
          <w:tcPr>
            <w:tcW w:w="4252" w:type="dxa"/>
            <w:shd w:val="clear" w:color="auto" w:fill="auto"/>
          </w:tcPr>
          <w:p w:rsidRPr="00D9596C" w:rsidR="00D417D0" w:rsidP="00D9596C" w:rsidRDefault="0080450A" w14:paraId="1C8FB4E8" w14:textId="77777777">
            <w:r w:rsidRPr="00D9596C">
              <w:t xml:space="preserve">Om brott som avses i 1 § första stycket är synnerligen grovt, döms för </w:t>
            </w:r>
            <w:r w:rsidRPr="00423639">
              <w:rPr>
                <w:i/>
                <w:u w:val="single"/>
              </w:rPr>
              <w:t>synnerligen grovt vapenbrott</w:t>
            </w:r>
            <w:r w:rsidRPr="00D9596C">
              <w:t xml:space="preserve"> till fängelse i lägst </w:t>
            </w:r>
            <w:r w:rsidRPr="00423639">
              <w:rPr>
                <w:i/>
              </w:rPr>
              <w:t>fyra</w:t>
            </w:r>
            <w:r w:rsidRPr="00D9596C">
              <w:t xml:space="preserve"> och högst </w:t>
            </w:r>
            <w:r w:rsidRPr="00423639">
              <w:rPr>
                <w:i/>
              </w:rPr>
              <w:t>åtta</w:t>
            </w:r>
            <w:r w:rsidRPr="00D9596C">
              <w:t xml:space="preserve"> år. Vid bedömningen av om brottet är synnerligen grovt ska det särskilt beaktas om innehavet, överlåtelsen eller utlåningen har avsett ett stort antal vapen.</w:t>
            </w:r>
          </w:p>
        </w:tc>
      </w:tr>
    </w:tbl>
    <w:p w:rsidR="00B61F66" w:rsidP="002D7189" w:rsidRDefault="00B61F66" w14:paraId="26E3CBE0" w14:textId="77777777">
      <w:pPr>
        <w:pStyle w:val="Rubrik2"/>
      </w:pPr>
    </w:p>
    <w:p w:rsidRPr="002D7189" w:rsidR="00724C30" w:rsidP="002D7189" w:rsidRDefault="00B61F66" w14:paraId="1C8FB4EB" w14:textId="0C110A5F">
      <w:pPr>
        <w:pStyle w:val="Rubrik2"/>
      </w:pPr>
      <w:r>
        <w:br w:type="column"/>
      </w:r>
      <w:bookmarkStart w:name="_GoBack" w:id="1"/>
      <w:bookmarkEnd w:id="1"/>
      <w:r w:rsidRPr="002D7189" w:rsidR="00D9596C">
        <w:t>Förslag till lag om ändring i lagen (2010:1011) om brandfarliga och explosiva varor</w:t>
      </w:r>
    </w:p>
    <w:p w:rsidRPr="002D7189" w:rsidR="00D9596C" w:rsidP="002D7189" w:rsidRDefault="00D9596C" w14:paraId="1C8FB4EC" w14:textId="77777777">
      <w:pPr>
        <w:spacing w:before="80"/>
      </w:pPr>
      <w:r w:rsidRPr="002D7189">
        <w:t>Härigenom</w:t>
      </w:r>
      <w:r w:rsidRPr="002D7189" w:rsidR="00423639">
        <w:t xml:space="preserve"> föreskrivs att</w:t>
      </w:r>
      <w:r w:rsidRPr="002D7189" w:rsidR="007F5389">
        <w:t xml:space="preserve"> 29 och</w:t>
      </w:r>
      <w:r w:rsidRPr="002D7189" w:rsidR="00423639">
        <w:t xml:space="preserve"> 29 a §</w:t>
      </w:r>
      <w:r w:rsidRPr="002D7189" w:rsidR="007F5389">
        <w:t>§</w:t>
      </w:r>
      <w:r w:rsidRPr="002D7189">
        <w:t xml:space="preserve"> lagen (2010:1011) om brandfarliga och explosiva varor ska ha följande lydelse.</w:t>
      </w:r>
    </w:p>
    <w:tbl>
      <w:tblPr>
        <w:tblW w:w="0" w:type="auto"/>
        <w:tblLayout w:type="fixed"/>
        <w:tblCellMar>
          <w:left w:w="70" w:type="dxa"/>
          <w:right w:w="70" w:type="dxa"/>
        </w:tblCellMar>
        <w:tblLook w:val="0000" w:firstRow="0" w:lastRow="0" w:firstColumn="0" w:lastColumn="0" w:noHBand="0" w:noVBand="0"/>
      </w:tblPr>
      <w:tblGrid>
        <w:gridCol w:w="4252"/>
        <w:gridCol w:w="4252"/>
      </w:tblGrid>
      <w:tr w:rsidR="00D9596C" w:rsidTr="00D9596C" w14:paraId="1C8FB4EF" w14:textId="77777777">
        <w:tc>
          <w:tcPr>
            <w:tcW w:w="4252" w:type="dxa"/>
            <w:shd w:val="clear" w:color="auto" w:fill="auto"/>
          </w:tcPr>
          <w:p w:rsidRPr="00D9596C" w:rsidR="00D9596C" w:rsidP="00D9596C" w:rsidRDefault="00D9596C" w14:paraId="1C8FB4ED" w14:textId="77777777">
            <w:pPr>
              <w:pStyle w:val="Lagtextrubrik"/>
            </w:pPr>
            <w:r w:rsidRPr="00D9596C">
              <w:t>Nuvarande lydelse</w:t>
            </w:r>
          </w:p>
        </w:tc>
        <w:tc>
          <w:tcPr>
            <w:tcW w:w="4252" w:type="dxa"/>
            <w:shd w:val="clear" w:color="auto" w:fill="auto"/>
          </w:tcPr>
          <w:p w:rsidRPr="00D9596C" w:rsidR="00D9596C" w:rsidP="00D9596C" w:rsidRDefault="00D9596C" w14:paraId="1C8FB4EE" w14:textId="77777777">
            <w:pPr>
              <w:pStyle w:val="Lagtextrubrik"/>
            </w:pPr>
            <w:r w:rsidRPr="00D9596C">
              <w:t>Föreslagen lydelse</w:t>
            </w:r>
          </w:p>
        </w:tc>
      </w:tr>
      <w:tr w:rsidR="00B44D28" w:rsidTr="008C5AB1" w14:paraId="1C8FB4F1" w14:textId="77777777">
        <w:tc>
          <w:tcPr>
            <w:tcW w:w="8504" w:type="dxa"/>
            <w:gridSpan w:val="2"/>
            <w:shd w:val="clear" w:color="auto" w:fill="auto"/>
          </w:tcPr>
          <w:p w:rsidRPr="00D9596C" w:rsidR="00B44D28" w:rsidP="00B44D28" w:rsidRDefault="00B44D28" w14:paraId="1C8FB4F0" w14:textId="77777777">
            <w:pPr>
              <w:pStyle w:val="Lagtextrubrik"/>
              <w:jc w:val="center"/>
            </w:pPr>
            <w:r>
              <w:t>29 §</w:t>
            </w:r>
            <w:r>
              <w:rPr>
                <w:rStyle w:val="Fotnotsreferens"/>
              </w:rPr>
              <w:footnoteReference w:id="3"/>
            </w:r>
          </w:p>
        </w:tc>
      </w:tr>
      <w:tr w:rsidR="002A56E5" w:rsidTr="008C5AB1" w14:paraId="1C8FB4F4" w14:textId="77777777">
        <w:tc>
          <w:tcPr>
            <w:tcW w:w="8504" w:type="dxa"/>
            <w:gridSpan w:val="2"/>
            <w:shd w:val="clear" w:color="auto" w:fill="auto"/>
          </w:tcPr>
          <w:p w:rsidR="002A56E5" w:rsidP="002A56E5" w:rsidRDefault="002A56E5" w14:paraId="1C8FB4F2" w14:textId="77777777">
            <w:r w:rsidRPr="002A56E5">
              <w:lastRenderedPageBreak/>
              <w:t xml:space="preserve">Den som av oaktsamhet bryter mot 16 § första stycket döms till böter. Den som uppsåtligen eller av grov oaktsamhet bryter mot 16 § första stycket </w:t>
            </w:r>
            <w:r>
              <w:t>döms till</w:t>
            </w:r>
          </w:p>
          <w:p w:rsidRPr="002A56E5" w:rsidR="002A56E5" w:rsidP="002A56E5" w:rsidRDefault="002A56E5" w14:paraId="1C8FB4F3" w14:textId="77777777">
            <w:r w:rsidRPr="002A56E5">
              <w:t xml:space="preserve">1. böter eller fängelse i högst ett år om brottet avser brandfarliga varor, eller </w:t>
            </w:r>
          </w:p>
        </w:tc>
      </w:tr>
      <w:tr w:rsidR="00B44D28" w:rsidTr="00D9596C" w14:paraId="1C8FB4F7" w14:textId="77777777">
        <w:tc>
          <w:tcPr>
            <w:tcW w:w="4252" w:type="dxa"/>
            <w:shd w:val="clear" w:color="auto" w:fill="auto"/>
          </w:tcPr>
          <w:p w:rsidRPr="002A56E5" w:rsidR="00B44D28" w:rsidP="002A56E5" w:rsidRDefault="002A56E5" w14:paraId="1C8FB4F5" w14:textId="77777777">
            <w:r w:rsidRPr="002A56E5">
              <w:t xml:space="preserve">2. böter eller fängelse i högst </w:t>
            </w:r>
            <w:r w:rsidRPr="002A56E5">
              <w:rPr>
                <w:i/>
              </w:rPr>
              <w:t>två</w:t>
            </w:r>
            <w:r w:rsidRPr="002A56E5">
              <w:t xml:space="preserve"> år om brottet avser explosiva varor. </w:t>
            </w:r>
          </w:p>
        </w:tc>
        <w:tc>
          <w:tcPr>
            <w:tcW w:w="4252" w:type="dxa"/>
            <w:shd w:val="clear" w:color="auto" w:fill="auto"/>
          </w:tcPr>
          <w:p w:rsidRPr="002A56E5" w:rsidR="00B44D28" w:rsidP="002A56E5" w:rsidRDefault="002A56E5" w14:paraId="1C8FB4F6" w14:textId="77777777">
            <w:r w:rsidRPr="002A56E5">
              <w:t xml:space="preserve">2. böter eller fängelse i högst </w:t>
            </w:r>
            <w:r w:rsidRPr="002A56E5">
              <w:rPr>
                <w:i/>
              </w:rPr>
              <w:t>tre</w:t>
            </w:r>
            <w:r w:rsidRPr="002A56E5">
              <w:t xml:space="preserve"> år om brottet avser explosiva varor.</w:t>
            </w:r>
          </w:p>
        </w:tc>
      </w:tr>
      <w:tr w:rsidR="00D9596C" w:rsidTr="003A3B62" w14:paraId="1C8FB4F9" w14:textId="77777777">
        <w:tc>
          <w:tcPr>
            <w:tcW w:w="8504" w:type="dxa"/>
            <w:gridSpan w:val="2"/>
            <w:shd w:val="clear" w:color="auto" w:fill="auto"/>
          </w:tcPr>
          <w:p w:rsidR="00D9596C" w:rsidP="00D9596C" w:rsidRDefault="00D9596C" w14:paraId="1C8FB4F8" w14:textId="77777777">
            <w:pPr>
              <w:pStyle w:val="Lagtext"/>
              <w:jc w:val="center"/>
            </w:pPr>
            <w:r>
              <w:t xml:space="preserve">29 </w:t>
            </w:r>
            <w:r w:rsidR="00423639">
              <w:t xml:space="preserve">a </w:t>
            </w:r>
            <w:r>
              <w:t>§</w:t>
            </w:r>
            <w:r w:rsidR="00A87A80">
              <w:rPr>
                <w:rStyle w:val="Fotnotsreferens"/>
              </w:rPr>
              <w:footnoteReference w:id="4"/>
            </w:r>
          </w:p>
        </w:tc>
      </w:tr>
      <w:tr w:rsidRPr="00423639" w:rsidR="00D9596C" w:rsidTr="00D9596C" w14:paraId="1C8FB4FC" w14:textId="77777777">
        <w:tc>
          <w:tcPr>
            <w:tcW w:w="4252" w:type="dxa"/>
            <w:shd w:val="clear" w:color="auto" w:fill="auto"/>
          </w:tcPr>
          <w:p w:rsidRPr="00423639" w:rsidR="00D9596C" w:rsidP="00423639" w:rsidRDefault="00423639" w14:paraId="1C8FB4FA" w14:textId="77777777">
            <w:r w:rsidRPr="00423639">
              <w:t xml:space="preserve">Om uppsåtligt brott mot 16 § första stycket avser explosiva varor och är att anse som grovt döms till fängelse i lägst </w:t>
            </w:r>
            <w:r w:rsidRPr="00423639">
              <w:rPr>
                <w:i/>
              </w:rPr>
              <w:t>ett</w:t>
            </w:r>
            <w:r w:rsidRPr="00423639">
              <w:t xml:space="preserve"> och högst </w:t>
            </w:r>
            <w:r w:rsidRPr="00423639">
              <w:rPr>
                <w:i/>
              </w:rPr>
              <w:t>fyra</w:t>
            </w:r>
            <w:r w:rsidRPr="00423639">
              <w:t xml:space="preserve"> år. Vid bedömningen av om brottet är grovt ska det särskilt beaktas om </w:t>
            </w:r>
          </w:p>
        </w:tc>
        <w:tc>
          <w:tcPr>
            <w:tcW w:w="4252" w:type="dxa"/>
            <w:shd w:val="clear" w:color="auto" w:fill="auto"/>
          </w:tcPr>
          <w:p w:rsidRPr="00423639" w:rsidR="00D9596C" w:rsidP="00423639" w:rsidRDefault="00423639" w14:paraId="1C8FB4FB" w14:textId="77777777">
            <w:r w:rsidRPr="00423639">
              <w:t xml:space="preserve">Om uppsåtligt brott mot 16 § första stycket avser explosiva varor och är att anse som grovt döms till fängelse i lägst </w:t>
            </w:r>
            <w:r w:rsidRPr="00423639">
              <w:rPr>
                <w:i/>
              </w:rPr>
              <w:t>två</w:t>
            </w:r>
            <w:r>
              <w:t xml:space="preserve"> och högst </w:t>
            </w:r>
            <w:r w:rsidRPr="00423639">
              <w:rPr>
                <w:i/>
              </w:rPr>
              <w:t>sex</w:t>
            </w:r>
            <w:r w:rsidRPr="00423639">
              <w:t xml:space="preserve"> år. Vid bedömningen av om brottet är grovt ska det särskilt beaktas om </w:t>
            </w:r>
          </w:p>
        </w:tc>
      </w:tr>
      <w:tr w:rsidRPr="00423639" w:rsidR="00423639" w:rsidTr="007C25FB" w14:paraId="1C8FB500" w14:textId="77777777">
        <w:tc>
          <w:tcPr>
            <w:tcW w:w="8504" w:type="dxa"/>
            <w:gridSpan w:val="2"/>
            <w:shd w:val="clear" w:color="auto" w:fill="auto"/>
          </w:tcPr>
          <w:p w:rsidR="00423639" w:rsidP="00423639" w:rsidRDefault="00423639" w14:paraId="1C8FB4FD" w14:textId="77777777">
            <w:r w:rsidRPr="00423639">
              <w:t>1. varan har varit a</w:t>
            </w:r>
            <w:r>
              <w:t>v särskilt farlig beskaffenhet,</w:t>
            </w:r>
          </w:p>
          <w:p w:rsidR="00423639" w:rsidP="00423639" w:rsidRDefault="00423639" w14:paraId="1C8FB4FE" w14:textId="77777777">
            <w:r w:rsidRPr="00423639">
              <w:t xml:space="preserve">2. hanteringen, överföringen, importen eller exporten har avsett flera varor eller </w:t>
            </w:r>
            <w:r>
              <w:t>en stor mängd av en vara, eller</w:t>
            </w:r>
          </w:p>
          <w:p w:rsidRPr="00423639" w:rsidR="00423639" w:rsidP="00423639" w:rsidRDefault="00423639" w14:paraId="1C8FB4FF" w14:textId="77777777">
            <w:r w:rsidRPr="00423639">
              <w:t>3. gärningen annars har varit av särskilt farlig art.</w:t>
            </w:r>
          </w:p>
        </w:tc>
      </w:tr>
      <w:tr w:rsidRPr="00423639" w:rsidR="00423639" w:rsidTr="00D9596C" w14:paraId="1C8FB503" w14:textId="77777777">
        <w:tc>
          <w:tcPr>
            <w:tcW w:w="4252" w:type="dxa"/>
            <w:shd w:val="clear" w:color="auto" w:fill="auto"/>
          </w:tcPr>
          <w:p w:rsidRPr="00423639" w:rsidR="00423639" w:rsidP="00423639" w:rsidRDefault="00423639" w14:paraId="1C8FB501" w14:textId="77777777">
            <w:r w:rsidRPr="00423639">
              <w:t>Om brottet är att anse som synnerligen grovt döms till fängelse i lägst tre och högst sex år. Vid bedömningen av om brottet är synnerligen grovt ska det särskilt beaktas om hanteringen, överföringen, importen eller exporten har avsett ett stort antal varor eller en särskilt stor mängd av en vara.</w:t>
            </w:r>
          </w:p>
        </w:tc>
        <w:tc>
          <w:tcPr>
            <w:tcW w:w="4252" w:type="dxa"/>
            <w:shd w:val="clear" w:color="auto" w:fill="auto"/>
          </w:tcPr>
          <w:p w:rsidRPr="00423639" w:rsidR="00423639" w:rsidP="00423639" w:rsidRDefault="00423639" w14:paraId="1C8FB502" w14:textId="77777777">
            <w:r w:rsidRPr="00423639">
              <w:t xml:space="preserve">Om brottet är att anse som synnerligen grovt döms till fängelse i lägst </w:t>
            </w:r>
            <w:r w:rsidRPr="00423639">
              <w:rPr>
                <w:i/>
              </w:rPr>
              <w:t>fyra</w:t>
            </w:r>
            <w:r w:rsidRPr="00423639">
              <w:t xml:space="preserve"> och högst </w:t>
            </w:r>
            <w:r w:rsidRPr="00423639">
              <w:rPr>
                <w:i/>
              </w:rPr>
              <w:t>åtta</w:t>
            </w:r>
            <w:r w:rsidRPr="00423639">
              <w:t xml:space="preserve"> år. Vid bedömningen av om brottet är synnerligen grovt ska det särskilt beaktas om hanteringen, överföringen, importen eller exporten har avsett ett stort antal varor eller en särskilt stor mängd av en vara.</w:t>
            </w:r>
          </w:p>
        </w:tc>
      </w:tr>
    </w:tbl>
    <w:p w:rsidRPr="00724C30" w:rsidR="00724C30" w:rsidP="00724C30" w:rsidRDefault="00724C30" w14:paraId="1C8FB507" w14:textId="77777777"/>
    <w:sdt>
      <w:sdtPr>
        <w:alias w:val="CC_Underskrifter"/>
        <w:tag w:val="CC_Underskrifter"/>
        <w:id w:val="583496634"/>
        <w:lock w:val="sdtContentLocked"/>
        <w:placeholder>
          <w:docPart w:val="BA8F1B704377420995D8D8829065BD9B"/>
        </w:placeholder>
        <w15:appearance w15:val="hidden"/>
      </w:sdtPr>
      <w:sdtEndPr/>
      <w:sdtContent>
        <w:p w:rsidR="004801AC" w:rsidP="00DF4874" w:rsidRDefault="00B61F66" w14:paraId="1C8FB5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Patrick Reslow (-)</w:t>
            </w:r>
          </w:p>
        </w:tc>
      </w:tr>
    </w:tbl>
    <w:p w:rsidR="00752D10" w:rsidRDefault="00752D10" w14:paraId="1C8FB50C" w14:textId="77777777"/>
    <w:sectPr w:rsidR="00752D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FB50E" w14:textId="77777777" w:rsidR="00F7337A" w:rsidRDefault="00F7337A" w:rsidP="000C1CAD">
      <w:pPr>
        <w:spacing w:line="240" w:lineRule="auto"/>
      </w:pPr>
      <w:r>
        <w:separator/>
      </w:r>
    </w:p>
  </w:endnote>
  <w:endnote w:type="continuationSeparator" w:id="0">
    <w:p w14:paraId="1C8FB50F" w14:textId="77777777" w:rsidR="00F7337A" w:rsidRDefault="00F733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FB51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FB515" w14:textId="60B2E99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1F6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FB50C" w14:textId="77777777" w:rsidR="00F7337A" w:rsidRDefault="00F7337A" w:rsidP="000C1CAD">
      <w:pPr>
        <w:spacing w:line="240" w:lineRule="auto"/>
      </w:pPr>
      <w:r>
        <w:separator/>
      </w:r>
    </w:p>
  </w:footnote>
  <w:footnote w:type="continuationSeparator" w:id="0">
    <w:p w14:paraId="1C8FB50D" w14:textId="77777777" w:rsidR="00F7337A" w:rsidRDefault="00F7337A" w:rsidP="000C1CAD">
      <w:pPr>
        <w:spacing w:line="240" w:lineRule="auto"/>
      </w:pPr>
      <w:r>
        <w:continuationSeparator/>
      </w:r>
    </w:p>
  </w:footnote>
  <w:footnote w:id="1">
    <w:p w14:paraId="1C8FB520" w14:textId="77777777" w:rsidR="00A87A80" w:rsidRDefault="00A87A80">
      <w:pPr>
        <w:pStyle w:val="Fotnotstext"/>
      </w:pPr>
      <w:r>
        <w:rPr>
          <w:rStyle w:val="Fotnotsreferens"/>
        </w:rPr>
        <w:footnoteRef/>
      </w:r>
      <w:r>
        <w:t xml:space="preserve"> Senaste lydelse 2014:894.</w:t>
      </w:r>
    </w:p>
  </w:footnote>
  <w:footnote w:id="2">
    <w:p w14:paraId="1C8FB521" w14:textId="77777777" w:rsidR="00A87A80" w:rsidRDefault="00A87A80">
      <w:pPr>
        <w:pStyle w:val="Fotnotstext"/>
      </w:pPr>
      <w:r>
        <w:rPr>
          <w:rStyle w:val="Fotnotsreferens"/>
        </w:rPr>
        <w:footnoteRef/>
      </w:r>
      <w:r>
        <w:t xml:space="preserve"> Senaste lydelse 2014:894.</w:t>
      </w:r>
    </w:p>
  </w:footnote>
  <w:footnote w:id="3">
    <w:p w14:paraId="1C8FB522" w14:textId="77777777" w:rsidR="00B44D28" w:rsidRDefault="00B44D28">
      <w:pPr>
        <w:pStyle w:val="Fotnotstext"/>
      </w:pPr>
      <w:r>
        <w:rPr>
          <w:rStyle w:val="Fotnotsreferens"/>
        </w:rPr>
        <w:footnoteRef/>
      </w:r>
      <w:r>
        <w:t xml:space="preserve"> Senaste lydelse 2017:264.</w:t>
      </w:r>
    </w:p>
  </w:footnote>
  <w:footnote w:id="4">
    <w:p w14:paraId="1C8FB523" w14:textId="77777777" w:rsidR="00A87A80" w:rsidRDefault="00A87A80">
      <w:pPr>
        <w:pStyle w:val="Fotnotstext"/>
      </w:pPr>
      <w:r>
        <w:rPr>
          <w:rStyle w:val="Fotnotsreferens"/>
        </w:rPr>
        <w:footnoteRef/>
      </w:r>
      <w:r>
        <w:t xml:space="preserve"> Senaste lydelse 2017:264.</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C8FB5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8FB51F" wp14:anchorId="1C8FB5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61F66" w14:paraId="1C8FB524" w14:textId="77777777">
                          <w:pPr>
                            <w:jc w:val="right"/>
                          </w:pPr>
                          <w:sdt>
                            <w:sdtPr>
                              <w:alias w:val="CC_Noformat_Partikod"/>
                              <w:tag w:val="CC_Noformat_Partikod"/>
                              <w:id w:val="-53464382"/>
                              <w:placeholder>
                                <w:docPart w:val="56DAA43BD9E44A03BE21E3E83F003279"/>
                              </w:placeholder>
                              <w:text/>
                            </w:sdtPr>
                            <w:sdtEndPr/>
                            <w:sdtContent>
                              <w:r w:rsidR="00724C30">
                                <w:t>SD</w:t>
                              </w:r>
                            </w:sdtContent>
                          </w:sdt>
                          <w:sdt>
                            <w:sdtPr>
                              <w:alias w:val="CC_Noformat_Partinummer"/>
                              <w:tag w:val="CC_Noformat_Partinummer"/>
                              <w:id w:val="-1709555926"/>
                              <w:placeholder>
                                <w:docPart w:val="8F073B5E68F44C77AEF0C8756FA7B23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8FB5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61F66" w14:paraId="1C8FB524" w14:textId="77777777">
                    <w:pPr>
                      <w:jc w:val="right"/>
                    </w:pPr>
                    <w:sdt>
                      <w:sdtPr>
                        <w:alias w:val="CC_Noformat_Partikod"/>
                        <w:tag w:val="CC_Noformat_Partikod"/>
                        <w:id w:val="-53464382"/>
                        <w:placeholder>
                          <w:docPart w:val="56DAA43BD9E44A03BE21E3E83F003279"/>
                        </w:placeholder>
                        <w:text/>
                      </w:sdtPr>
                      <w:sdtEndPr/>
                      <w:sdtContent>
                        <w:r w:rsidR="00724C30">
                          <w:t>SD</w:t>
                        </w:r>
                      </w:sdtContent>
                    </w:sdt>
                    <w:sdt>
                      <w:sdtPr>
                        <w:alias w:val="CC_Noformat_Partinummer"/>
                        <w:tag w:val="CC_Noformat_Partinummer"/>
                        <w:id w:val="-1709555926"/>
                        <w:placeholder>
                          <w:docPart w:val="8F073B5E68F44C77AEF0C8756FA7B23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C8FB5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61F66" w14:paraId="1C8FB512" w14:textId="77777777">
    <w:pPr>
      <w:jc w:val="right"/>
    </w:pPr>
    <w:sdt>
      <w:sdtPr>
        <w:alias w:val="CC_Noformat_Partikod"/>
        <w:tag w:val="CC_Noformat_Partikod"/>
        <w:id w:val="559911109"/>
        <w:placeholder>
          <w:docPart w:val="8F073B5E68F44C77AEF0C8756FA7B23D"/>
        </w:placeholder>
        <w:text/>
      </w:sdtPr>
      <w:sdtEndPr/>
      <w:sdtContent>
        <w:r w:rsidR="00724C30">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C8FB51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61F66" w14:paraId="1C8FB516" w14:textId="77777777">
    <w:pPr>
      <w:jc w:val="right"/>
    </w:pPr>
    <w:sdt>
      <w:sdtPr>
        <w:alias w:val="CC_Noformat_Partikod"/>
        <w:tag w:val="CC_Noformat_Partikod"/>
        <w:id w:val="1471015553"/>
        <w:text/>
      </w:sdtPr>
      <w:sdtEndPr/>
      <w:sdtContent>
        <w:r w:rsidR="00724C30">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61F66" w14:paraId="1C8FB51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61F66" w14:paraId="1C8FB51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61F66" w14:paraId="1C8FB5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:3916</w:t>
        </w:r>
      </w:sdtContent>
    </w:sdt>
  </w:p>
  <w:p w:rsidR="004F35FE" w:rsidP="00E03A3D" w:rsidRDefault="00B61F66" w14:paraId="1C8FB51A" w14:textId="77777777">
    <w:pPr>
      <w:pStyle w:val="Motionr"/>
    </w:pPr>
    <w:sdt>
      <w:sdtPr>
        <w:alias w:val="CC_Noformat_Avtext"/>
        <w:tag w:val="CC_Noformat_Avtext"/>
        <w:id w:val="-2020768203"/>
        <w:lock w:val="sdtContentLocked"/>
        <w15:appearance w15:val="hidden"/>
        <w:text/>
      </w:sdtPr>
      <w:sdtEndPr/>
      <w:sdtContent>
        <w:r>
          <w:t>av Adam Marttinen och Patrick Reslow (SD, -)</w:t>
        </w:r>
      </w:sdtContent>
    </w:sdt>
  </w:p>
  <w:sdt>
    <w:sdtPr>
      <w:alias w:val="CC_Noformat_Rubtext"/>
      <w:tag w:val="CC_Noformat_Rubtext"/>
      <w:id w:val="-218060500"/>
      <w:lock w:val="sdtLocked"/>
      <w15:appearance w15:val="hidden"/>
      <w:text/>
    </w:sdtPr>
    <w:sdtEndPr/>
    <w:sdtContent>
      <w:p w:rsidR="004F35FE" w:rsidP="00283E0F" w:rsidRDefault="00724C30" w14:paraId="1C8FB51B" w14:textId="77777777">
        <w:pPr>
          <w:pStyle w:val="FSHRub2"/>
        </w:pPr>
        <w:r>
          <w:t>med anledning av prop. 2017/18:26 Skjutvapen och explosiva varor – skärpta straff för de grova brotten</w:t>
        </w:r>
      </w:p>
    </w:sdtContent>
  </w:sdt>
  <w:sdt>
    <w:sdtPr>
      <w:alias w:val="CC_Boilerplate_3"/>
      <w:tag w:val="CC_Boilerplate_3"/>
      <w:id w:val="1606463544"/>
      <w:lock w:val="sdtContentLocked"/>
      <w15:appearance w15:val="hidden"/>
      <w:text w:multiLine="1"/>
    </w:sdtPr>
    <w:sdtEndPr/>
    <w:sdtContent>
      <w:p w:rsidR="004F35FE" w:rsidP="00283E0F" w:rsidRDefault="004F35FE" w14:paraId="1C8FB5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A008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3D643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8040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2AC2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3C5C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E6A3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A233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1DA09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C3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1B24"/>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5F07"/>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6B2"/>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340"/>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56E5"/>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189"/>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FE6"/>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E7056"/>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639"/>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9CF"/>
    <w:rsid w:val="00463DD7"/>
    <w:rsid w:val="00463ED3"/>
    <w:rsid w:val="00466424"/>
    <w:rsid w:val="00467151"/>
    <w:rsid w:val="00467873"/>
    <w:rsid w:val="0046792C"/>
    <w:rsid w:val="004700E1"/>
    <w:rsid w:val="004703A7"/>
    <w:rsid w:val="004705F3"/>
    <w:rsid w:val="00470AE9"/>
    <w:rsid w:val="00472CF1"/>
    <w:rsid w:val="00472F5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5E6"/>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108F"/>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3E14"/>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30"/>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D10"/>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181"/>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13EA"/>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389"/>
    <w:rsid w:val="007F57B8"/>
    <w:rsid w:val="007F5D7B"/>
    <w:rsid w:val="007F7271"/>
    <w:rsid w:val="00800368"/>
    <w:rsid w:val="00800C9F"/>
    <w:rsid w:val="00801879"/>
    <w:rsid w:val="00801F41"/>
    <w:rsid w:val="00801F58"/>
    <w:rsid w:val="00802901"/>
    <w:rsid w:val="008033C5"/>
    <w:rsid w:val="008039FB"/>
    <w:rsid w:val="0080446B"/>
    <w:rsid w:val="0080450A"/>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2E4C"/>
    <w:rsid w:val="0088342E"/>
    <w:rsid w:val="00883544"/>
    <w:rsid w:val="00883DE1"/>
    <w:rsid w:val="0088439D"/>
    <w:rsid w:val="00884F52"/>
    <w:rsid w:val="008851F6"/>
    <w:rsid w:val="00885539"/>
    <w:rsid w:val="0088630D"/>
    <w:rsid w:val="008874DD"/>
    <w:rsid w:val="00887F8A"/>
    <w:rsid w:val="00890724"/>
    <w:rsid w:val="00890B50"/>
    <w:rsid w:val="00891A8C"/>
    <w:rsid w:val="00894507"/>
    <w:rsid w:val="00894CF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17C81"/>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38B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87A80"/>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B6A"/>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9E"/>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0FD"/>
    <w:rsid w:val="00B44D28"/>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1F66"/>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0756"/>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D33"/>
    <w:rsid w:val="00C23F23"/>
    <w:rsid w:val="00C24844"/>
    <w:rsid w:val="00C24F36"/>
    <w:rsid w:val="00C30D70"/>
    <w:rsid w:val="00C316AE"/>
    <w:rsid w:val="00C32392"/>
    <w:rsid w:val="00C32664"/>
    <w:rsid w:val="00C3271D"/>
    <w:rsid w:val="00C330F0"/>
    <w:rsid w:val="00C35733"/>
    <w:rsid w:val="00C362D1"/>
    <w:rsid w:val="00C369D4"/>
    <w:rsid w:val="00C37257"/>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20D"/>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054"/>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17D0"/>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91"/>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596C"/>
    <w:rsid w:val="00DA0A6E"/>
    <w:rsid w:val="00DA0A9B"/>
    <w:rsid w:val="00DA2077"/>
    <w:rsid w:val="00DA2635"/>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4874"/>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3E79"/>
    <w:rsid w:val="00EC47B0"/>
    <w:rsid w:val="00EC50B9"/>
    <w:rsid w:val="00EC64E5"/>
    <w:rsid w:val="00EC6B7B"/>
    <w:rsid w:val="00EC734F"/>
    <w:rsid w:val="00EC7949"/>
    <w:rsid w:val="00ED0398"/>
    <w:rsid w:val="00ED094C"/>
    <w:rsid w:val="00ED0EA9"/>
    <w:rsid w:val="00ED19F0"/>
    <w:rsid w:val="00ED1F36"/>
    <w:rsid w:val="00ED2C8C"/>
    <w:rsid w:val="00ED2CD2"/>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337A"/>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8FB4C8"/>
  <w15:chartTrackingRefBased/>
  <w15:docId w15:val="{910F3AB6-3FB0-4C40-894C-66F9C4250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87A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53B308F436F4924BF8A469DADCD387C"/>
        <w:category>
          <w:name w:val="Allmänt"/>
          <w:gallery w:val="placeholder"/>
        </w:category>
        <w:types>
          <w:type w:val="bbPlcHdr"/>
        </w:types>
        <w:behaviors>
          <w:behavior w:val="content"/>
        </w:behaviors>
        <w:guid w:val="{18BECB0A-4095-4848-B414-5984891FCEDD}"/>
      </w:docPartPr>
      <w:docPartBody>
        <w:p w:rsidR="003B7462" w:rsidRDefault="00A06A6C">
          <w:pPr>
            <w:pStyle w:val="853B308F436F4924BF8A469DADCD387C"/>
          </w:pPr>
          <w:r w:rsidRPr="005A0A93">
            <w:rPr>
              <w:rStyle w:val="Platshllartext"/>
            </w:rPr>
            <w:t>Förslag till riksdagsbeslut</w:t>
          </w:r>
        </w:p>
      </w:docPartBody>
    </w:docPart>
    <w:docPart>
      <w:docPartPr>
        <w:name w:val="45A522F1C43347AFB51327A847537F32"/>
        <w:category>
          <w:name w:val="Allmänt"/>
          <w:gallery w:val="placeholder"/>
        </w:category>
        <w:types>
          <w:type w:val="bbPlcHdr"/>
        </w:types>
        <w:behaviors>
          <w:behavior w:val="content"/>
        </w:behaviors>
        <w:guid w:val="{FAD7BF97-607B-45F9-A424-FF7AD92BD8DA}"/>
      </w:docPartPr>
      <w:docPartBody>
        <w:p w:rsidR="003B7462" w:rsidRDefault="00A06A6C">
          <w:pPr>
            <w:pStyle w:val="45A522F1C43347AFB51327A847537F32"/>
          </w:pPr>
          <w:r w:rsidRPr="005A0A93">
            <w:rPr>
              <w:rStyle w:val="Platshllartext"/>
            </w:rPr>
            <w:t>Motivering</w:t>
          </w:r>
        </w:p>
      </w:docPartBody>
    </w:docPart>
    <w:docPart>
      <w:docPartPr>
        <w:name w:val="BA8F1B704377420995D8D8829065BD9B"/>
        <w:category>
          <w:name w:val="Allmänt"/>
          <w:gallery w:val="placeholder"/>
        </w:category>
        <w:types>
          <w:type w:val="bbPlcHdr"/>
        </w:types>
        <w:behaviors>
          <w:behavior w:val="content"/>
        </w:behaviors>
        <w:guid w:val="{47FD9572-6AE5-4149-8E2F-EFDDCEADCF2E}"/>
      </w:docPartPr>
      <w:docPartBody>
        <w:p w:rsidR="003B7462" w:rsidRDefault="00A06A6C">
          <w:pPr>
            <w:pStyle w:val="BA8F1B704377420995D8D8829065BD9B"/>
          </w:pPr>
          <w:r w:rsidRPr="00490DAC">
            <w:rPr>
              <w:rStyle w:val="Platshllartext"/>
            </w:rPr>
            <w:t>Skriv ej här, motionärer infogas via panel!</w:t>
          </w:r>
        </w:p>
      </w:docPartBody>
    </w:docPart>
    <w:docPart>
      <w:docPartPr>
        <w:name w:val="56DAA43BD9E44A03BE21E3E83F003279"/>
        <w:category>
          <w:name w:val="Allmänt"/>
          <w:gallery w:val="placeholder"/>
        </w:category>
        <w:types>
          <w:type w:val="bbPlcHdr"/>
        </w:types>
        <w:behaviors>
          <w:behavior w:val="content"/>
        </w:behaviors>
        <w:guid w:val="{E4A026A6-FFD4-4A75-A6AD-9E5C08B86799}"/>
      </w:docPartPr>
      <w:docPartBody>
        <w:p w:rsidR="003B7462" w:rsidRDefault="00A06A6C">
          <w:pPr>
            <w:pStyle w:val="56DAA43BD9E44A03BE21E3E83F003279"/>
          </w:pPr>
          <w:r>
            <w:rPr>
              <w:rStyle w:val="Platshllartext"/>
            </w:rPr>
            <w:t xml:space="preserve"> </w:t>
          </w:r>
        </w:p>
      </w:docPartBody>
    </w:docPart>
    <w:docPart>
      <w:docPartPr>
        <w:name w:val="8F073B5E68F44C77AEF0C8756FA7B23D"/>
        <w:category>
          <w:name w:val="Allmänt"/>
          <w:gallery w:val="placeholder"/>
        </w:category>
        <w:types>
          <w:type w:val="bbPlcHdr"/>
        </w:types>
        <w:behaviors>
          <w:behavior w:val="content"/>
        </w:behaviors>
        <w:guid w:val="{FFB38FC1-0FED-4765-8759-01C80FD3B680}"/>
      </w:docPartPr>
      <w:docPartBody>
        <w:p w:rsidR="003B7462" w:rsidRDefault="00A06A6C">
          <w:pPr>
            <w:pStyle w:val="8F073B5E68F44C77AEF0C8756FA7B23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A6C"/>
    <w:rsid w:val="00080393"/>
    <w:rsid w:val="003B7462"/>
    <w:rsid w:val="00A06A6C"/>
    <w:rsid w:val="00A749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3B308F436F4924BF8A469DADCD387C">
    <w:name w:val="853B308F436F4924BF8A469DADCD387C"/>
  </w:style>
  <w:style w:type="paragraph" w:customStyle="1" w:styleId="653CE7C25BC243FB905B7F056D8F5BB8">
    <w:name w:val="653CE7C25BC243FB905B7F056D8F5BB8"/>
  </w:style>
  <w:style w:type="paragraph" w:customStyle="1" w:styleId="8E36380671FD481E93C1DE79B8C2F329">
    <w:name w:val="8E36380671FD481E93C1DE79B8C2F329"/>
  </w:style>
  <w:style w:type="paragraph" w:customStyle="1" w:styleId="45A522F1C43347AFB51327A847537F32">
    <w:name w:val="45A522F1C43347AFB51327A847537F32"/>
  </w:style>
  <w:style w:type="paragraph" w:customStyle="1" w:styleId="BA8F1B704377420995D8D8829065BD9B">
    <w:name w:val="BA8F1B704377420995D8D8829065BD9B"/>
  </w:style>
  <w:style w:type="paragraph" w:customStyle="1" w:styleId="56DAA43BD9E44A03BE21E3E83F003279">
    <w:name w:val="56DAA43BD9E44A03BE21E3E83F003279"/>
  </w:style>
  <w:style w:type="paragraph" w:customStyle="1" w:styleId="8F073B5E68F44C77AEF0C8756FA7B23D">
    <w:name w:val="8F073B5E68F44C77AEF0C8756FA7B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BFC043-115E-4990-8B5F-874B67F43F5A}"/>
</file>

<file path=customXml/itemProps2.xml><?xml version="1.0" encoding="utf-8"?>
<ds:datastoreItem xmlns:ds="http://schemas.openxmlformats.org/officeDocument/2006/customXml" ds:itemID="{45652B38-FFE6-40E2-AB7B-B045CE033842}"/>
</file>

<file path=customXml/itemProps3.xml><?xml version="1.0" encoding="utf-8"?>
<ds:datastoreItem xmlns:ds="http://schemas.openxmlformats.org/officeDocument/2006/customXml" ds:itemID="{891D6BB4-89B4-40EA-81FE-A8E29582E1C7}"/>
</file>

<file path=docProps/app.xml><?xml version="1.0" encoding="utf-8"?>
<Properties xmlns="http://schemas.openxmlformats.org/officeDocument/2006/extended-properties" xmlns:vt="http://schemas.openxmlformats.org/officeDocument/2006/docPropsVTypes">
  <Template>Normal</Template>
  <TotalTime>2598</TotalTime>
  <Pages>3</Pages>
  <Words>868</Words>
  <Characters>4369</Characters>
  <Application>Microsoft Office Word</Application>
  <DocSecurity>0</DocSecurity>
  <Lines>128</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2017 18 26 Skjutvapen och explosiva varor   skärpta straff för de grova brotten</vt:lpstr>
      <vt:lpstr>
      </vt:lpstr>
    </vt:vector>
  </TitlesOfParts>
  <Company>Sveriges riksdag</Company>
  <LinksUpToDate>false</LinksUpToDate>
  <CharactersWithSpaces>5185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