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51D" w:rsidRPr="0058551D" w:rsidRDefault="0058551D">
      <w:pPr>
        <w:pStyle w:val="Frslagsrubrik"/>
      </w:pPr>
      <w:r w:rsidRPr="0058551D">
        <w:t>Förslag till riksdagsbeslut</w:t>
      </w:r>
    </w:p>
    <w:p w:rsidR="0058551D" w:rsidRPr="0058551D" w:rsidRDefault="0058551D">
      <w:pPr>
        <w:pStyle w:val="Hemstlatt"/>
        <w:ind w:left="0"/>
      </w:pPr>
      <w:r w:rsidRPr="0058551D">
        <w:t>Riksdagen tillkännager för regeringen som sin mening vad som anförs i motionen om att utreda gränsdragningsproblemen avseende domares löner i förhållande till kraven på domstolarnas oavhängi</w:t>
      </w:r>
      <w:r w:rsidRPr="0058551D">
        <w:t>g</w:t>
      </w:r>
      <w:r w:rsidRPr="0058551D">
        <w:t>het.</w:t>
      </w:r>
    </w:p>
    <w:p w:rsidR="0058551D" w:rsidRPr="0058551D" w:rsidRDefault="0058551D">
      <w:pPr>
        <w:pStyle w:val="Rubrik1"/>
      </w:pPr>
      <w:r w:rsidRPr="0058551D">
        <w:t>Motivering</w:t>
      </w:r>
    </w:p>
    <w:p w:rsidR="0058551D" w:rsidRPr="0058551D" w:rsidRDefault="0058551D">
      <w:r w:rsidRPr="0058551D">
        <w:t>Domstolarna ses som värnare av rättsstaten och av den enskilde medborg</w:t>
      </w:r>
      <w:r w:rsidRPr="0058551D">
        <w:t>a</w:t>
      </w:r>
      <w:r w:rsidRPr="0058551D">
        <w:t>rens rättigheter bland annat därför att de skall se till att de beslutade lagarna tillämpas på ett korrekt sätt. Domstolarna har också rättsskapande uppgifter genom de högsta domstolarnas roll som prejudikatinstanser. Sveriges me</w:t>
      </w:r>
      <w:r w:rsidRPr="0058551D">
        <w:t>d</w:t>
      </w:r>
      <w:r w:rsidRPr="0058551D">
        <w:t>lemskap i EU och de förpliktelser som följer av Europakonventionen har ytterligare betonat domstolarnas betydelse som en garanti för medborgarnas rättigheter.</w:t>
      </w:r>
    </w:p>
    <w:p w:rsidR="0058551D" w:rsidRPr="0058551D" w:rsidRDefault="0058551D">
      <w:pPr>
        <w:pStyle w:val="Normaltindrag"/>
      </w:pPr>
      <w:r w:rsidRPr="0058551D">
        <w:t>Både från konstitutionella utgångspunkter och sett ur ett medborgarpe</w:t>
      </w:r>
      <w:r w:rsidRPr="0058551D">
        <w:t>r</w:t>
      </w:r>
      <w:r w:rsidRPr="0058551D">
        <w:t>spektiv har det därför ansetts väsentligt att domstolarna står fria gentemot statsmakterna och att domarna även i övrigt är oberoende av påtryckningar utifrån.</w:t>
      </w:r>
    </w:p>
    <w:p w:rsidR="0058551D" w:rsidRPr="0058551D" w:rsidRDefault="0058551D">
      <w:pPr>
        <w:pStyle w:val="Normaltindrag"/>
      </w:pPr>
      <w:r w:rsidRPr="0058551D">
        <w:t>Detta förhållande förstärks genom de förslag grundlagsutredningen lämnat om ett särskilt kapitel om domstolarna i regeringsformen och ett särskilt s</w:t>
      </w:r>
      <w:r w:rsidRPr="0058551D">
        <w:t>y</w:t>
      </w:r>
      <w:r w:rsidRPr="0058551D">
        <w:t>stem för utnämning av domare.</w:t>
      </w:r>
    </w:p>
    <w:p w:rsidR="0058551D" w:rsidRPr="0058551D" w:rsidRDefault="0058551D">
      <w:pPr>
        <w:pStyle w:val="Normaltindrag"/>
      </w:pPr>
      <w:r w:rsidRPr="0058551D">
        <w:t>Ett oavhängigt domstolsväsen kommer till uttryck i olika internationella konventioner och dokument som Sverige har åtagit sig att följa. I Europako</w:t>
      </w:r>
      <w:r w:rsidRPr="0058551D">
        <w:t>n</w:t>
      </w:r>
      <w:r w:rsidRPr="0058551D">
        <w:t xml:space="preserve">ventionen föreskrivs i artikel 6.1 att envar skall vid prövningen av hans civila rättigheter och skyldigheter eller av en anklagelse mot honom för brott vara berättigad till en rättvis och offentlig rättegång inom skälig tid och inför en oavhängig och opartisk domstol som upprättats enligt lag. Med ”oavhängig domstol” förstås en domstol som är oberoende av såväl den verkställande </w:t>
      </w:r>
      <w:r w:rsidRPr="0058551D">
        <w:lastRenderedPageBreak/>
        <w:t>makten som parterna i målet. Europakonventionen är sedan den 1 januari 1995 gällande svensk lag.</w:t>
      </w:r>
    </w:p>
    <w:p w:rsidR="0058551D" w:rsidRPr="0058551D" w:rsidRDefault="0058551D">
      <w:pPr>
        <w:pStyle w:val="Normaltindrag"/>
      </w:pPr>
      <w:r w:rsidRPr="0058551D">
        <w:t>FN:s grundprinciper för domstol</w:t>
      </w:r>
      <w:r w:rsidRPr="0058551D">
        <w:t>sväsendets oberoende antogs år 1985. D</w:t>
      </w:r>
      <w:r w:rsidRPr="0058551D">
        <w:t>o</w:t>
      </w:r>
      <w:r w:rsidRPr="0058551D">
        <w:t>kumentet innehåller grundprinciperna, bl.a. att domarnas självständighet skall garanteras av staten antingen i konstitutionen eller i lag. Vidare skall doma</w:t>
      </w:r>
      <w:r w:rsidRPr="0058551D">
        <w:t>r</w:t>
      </w:r>
      <w:r w:rsidRPr="0058551D">
        <w:t>nas självständighet respekteras av alla andra myndigheter. Staten skall även se till att det finns tillräckliga medel så att domarna på rätt sätt kan utföra sina göromål.</w:t>
      </w:r>
    </w:p>
    <w:p w:rsidR="0058551D" w:rsidRPr="0058551D" w:rsidRDefault="0058551D">
      <w:pPr>
        <w:pStyle w:val="Normaltindrag"/>
      </w:pPr>
      <w:r w:rsidRPr="0058551D">
        <w:t>Ett annat dokument är Europarådets rekommendation R (94)12 om dom</w:t>
      </w:r>
      <w:r w:rsidRPr="0058551D">
        <w:t>a</w:t>
      </w:r>
      <w:r w:rsidRPr="0058551D">
        <w:t>res oberoende, skicklighet och roll som antogs år 1994 på grundval av artikel 6 i Europakonventionen. Rekommendationens utgångspunkt är att domarkåren spelar en viktig roll när det gäller genomförandet av Europar</w:t>
      </w:r>
      <w:r w:rsidRPr="0058551D">
        <w:t>å</w:t>
      </w:r>
      <w:r w:rsidRPr="0058551D">
        <w:t>dets mål i fråga om skyddet av ett demokratiskt och politiskt system som kännetecknas av ”the rule of law” liksom när det gäller skyddet av de mäns</w:t>
      </w:r>
      <w:r w:rsidRPr="0058551D">
        <w:t>k</w:t>
      </w:r>
      <w:r w:rsidRPr="0058551D">
        <w:t xml:space="preserve">liga rättigheterna och grundläggande friheterna. Enligt rekommendationen bör alla nödvändiga steg tas av medlemsstaterna för att respektera, försvara </w:t>
      </w:r>
      <w:r w:rsidRPr="0058551D">
        <w:t>och främja domarnas självständighet. Den verkställande statsmakten och den lagstiftande statsmakten bör gå i god för att domarna är oberoende och att inga åtgärder vidtas som kan äventyra detta oberoende.</w:t>
      </w:r>
    </w:p>
    <w:p w:rsidR="0058551D" w:rsidRPr="0058551D" w:rsidRDefault="0058551D">
      <w:pPr>
        <w:pStyle w:val="Normaltindrag"/>
      </w:pPr>
      <w:r w:rsidRPr="0058551D">
        <w:t xml:space="preserve">Den fria förhandlingsrätten är sedan lång tid tillbaka grundläggande för svensk arbetsmarknad. Den gäller även inom det statliga avtalsområdet. Det är alltså de kollektivavtalsslutande parterna som, utan inblandning av regering och riksdag, inom ramen för gällande regler kommer överens om löner och former </w:t>
      </w:r>
      <w:r w:rsidRPr="0058551D">
        <w:t>för lönesättningen.</w:t>
      </w:r>
    </w:p>
    <w:p w:rsidR="0058551D" w:rsidRPr="0058551D" w:rsidRDefault="0058551D">
      <w:pPr>
        <w:pStyle w:val="Normaltindrag"/>
      </w:pPr>
      <w:r w:rsidRPr="0058551D">
        <w:t>Dessa två grundläggande principer, dvs. domarnas särställning och den fria förhandlingsrätten, kan felaktigt hanterade komma i konflikt med varandra.</w:t>
      </w:r>
    </w:p>
    <w:p w:rsidR="0058551D" w:rsidRPr="0058551D" w:rsidRDefault="0058551D">
      <w:pPr>
        <w:pStyle w:val="Normaltindrag"/>
      </w:pPr>
      <w:r w:rsidRPr="0058551D">
        <w:t>Det är en grannlaga uppgift att vara en drivande och stödjande kraft i do</w:t>
      </w:r>
      <w:r w:rsidRPr="0058551D">
        <w:t>m</w:t>
      </w:r>
      <w:r w:rsidRPr="0058551D">
        <w:t>stolarnas förändringsarbete och att ha rätten att ta initiativ ifråga om förän</w:t>
      </w:r>
      <w:r w:rsidRPr="0058551D">
        <w:t>d</w:t>
      </w:r>
      <w:r w:rsidRPr="0058551D">
        <w:t>ringar avseende domstolarnas organisation och arbetsformer. Det kräver en betydande förståelse för domstolarnas oavhängighet.</w:t>
      </w:r>
    </w:p>
    <w:p w:rsidR="0058551D" w:rsidRPr="0058551D" w:rsidRDefault="0058551D">
      <w:pPr>
        <w:pStyle w:val="Normaltindrag"/>
      </w:pPr>
      <w:r w:rsidRPr="0058551D">
        <w:t>Diskussionen kring domares löner har handlat om individuella och prest</w:t>
      </w:r>
      <w:r w:rsidRPr="0058551D">
        <w:t>a</w:t>
      </w:r>
      <w:r w:rsidRPr="0058551D">
        <w:t>tionsbaserade löner. Sådana löner ska statsanställda ha, domare inte unda</w:t>
      </w:r>
      <w:r w:rsidRPr="0058551D">
        <w:t>n</w:t>
      </w:r>
      <w:r w:rsidRPr="0058551D">
        <w:t>tagna, enligt det centrala statliga avtalet som blev klart den 7 november 2007.</w:t>
      </w:r>
    </w:p>
    <w:p w:rsidR="0058551D" w:rsidRPr="0058551D" w:rsidRDefault="0058551D">
      <w:pPr>
        <w:pStyle w:val="Normaltindrag"/>
      </w:pPr>
      <w:r w:rsidRPr="0058551D">
        <w:t>Åtta av tio domare har dock sagt nej till individuella löner, enligt en Jus</w:t>
      </w:r>
      <w:r w:rsidRPr="0058551D">
        <w:t>e</w:t>
      </w:r>
      <w:r w:rsidRPr="0058551D">
        <w:t>k-enkät. Att särskilja domarna från övriga statstjänstemän lyckades förhandla</w:t>
      </w:r>
      <w:r w:rsidRPr="0058551D">
        <w:t>r</w:t>
      </w:r>
      <w:r w:rsidRPr="0058551D">
        <w:t>na inte uppnå. Förhandlingarna avslutades den 24 oktober 2008. Enligt avtalet ska den dömande gärningen, till exempel antalet avgjorda mål, unda</w:t>
      </w:r>
      <w:r w:rsidRPr="0058551D">
        <w:t>n</w:t>
      </w:r>
      <w:r w:rsidRPr="0058551D">
        <w:t>tas från individuell skicklighetsbedömning när lönerna sätts.</w:t>
      </w:r>
    </w:p>
    <w:p w:rsidR="0058551D" w:rsidRPr="0058551D" w:rsidRDefault="0058551D">
      <w:pPr>
        <w:pStyle w:val="Normaltindrag"/>
      </w:pPr>
      <w:r w:rsidRPr="0058551D">
        <w:t>Det är dock viktigt att inse att individ- och prestationsbaserad lönesättning in absurdum skulle kunna hota domares oavhängighet och självständighet. Införande av prestationslön kan vara ett sådant avsteg. Grundlagens och de i</w:t>
      </w:r>
      <w:r w:rsidRPr="0058551D">
        <w:t>nternationella konventionernas krav på oavhängighet och självständighet måste tillförsäkras på något sätt. Regeringen bör utreda gränsdragningspr</w:t>
      </w:r>
      <w:r w:rsidRPr="0058551D">
        <w:t>o</w:t>
      </w:r>
      <w:r w:rsidRPr="0058551D">
        <w:t>blematiken ur konstitutionell synpunkt på hur domares löner sätts.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51D">
        <w:trPr>
          <w:cantSplit/>
        </w:trPr>
        <w:tc>
          <w:tcPr>
            <w:tcW w:w="3046" w:type="dxa"/>
          </w:tcPr>
          <w:p w:rsidR="0058551D" w:rsidRPr="0058551D" w:rsidRDefault="0058551D">
            <w:pPr>
              <w:pStyle w:val="UnderskriftDatum"/>
              <w:spacing w:before="240"/>
            </w:pPr>
            <w:r w:rsidRPr="0058551D">
              <w:t>Stockholm den 27 oktober 2010</w:t>
            </w:r>
          </w:p>
        </w:tc>
        <w:tc>
          <w:tcPr>
            <w:tcW w:w="3047" w:type="dxa"/>
          </w:tcPr>
          <w:p w:rsidR="0058551D" w:rsidRPr="0058551D" w:rsidRDefault="0058551D">
            <w:pPr>
              <w:pStyle w:val="Underskrifter"/>
              <w:spacing w:before="240"/>
            </w:pPr>
          </w:p>
        </w:tc>
      </w:tr>
      <w:tr w:rsidR="00000000" w:rsidRPr="0058551D">
        <w:trPr>
          <w:cantSplit/>
        </w:trPr>
        <w:tc>
          <w:tcPr>
            <w:tcW w:w="3046" w:type="dxa"/>
          </w:tcPr>
          <w:p w:rsidR="0058551D" w:rsidRPr="0058551D" w:rsidRDefault="0058551D">
            <w:pPr>
              <w:pStyle w:val="Underskrifter"/>
            </w:pPr>
            <w:r w:rsidRPr="0058551D">
              <w:t>Tuve Skånberg (KD)</w:t>
            </w:r>
          </w:p>
        </w:tc>
        <w:tc>
          <w:tcPr>
            <w:tcW w:w="3046" w:type="dxa"/>
          </w:tcPr>
          <w:p w:rsidR="0058551D" w:rsidRPr="0058551D" w:rsidRDefault="0058551D">
            <w:pPr>
              <w:pStyle w:val="Underskrifter"/>
            </w:pPr>
          </w:p>
        </w:tc>
      </w:tr>
    </w:tbl>
    <w:p w:rsidR="0058551D" w:rsidRPr="0058551D" w:rsidRDefault="0058551D">
      <w:pPr>
        <w:pStyle w:val="Normaltindrag"/>
      </w:pPr>
    </w:p>
    <w:sectPr w:rsidR="00000000" w:rsidRPr="005855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51D" w:rsidRPr="0058551D" w:rsidRDefault="0058551D">
      <w:r w:rsidRPr="0058551D">
        <w:separator/>
      </w:r>
    </w:p>
  </w:endnote>
  <w:endnote w:type="continuationSeparator" w:id="0">
    <w:p w:rsidR="0058551D" w:rsidRPr="0058551D" w:rsidRDefault="0058551D">
      <w:r w:rsidRPr="00585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1D" w:rsidRPr="0058551D" w:rsidRDefault="0058551D">
    <w:pPr>
      <w:pStyle w:val="Sidfot"/>
    </w:pPr>
    <w:r w:rsidRPr="005855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854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1D" w:rsidRDefault="005855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51D" w:rsidRDefault="005855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1D" w:rsidRPr="0058551D" w:rsidRDefault="0058551D">
    <w:pPr>
      <w:pStyle w:val="Sidfot"/>
    </w:pPr>
    <w:r w:rsidRPr="005855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458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1D" w:rsidRDefault="005855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51D" w:rsidRDefault="005855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1D" w:rsidRPr="0058551D" w:rsidRDefault="0058551D">
    <w:pPr>
      <w:pStyle w:val="Sidfot"/>
    </w:pPr>
    <w:r w:rsidRPr="005855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780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1D" w:rsidRDefault="005855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51D" w:rsidRDefault="005855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51D" w:rsidRPr="0058551D" w:rsidRDefault="0058551D">
      <w:r w:rsidRPr="0058551D">
        <w:separator/>
      </w:r>
    </w:p>
  </w:footnote>
  <w:footnote w:type="continuationSeparator" w:id="0">
    <w:p w:rsidR="0058551D" w:rsidRPr="0058551D" w:rsidRDefault="0058551D">
      <w:r w:rsidRPr="00585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1D" w:rsidRPr="0058551D" w:rsidRDefault="0058551D">
    <w:pPr>
      <w:pStyle w:val="Sidhuvud"/>
    </w:pPr>
    <w:r w:rsidRPr="005855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846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1D" w:rsidRDefault="005855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51D" w:rsidRDefault="005855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1D" w:rsidRPr="0058551D" w:rsidRDefault="0058551D">
    <w:pPr>
      <w:pStyle w:val="Sidhuvud"/>
    </w:pPr>
    <w:r w:rsidRPr="005855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4756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51D" w:rsidRDefault="005855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51D" w:rsidRDefault="005855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51D" w:rsidRPr="0058551D" w:rsidRDefault="0058551D">
    <w:pPr>
      <w:pStyle w:val="FSHNormal"/>
      <w:tabs>
        <w:tab w:val="right" w:pos="5840"/>
      </w:tabs>
    </w:pPr>
    <w:r w:rsidRPr="0058551D">
      <w:br/>
    </w:r>
    <w:r w:rsidRPr="0058551D">
      <w:fldChar w:fldCharType="begin" w:fldLock="1"/>
    </w:r>
    <w:r w:rsidRPr="0058551D">
      <w:instrText xml:space="preserve"> DOCPROPERTY</w:instrText>
    </w:r>
    <w:r w:rsidRPr="0058551D">
      <w:rPr>
        <w:sz w:val="18"/>
      </w:rPr>
      <w:instrText xml:space="preserve"> "YearUser" *\charformat </w:instrText>
    </w:r>
    <w:r w:rsidRPr="0058551D">
      <w:fldChar w:fldCharType="separate"/>
    </w:r>
    <w:r w:rsidRPr="0058551D">
      <w:t>2010/11</w:t>
    </w:r>
    <w:r w:rsidRPr="0058551D">
      <w:fldChar w:fldCharType="end"/>
    </w:r>
    <w:r w:rsidRPr="0058551D">
      <w:t xml:space="preserve"> </w:t>
    </w:r>
    <w:r w:rsidRPr="0058551D">
      <w:tab/>
      <w:t xml:space="preserve">mnr: </w:t>
    </w:r>
    <w:r w:rsidRPr="0058551D">
      <w:fldChar w:fldCharType="begin" w:fldLock="1"/>
    </w:r>
    <w:r w:rsidRPr="0058551D">
      <w:instrText xml:space="preserve"> DOCPROPERTY</w:instrText>
    </w:r>
    <w:r w:rsidRPr="0058551D">
      <w:rPr>
        <w:sz w:val="18"/>
      </w:rPr>
      <w:instrText xml:space="preserve"> "Motionsnummer" *\charformat </w:instrText>
    </w:r>
    <w:r w:rsidRPr="0058551D">
      <w:fldChar w:fldCharType="separate"/>
    </w:r>
    <w:r w:rsidRPr="0058551D">
      <w:t>Ju357</w:t>
    </w:r>
    <w:r w:rsidRPr="0058551D">
      <w:fldChar w:fldCharType="end"/>
    </w:r>
    <w:r w:rsidRPr="0058551D">
      <w:br/>
    </w:r>
    <w:r w:rsidRPr="0058551D">
      <w:fldChar w:fldCharType="begin" w:fldLock="1"/>
    </w:r>
    <w:r w:rsidRPr="0058551D">
      <w:instrText xml:space="preserve"> DOCPROPERTY</w:instrText>
    </w:r>
    <w:r w:rsidRPr="0058551D">
      <w:rPr>
        <w:sz w:val="18"/>
      </w:rPr>
      <w:instrText xml:space="preserve"> "Samling" *\charformat </w:instrText>
    </w:r>
    <w:r w:rsidRPr="0058551D">
      <w:fldChar w:fldCharType="end"/>
    </w:r>
    <w:r w:rsidRPr="0058551D">
      <w:tab/>
      <w:t xml:space="preserve">pnr: </w:t>
    </w:r>
    <w:r w:rsidRPr="0058551D">
      <w:fldChar w:fldCharType="begin" w:fldLock="1"/>
    </w:r>
    <w:r w:rsidRPr="0058551D">
      <w:instrText xml:space="preserve"> DOCPROPERTY</w:instrText>
    </w:r>
    <w:r w:rsidRPr="0058551D">
      <w:rPr>
        <w:sz w:val="18"/>
      </w:rPr>
      <w:instrText xml:space="preserve"> "Partinummer" *\charformat </w:instrText>
    </w:r>
    <w:r w:rsidRPr="0058551D">
      <w:fldChar w:fldCharType="separate"/>
    </w:r>
    <w:r w:rsidRPr="0058551D">
      <w:t>KD740</w:t>
    </w:r>
    <w:r w:rsidRPr="0058551D">
      <w:fldChar w:fldCharType="end"/>
    </w:r>
  </w:p>
  <w:p w:rsidR="0058551D" w:rsidRPr="0058551D" w:rsidRDefault="0058551D">
    <w:pPr>
      <w:pStyle w:val="FSHRub1"/>
    </w:pPr>
    <w:r w:rsidRPr="0058551D">
      <w:t>Motion till riksdagen</w:t>
    </w:r>
    <w:r w:rsidRPr="0058551D">
      <w:br/>
    </w:r>
    <w:r w:rsidRPr="0058551D">
      <w:fldChar w:fldCharType="begin" w:fldLock="1"/>
    </w:r>
    <w:r w:rsidRPr="0058551D">
      <w:instrText xml:space="preserve"> DOCPROPERTY "YearUser" *\charformat </w:instrText>
    </w:r>
    <w:r w:rsidRPr="0058551D">
      <w:fldChar w:fldCharType="separate"/>
    </w:r>
    <w:r w:rsidRPr="0058551D">
      <w:t>2010/11</w:t>
    </w:r>
    <w:r w:rsidRPr="0058551D">
      <w:fldChar w:fldCharType="end"/>
    </w:r>
    <w:r w:rsidRPr="0058551D">
      <w:t>:</w:t>
    </w:r>
    <w:r w:rsidRPr="0058551D">
      <w:fldChar w:fldCharType="begin" w:fldLock="1"/>
    </w:r>
    <w:r w:rsidRPr="0058551D">
      <w:instrText xml:space="preserve"> DOCPROPERTY "Motionsnummer" *\charformat </w:instrText>
    </w:r>
    <w:r w:rsidRPr="0058551D">
      <w:fldChar w:fldCharType="separate"/>
    </w:r>
    <w:r w:rsidRPr="0058551D">
      <w:t>Ju357</w:t>
    </w:r>
    <w:r w:rsidRPr="0058551D">
      <w:fldChar w:fldCharType="end"/>
    </w:r>
  </w:p>
  <w:p w:rsidR="0058551D" w:rsidRPr="0058551D" w:rsidRDefault="0058551D">
    <w:pPr>
      <w:pStyle w:val="FSHNormalS5"/>
    </w:pPr>
    <w:r w:rsidRPr="0058551D">
      <w:fldChar w:fldCharType="begin" w:fldLock="1"/>
    </w:r>
    <w:r w:rsidRPr="0058551D">
      <w:instrText xml:space="preserve"> DOCPROPERTY "MotionarText" *\charformat </w:instrText>
    </w:r>
    <w:r w:rsidRPr="0058551D">
      <w:fldChar w:fldCharType="separate"/>
    </w:r>
    <w:r w:rsidRPr="0058551D">
      <w:t>av Tuve Skånberg (KD)</w:t>
    </w:r>
    <w:r w:rsidRPr="0058551D">
      <w:fldChar w:fldCharType="end"/>
    </w:r>
    <w:r w:rsidRPr="0058551D">
      <w:br/>
    </w:r>
    <w:r w:rsidRPr="0058551D">
      <w:fldChar w:fldCharType="begin" w:fldLock="1"/>
    </w:r>
    <w:r w:rsidRPr="0058551D">
      <w:instrText xml:space="preserve"> DOCPROPERTY "SvarFrasKort" *\charformat </w:instrText>
    </w:r>
    <w:r w:rsidRPr="0058551D">
      <w:fldChar w:fldCharType="end"/>
    </w:r>
  </w:p>
  <w:p w:rsidR="0058551D" w:rsidRPr="0058551D" w:rsidRDefault="0058551D">
    <w:pPr>
      <w:pStyle w:val="FSHTitel"/>
    </w:pPr>
    <w:r w:rsidRPr="0058551D">
      <w:fldChar w:fldCharType="begin" w:fldLock="1"/>
    </w:r>
    <w:r w:rsidRPr="0058551D">
      <w:instrText xml:space="preserve"> DOCPROPERTY</w:instrText>
    </w:r>
    <w:r w:rsidRPr="0058551D">
      <w:rPr>
        <w:sz w:val="18"/>
      </w:rPr>
      <w:instrText xml:space="preserve"> "RubrikSvar" *\charformat </w:instrText>
    </w:r>
    <w:r w:rsidRPr="0058551D">
      <w:fldChar w:fldCharType="separate"/>
    </w:r>
    <w:r w:rsidRPr="0058551D">
      <w:t>Prestationslöner för domare</w:t>
    </w:r>
    <w:r w:rsidRPr="0058551D">
      <w:fldChar w:fldCharType="end"/>
    </w:r>
  </w:p>
  <w:p w:rsidR="0058551D" w:rsidRPr="0058551D" w:rsidRDefault="0058551D">
    <w:pPr>
      <w:pStyle w:val="Normal00"/>
    </w:pPr>
  </w:p>
  <w:p w:rsidR="0058551D" w:rsidRPr="0058551D" w:rsidRDefault="005855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5695823">
    <w:abstractNumId w:val="3"/>
  </w:num>
  <w:num w:numId="2" w16cid:durableId="903563548">
    <w:abstractNumId w:val="2"/>
  </w:num>
  <w:num w:numId="3" w16cid:durableId="2012950015">
    <w:abstractNumId w:val="1"/>
  </w:num>
  <w:num w:numId="4" w16cid:durableId="1519470695">
    <w:abstractNumId w:val="0"/>
  </w:num>
  <w:num w:numId="5" w16cid:durableId="1283269349">
    <w:abstractNumId w:val="7"/>
  </w:num>
  <w:num w:numId="6" w16cid:durableId="1711880604">
    <w:abstractNumId w:val="6"/>
  </w:num>
  <w:num w:numId="7" w16cid:durableId="1621452939">
    <w:abstractNumId w:val="5"/>
  </w:num>
  <w:num w:numId="8" w16cid:durableId="1918396938">
    <w:abstractNumId w:val="4"/>
  </w:num>
  <w:num w:numId="9" w16cid:durableId="1154297304">
    <w:abstractNumId w:val="8"/>
  </w:num>
  <w:num w:numId="10" w16cid:durableId="1974408344">
    <w:abstractNumId w:val="9"/>
  </w:num>
  <w:num w:numId="11" w16cid:durableId="1362780130">
    <w:abstractNumId w:val="10"/>
  </w:num>
  <w:num w:numId="12" w16cid:durableId="964043395">
    <w:abstractNumId w:val="13"/>
  </w:num>
  <w:num w:numId="13" w16cid:durableId="872112562">
    <w:abstractNumId w:val="15"/>
  </w:num>
  <w:num w:numId="14" w16cid:durableId="794444117">
    <w:abstractNumId w:val="16"/>
  </w:num>
  <w:num w:numId="15" w16cid:durableId="527178629">
    <w:abstractNumId w:val="11"/>
  </w:num>
  <w:num w:numId="16" w16cid:durableId="39981299">
    <w:abstractNumId w:val="18"/>
  </w:num>
  <w:num w:numId="17" w16cid:durableId="1755856264">
    <w:abstractNumId w:val="17"/>
  </w:num>
  <w:num w:numId="18" w16cid:durableId="1550609741">
    <w:abstractNumId w:val="14"/>
  </w:num>
  <w:num w:numId="19" w16cid:durableId="2026781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2CC1D456-C026-4E5E-8353-FE657B99F1B0}"/>
  </w:docVars>
  <w:rsids>
    <w:rsidRoot w:val="008D4B9B"/>
    <w:rsid w:val="0058551D"/>
    <w:rsid w:val="008D4B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4817D08-CB51-4209-AC3C-2ECEFCF9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4125</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kd740</vt:lpstr>
    </vt:vector>
  </TitlesOfParts>
  <Company>Riksdagen</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kd740</dc:title>
  <dc:subject>kd740</dc:subject>
  <dc:creator>Riksdagen</dc:creator>
  <cp:keywords>Riksdagen</cp:keywords>
  <dc:description>Versal/gemen i partibeteckning. Gemen i tryck för 0910, versal för 1011 och nyare</dc:description>
  <cp:lastModifiedBy>Lars Brink</cp:lastModifiedBy>
  <cp:revision>2</cp:revision>
  <cp:lastPrinted>2011-01-26T13:52:00Z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Prestationslöner för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Prestationslöner för domare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20102011000001070100000007400069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20102011000001070100000007400069</vt:lpwstr>
  </property>
  <property fmtid="{D5CDD505-2E9C-101B-9397-08002B2CF9AE}" pid="50" name="nummer">
    <vt:lpwstr>357</vt:lpwstr>
  </property>
  <property fmtid="{D5CDD505-2E9C-101B-9397-08002B2CF9AE}" pid="51" name="utskottsbeteckning">
    <vt:lpwstr>Ju</vt:lpwstr>
  </property>
  <property fmtid="{D5CDD505-2E9C-101B-9397-08002B2CF9AE}" pid="52" name="GlobalUID">
    <vt:lpwstr>{71AEB66C-1B36-4992-966E-93FBF92C37C1}</vt:lpwstr>
  </property>
  <property fmtid="{D5CDD505-2E9C-101B-9397-08002B2CF9AE}" pid="53" name="Överföringar">
    <vt:i4>0</vt:i4>
  </property>
  <property fmtid="{D5CDD505-2E9C-101B-9397-08002B2CF9AE}" pid="54" name="Checksum">
    <vt:lpwstr>*0005414383763*</vt:lpwstr>
  </property>
  <property fmtid="{D5CDD505-2E9C-101B-9397-08002B2CF9AE}" pid="55" name="skuggnummer">
    <vt:lpwstr>2299</vt:lpwstr>
  </property>
  <property fmtid="{D5CDD505-2E9C-101B-9397-08002B2CF9AE}" pid="56" name="urixVersion">
    <vt:lpwstr>4.3.2.0</vt:lpwstr>
  </property>
  <property fmtid="{D5CDD505-2E9C-101B-9397-08002B2CF9AE}" pid="57" name="urixOrigin">
    <vt:lpwstr>110126 14:53:22.811</vt:lpwstr>
  </property>
  <property fmtid="{D5CDD505-2E9C-101B-9397-08002B2CF9AE}" pid="58" name="urixGuid">
    <vt:lpwstr>{62D7199D-3248-4FD3-AC43-C96DCD8F52A2}</vt:lpwstr>
  </property>
</Properties>
</file>